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rPr>
          <w:sz w:val="18"/>
        </w:rPr>
        <w:t>Case 1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2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1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3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4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4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8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5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16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6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17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7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0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8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8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9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9" w:type="dxa"/>
          <w:bottom w:w="0" w:type="dxa"/>
          <w:right w:w="9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10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48" w:type="dxa"/>
          <w:bottom w:w="0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11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12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1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13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4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14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8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15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16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16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17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17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0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18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8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19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9" w:type="dxa"/>
          <w:bottom w:w="0" w:type="dxa"/>
          <w:right w:w="9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20</w:t>
      </w:r>
    </w:p>
    <w:tbl>
      <w:tblPr>
        <w:tblW w:w="600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autofit"/>
        <w:tblCellMar>
          <w:top w:w="0" w:type="dxa"/>
          <w:left w:w="48" w:type="dxa"/>
          <w:bottom w:w="0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