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sz w:val="24"/>
        </w:rPr>
        <w:drawing>
          <wp:inline>
            <wp:extent cx="1016000" cy="10414000"/>
            <wp:docPr id="1" name="Original tall bands"/>
            <a:graphic>
              <a:graphicData uri="http://schemas.openxmlformats.org/drawingml/2006/picture">
                <pic:pic>
                  <pic:nvPicPr>
                    <pic:cNvPr id="1" name="bands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4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hAnsi="Arial"/>
          <w:sz w:val="24"/>
          <w:color w:val="D02030"/>
        </w:rPr>
        <w:t>After</w:t>
      </w:r>
    </w:p>
    <w:sectPr xmlns:w="http://schemas.openxmlformats.org/wordprocessingml/2006/main"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Image" Type="http://schemas.openxmlformats.org/officeDocument/2006/relationships/image" Target="media/bands.png"/></Relationships>
</file>