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/>
      </w:pPr>
      <w:r>
        <w:rPr>
          <w:sz w:val="24"/>
        </w:rPr>
        <w:drawing>
          <wp:inline>
            <wp:extent cx="1016000" cy="9398000"/>
            <wp:docPr id="1" name="Original tall bands"/>
            <a:graphic>
              <a:graphicData uri="http://schemas.openxmlformats.org/drawingml/2006/picture">
                <pic:pic>
                  <pic:nvPicPr>
                    <pic:cNvPr id="1" name="bands.pn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93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rFonts w:ascii="Arial" w:hAnsi="Arial"/>
          <w:sz w:val="24"/>
          <w:color w:val="D02030"/>
        </w:rPr>
        <w:t>After</w:t>
      </w:r>
    </w:p>
    <w:sectPr xmlns:w="http://schemas.openxmlformats.org/wordprocessingml/2006/main"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Relationship Id="rIdImage" Type="http://schemas.openxmlformats.org/officeDocument/2006/relationships/image" Target="media/bands.png"/></Relationships>
</file>