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cent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pStyle w:val="BadParagraph"/>
      </w:pPr>
      <w:r>
        <w:rPr>
          <w:rStyle w:val="BadCharacter"/>
          <w:i/>
        </w:rPr>
        <w:t>Retained direct italic</w:t>
      </w:r>
    </w:p>
    <w:tbl>
      <w:tblPr>
        <w:tblStyle w:val="BadTable"/>
        <w:tblW w:w="5000" w:type="dxa"/>
        <w:tblLayout w:type="fixed"/>
        <w:tblLook w:val="0020" w:firstRow="1"/>
      </w:tblPr>
      <w:tblGrid>
        <w:gridCol w:w="5000"/>
      </w:tblGrid>
      <w:tr>
        <w:tc>
          <w:tcPr>
            <w:tcW w:w="5000" w:type="dxa"/>
          </w:tcPr>
          <w:p>
            <w:r>
              <w:t>Affected table retains its content</w:t>
            </w:r>
          </w:p>
        </w:tc>
      </w:tr>
    </w:tbl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color w:val="336699"/>
        <w:sz w:val="22"/>
      </w:rPr>
    </w:rPrDefault>
    <w:pPrDefault>
      <w:pPr>
        <w:spacing w:after="240" w:line="300" w:lineRule="auto"/>
        <w:ind w:left="360"/>
      </w:pPr>
    </w:pPrDefault>
  </w:docDefaults>
  <w:style w:type="paragraph" w:styleId="Heading">
    <w:name w:val="Heading"/>
    <w:pPr>
      <w:spacing w:after="240" w:line="300" w:lineRule="auto"/>
      <w:ind w:left="360"/>
    </w:pPr>
    <w:rPr>
      <w:b/>
      <w:color w:val="204080"/>
      <w:sz w:val="36"/>
    </w:rPr>
  </w:style>
  <w:style w:type="table" w:styleId="Accent">
    <w:name w:val="Accent"/>
    <w:tblStylePr w:type="firstRow">
      <w:pPr>
        <w:spacing w:after="240" w:line="300" w:lineRule="auto"/>
        <w:ind w:left="360"/>
        <w:jc w:val="right"/>
      </w:pPr>
      <w:rPr>
        <w:b/>
        <w:color w:val="803020"/>
      </w:rPr>
    </w:tblStylePr>
  </w:style>
  <w:style w:type="paragraph" w:styleId="BadParagraph">
    <w:name w:val="BadParagraph"/>
    <w:rPr>
      <w:b/>
      <w:color w:val="99336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