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4E3D937D" w14:textId="5DFF4377"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65B56992" w:rsidR="00E91DE4"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 xml:space="preserve">Epistemología de las </w:t>
      </w:r>
      <w:r w:rsidR="00E91DE4" w:rsidRPr="009A479F">
        <w:rPr>
          <w:rFonts w:ascii="Times New Roman" w:hAnsi="Times New Roman" w:cs="Times New Roman"/>
          <w:lang w:val="es-MX"/>
        </w:rPr>
        <w:t>C</w:t>
      </w:r>
      <w:r w:rsidRPr="009A479F">
        <w:rPr>
          <w:rFonts w:ascii="Times New Roman" w:hAnsi="Times New Roman" w:cs="Times New Roman"/>
          <w:lang w:val="es-MX"/>
        </w:rPr>
        <w:t xml:space="preserve">iencias </w:t>
      </w:r>
      <w:r w:rsidR="00E91DE4" w:rsidRPr="009A479F">
        <w:rPr>
          <w:rFonts w:ascii="Times New Roman" w:hAnsi="Times New Roman" w:cs="Times New Roman"/>
          <w:lang w:val="es-MX"/>
        </w:rPr>
        <w:t>S</w:t>
      </w:r>
      <w:r w:rsidRPr="009A479F">
        <w:rPr>
          <w:rFonts w:ascii="Times New Roman" w:hAnsi="Times New Roman" w:cs="Times New Roman"/>
          <w:lang w:val="es-MX"/>
        </w:rPr>
        <w:t>ociales</w:t>
      </w:r>
    </w:p>
    <w:p w14:paraId="2B50052B" w14:textId="57A3E853"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2° cuat</w:t>
      </w:r>
      <w:r w:rsidR="00E91DE4" w:rsidRPr="009A479F">
        <w:rPr>
          <w:rFonts w:ascii="Times New Roman" w:hAnsi="Times New Roman" w:cs="Times New Roman"/>
          <w:lang w:val="es-MX"/>
        </w:rPr>
        <w:t>rimestre</w:t>
      </w:r>
      <w:r w:rsidRPr="009A479F">
        <w:rPr>
          <w:rFonts w:ascii="Times New Roman" w:hAnsi="Times New Roman" w:cs="Times New Roman"/>
          <w:lang w:val="es-MX"/>
        </w:rPr>
        <w:t xml:space="preserve"> 2024</w:t>
      </w:r>
    </w:p>
    <w:p w14:paraId="08DA26FD" w14:textId="77777777" w:rsidR="00E91DE4" w:rsidRPr="009A479F" w:rsidRDefault="00E91DE4" w:rsidP="0070025D">
      <w:pPr>
        <w:spacing w:line="360" w:lineRule="auto"/>
        <w:jc w:val="both"/>
        <w:rPr>
          <w:rStyle w:val="nfasis"/>
          <w:rFonts w:ascii="Times New Roman" w:hAnsi="Times New Roman" w:cs="Times New Roman"/>
          <w:lang w:val="es-MX"/>
        </w:rPr>
      </w:pPr>
    </w:p>
    <w:p w14:paraId="5BE03E1A" w14:textId="7EFE9241" w:rsidR="00E91DE4" w:rsidRPr="009A479F" w:rsidRDefault="009A479F" w:rsidP="0070025D">
      <w:pPr>
        <w:pStyle w:val="Subttulo"/>
        <w:jc w:val="both"/>
        <w:rPr>
          <w:rStyle w:val="nfasis"/>
          <w:rFonts w:ascii="Times New Roman" w:hAnsi="Times New Roman" w:cs="Times New Roman"/>
          <w:i w:val="0"/>
          <w:iCs w:val="0"/>
          <w:lang w:val="es-MX"/>
        </w:rPr>
      </w:pPr>
      <w:r w:rsidRPr="009A479F">
        <w:rPr>
          <w:rFonts w:ascii="Times New Roman" w:hAnsi="Times New Roman" w:cs="Times New Roman"/>
          <w:lang w:val="es-MX"/>
        </w:rPr>
        <w:t>Epistemología de las Ciencias Sociales</w:t>
      </w:r>
    </w:p>
    <w:p w14:paraId="37E30588" w14:textId="34167055" w:rsidR="000F180E" w:rsidRPr="000F180E" w:rsidRDefault="000F180E" w:rsidP="0070025D">
      <w:pPr>
        <w:spacing w:line="360" w:lineRule="auto"/>
        <w:jc w:val="both"/>
        <w:rPr>
          <w:rStyle w:val="nfasis"/>
          <w:rFonts w:ascii="Times New Roman" w:hAnsi="Times New Roman" w:cs="Times New Roman"/>
          <w:lang w:val="es-MX"/>
        </w:rPr>
      </w:pPr>
      <w:r w:rsidRPr="000F180E">
        <w:rPr>
          <w:rStyle w:val="nfasis"/>
          <w:rFonts w:ascii="Times New Roman" w:hAnsi="Times New Roman" w:cs="Times New Roman"/>
          <w:lang w:val="es-MX"/>
        </w:rPr>
        <w:t>Prof. Titular: Esteban Dipaola</w:t>
      </w:r>
    </w:p>
    <w:p w14:paraId="528121D5" w14:textId="44BB4163" w:rsidR="000F180E" w:rsidRPr="00E91DE4" w:rsidRDefault="000F180E" w:rsidP="0070025D">
      <w:pPr>
        <w:spacing w:line="360" w:lineRule="auto"/>
        <w:jc w:val="both"/>
        <w:rPr>
          <w:i/>
          <w:iCs/>
          <w:lang w:val="es-MX"/>
        </w:rPr>
      </w:pPr>
      <w:r w:rsidRPr="000F180E">
        <w:rPr>
          <w:rStyle w:val="nfasis"/>
          <w:rFonts w:ascii="Times New Roman" w:hAnsi="Times New Roman" w:cs="Times New Roman"/>
          <w:lang w:val="es-MX"/>
        </w:rPr>
        <w:t>Jefa de Trabajos Prácticos: Lucia Pisciottano</w:t>
      </w:r>
      <w:r w:rsidRPr="00E7795E">
        <w:rPr>
          <w:rFonts w:ascii="Times New Roman" w:hAnsi="Times New Roman" w:cs="Times New Roman"/>
          <w:lang w:val="es-MX"/>
        </w:rPr>
        <w:br w:type="page"/>
      </w:r>
    </w:p>
    <w:p w14:paraId="69EFAF2D" w14:textId="77777777" w:rsid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lastRenderedPageBreak/>
        <w:t>1- Exponga la concepción del significado según la desarrolló Wittgenstein en Investigaciones filosóficas, y defina sus consecuencias en la determinación del conocimiento científico.</w:t>
      </w:r>
    </w:p>
    <w:p w14:paraId="5FF766B4" w14:textId="49297ACF"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En Investigaciones filosóficas, Wittgenstein redefine su concepción del significado, distanciándose de su planteo en el Tractatus Logico-Philosophicus. En su obra madura, Wittgenstein introduce la idea de los “juegos de lenguaje”, donde el significado de las palabras se determina por su uso en contextos específicos. Con ello, desafía la idea tradicional de que el lenguaje representa la realidad mediante una correspondencia exacta entre palabras y objetos. En cambio, sostiene que el “significado de una palabra es su uso en el lenguaje” (par. 43), planteando que cada juego de lenguaje obedece reglas particulares establecidas en contextos culturales y sociales específicos.</w:t>
      </w:r>
    </w:p>
    <w:p w14:paraId="312BE607" w14:textId="7777777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Juegos de Lenguaje y Formas de Vida</w:t>
      </w:r>
    </w:p>
    <w:p w14:paraId="1A306C34" w14:textId="5955BC66"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Wittgenstein presenta el lenguaje como una práctica social en la que las palabras adquieren sentido en el contexto de una “forma de vida” o Lebensform. Cada juego de lenguaje responde a normas tácitas compartidas por una comunidad que establece cómo usar los términos en distintos contextos. La noción de formas de vida implica que el significado no es algo estable o fijo, sino que depende de prácticas sociales que varían entre grupos y culturas. Esto implica que, en el ámbito científico, el lenguaje técnico tiene su propia lógica y reglas, diferentes de las del lenguaje ordinario.</w:t>
      </w:r>
    </w:p>
    <w:p w14:paraId="4EB3C6CE" w14:textId="7777777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Consecuencias para el Conocimiento Científico</w:t>
      </w:r>
    </w:p>
    <w:p w14:paraId="3553F088" w14:textId="5759244D"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La teoría de Wittgenstein tiene importantes consecuencias para la epistemología científica, ya que introduce un relativismo conceptual donde el conocimiento depende del juego de lenguaje particular en el cual se inserta. En el caso de la ciencia, las reglas de validación y evidencia se definen internamente en cada disciplina. Así, el conocimiento científico no es un conjunto de verdades universales, sino una práctica contextualizada dentro de su propio marco teórico y metodológico.</w:t>
      </w:r>
    </w:p>
    <w:p w14:paraId="4816EEB1" w14:textId="53ED8009"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 xml:space="preserve">Este enfoque se alinea con las ideas de Thomas Kuhn en La estructura de las revoluciones científicas, donde los “paradigmas” actúan como marcos dentro de los cuales se define la validez del conocimiento. Al igual que en los juegos de lenguaje de Wittgenstein, los paradigmas kuhnianos establecen normas que dictan qué cuenta como conocimiento válido </w:t>
      </w:r>
      <w:r w:rsidRPr="00225E50">
        <w:rPr>
          <w:rFonts w:ascii="Times New Roman" w:hAnsi="Times New Roman" w:cs="Times New Roman"/>
          <w:lang w:val="es-MX"/>
        </w:rPr>
        <w:lastRenderedPageBreak/>
        <w:t>y qué métodos son aceptables, dependiendo del contexto histórico y social de la comunidad científica.</w:t>
      </w:r>
    </w:p>
    <w:p w14:paraId="32CFE893" w14:textId="7777777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Relatividad del Significado y el Relativismo Epistemológico</w:t>
      </w:r>
    </w:p>
    <w:p w14:paraId="1CA2043F" w14:textId="2796815C"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El énfasis de Wittgenstein en el uso contextual plantea que no existe un método universal para establecer el significado de los términos. En el ámbito de las ciencias sociales, esto se traduce en una comprensión del conocimiento como algo relativo a las prácticas y convenciones de cada disciplina. Sin embargo, Wittgenstein no afirma que todas las interpretaciones sean igualmente válidas: los juegos de lenguaje son normativos y establecen reglas que los miembros de una comunidad deben seguir para que el lenguaje funcione correctamente.</w:t>
      </w:r>
    </w:p>
    <w:p w14:paraId="0E899C43" w14:textId="7777777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Críticas y Limitaciones</w:t>
      </w:r>
    </w:p>
    <w:p w14:paraId="3A0A5935" w14:textId="3F9DE63D"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La teoría de Wittgenstein ha sido criticada por su potencial para fomentar un escepticismo extremo, al cuestionar la posibilidad de verdades universales. No obstante, Wittgenstein no niega la posibilidad de la comprensión mutua, sino que resalta que la comunicación depende de la existencia de formas de vida compartidas. También se ha cuestionado su falta de una teoría sobre el cambio de significado, ya que su enfoque se centra en describir prácticas lingüísticas actuales más que en explicar su transformación a lo largo del tiempo.</w:t>
      </w:r>
    </w:p>
    <w:p w14:paraId="3A0D27F6" w14:textId="7777777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Conclusión</w:t>
      </w:r>
    </w:p>
    <w:p w14:paraId="10740761" w14:textId="25C2DCD0"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t>La concepción de Wittgenstein sobre el significado y los juegos de lenguaje ofrece una visión contextual y pragmática del conocimiento, planteando que el lenguaje y las verdades científicas dependen de los acuerdos dentro de cada comunidad. En este sentido, el conocimiento científico es una construcción humana, situada en un marco de prácticas compartidas, y sujeto a revisiones según las transformaciones en los juegos de lenguaje de cada época.</w:t>
      </w:r>
    </w:p>
    <w:p w14:paraId="2FCE82E7" w14:textId="77777777" w:rsidR="00225E50" w:rsidRDefault="00225E50" w:rsidP="0070025D">
      <w:pPr>
        <w:jc w:val="both"/>
        <w:rPr>
          <w:rFonts w:ascii="Times New Roman" w:hAnsi="Times New Roman" w:cs="Times New Roman"/>
          <w:lang w:val="es-MX"/>
        </w:rPr>
      </w:pPr>
      <w:r>
        <w:rPr>
          <w:rFonts w:ascii="Times New Roman" w:hAnsi="Times New Roman" w:cs="Times New Roman"/>
          <w:lang w:val="es-MX"/>
        </w:rPr>
        <w:br w:type="page"/>
      </w:r>
    </w:p>
    <w:p w14:paraId="0E254B18" w14:textId="5982D23E"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lastRenderedPageBreak/>
        <w:t>2- Defina la noción de paradigma de acuerdo a su relación con la matriz disciplinaria.</w:t>
      </w:r>
      <w:r w:rsidR="0070025D">
        <w:rPr>
          <w:rFonts w:ascii="Times New Roman" w:hAnsi="Times New Roman" w:cs="Times New Roman"/>
          <w:lang w:val="es-MX"/>
        </w:rPr>
        <w:t xml:space="preserve"> </w:t>
      </w:r>
      <w:r w:rsidRPr="00225E50">
        <w:rPr>
          <w:rFonts w:ascii="Times New Roman" w:hAnsi="Times New Roman" w:cs="Times New Roman"/>
          <w:lang w:val="es-MX"/>
        </w:rPr>
        <w:t>Comente cómo se vincula esta categoría con las de comunidad y ciencia normal.</w:t>
      </w:r>
    </w:p>
    <w:p w14:paraId="13FA480B"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1. La Noción de Paradigma en Kuhn</w:t>
      </w:r>
    </w:p>
    <w:p w14:paraId="3DCBA0ED" w14:textId="624725F6"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En La estructura de las revoluciones científicas, Kuhn introduce el concepto de paradigma como un marco teórico, metodológico y normativo que guía la práctica científica en un área específica. Un paradigma es más que una teoría o conjunto de hipótesis; es una estructura global que incluye métodos, conceptos y estándares que la comunidad científica de una disciplina acepta y emplea. Kuhn subraya que los paradigmas son fundamentales para definir cómo los científicos interpretan y resuelven problemas, además de establecer qué cuenta como evidencia válida dentro de una disciplina.</w:t>
      </w:r>
    </w:p>
    <w:p w14:paraId="47E96BA7"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2. Matriz Disciplinaria y Paradigmas</w:t>
      </w:r>
    </w:p>
    <w:p w14:paraId="3915B0FE" w14:textId="5E88273B"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Kuhn amplía el concepto de paradigma mediante la noción de "matriz disciplinaria". La matriz disciplinaria abarca un conjunto de compromisos compartidos por la comunidad científica en una disciplina: reglas, conceptos, modelos y valores que definen qué preguntas se consideran válidas y cómo se deben investigar. La matriz disciplinaria puede descomponerse en cuatro componentes principales:</w:t>
      </w:r>
    </w:p>
    <w:p w14:paraId="1033BFD1" w14:textId="77777777" w:rsidR="0070025D" w:rsidRPr="0070025D" w:rsidRDefault="0070025D" w:rsidP="0070025D">
      <w:pPr>
        <w:pStyle w:val="Prrafodelista"/>
        <w:numPr>
          <w:ilvl w:val="0"/>
          <w:numId w:val="4"/>
        </w:numPr>
        <w:jc w:val="both"/>
        <w:rPr>
          <w:rFonts w:ascii="Times New Roman" w:hAnsi="Times New Roman" w:cs="Times New Roman"/>
          <w:lang w:val="es-MX"/>
        </w:rPr>
      </w:pPr>
      <w:r w:rsidRPr="0070025D">
        <w:rPr>
          <w:rFonts w:ascii="Times New Roman" w:hAnsi="Times New Roman" w:cs="Times New Roman"/>
          <w:lang w:val="es-MX"/>
        </w:rPr>
        <w:t>Generalizaciones simbólicas: fórmulas y principios que se aceptan como válidos.</w:t>
      </w:r>
    </w:p>
    <w:p w14:paraId="2C52699A" w14:textId="77777777" w:rsidR="0070025D" w:rsidRPr="0070025D" w:rsidRDefault="0070025D" w:rsidP="0070025D">
      <w:pPr>
        <w:pStyle w:val="Prrafodelista"/>
        <w:numPr>
          <w:ilvl w:val="0"/>
          <w:numId w:val="4"/>
        </w:numPr>
        <w:jc w:val="both"/>
        <w:rPr>
          <w:rFonts w:ascii="Times New Roman" w:hAnsi="Times New Roman" w:cs="Times New Roman"/>
          <w:lang w:val="es-MX"/>
        </w:rPr>
      </w:pPr>
      <w:r w:rsidRPr="0070025D">
        <w:rPr>
          <w:rFonts w:ascii="Times New Roman" w:hAnsi="Times New Roman" w:cs="Times New Roman"/>
          <w:lang w:val="es-MX"/>
        </w:rPr>
        <w:t>Modelos: patrones que guían la interpretación de fenómenos.</w:t>
      </w:r>
    </w:p>
    <w:p w14:paraId="70AA0705" w14:textId="77777777" w:rsidR="0070025D" w:rsidRPr="0070025D" w:rsidRDefault="0070025D" w:rsidP="0070025D">
      <w:pPr>
        <w:pStyle w:val="Prrafodelista"/>
        <w:numPr>
          <w:ilvl w:val="0"/>
          <w:numId w:val="4"/>
        </w:numPr>
        <w:jc w:val="both"/>
        <w:rPr>
          <w:rFonts w:ascii="Times New Roman" w:hAnsi="Times New Roman" w:cs="Times New Roman"/>
          <w:lang w:val="es-MX"/>
        </w:rPr>
      </w:pPr>
      <w:r w:rsidRPr="0070025D">
        <w:rPr>
          <w:rFonts w:ascii="Times New Roman" w:hAnsi="Times New Roman" w:cs="Times New Roman"/>
          <w:lang w:val="es-MX"/>
        </w:rPr>
        <w:t>Valores: normas que indican lo que la comunidad considera importante y relevante en la investigación.</w:t>
      </w:r>
    </w:p>
    <w:p w14:paraId="45DC2EFF" w14:textId="77777777" w:rsidR="0070025D" w:rsidRPr="0070025D" w:rsidRDefault="0070025D" w:rsidP="0070025D">
      <w:pPr>
        <w:pStyle w:val="Prrafodelista"/>
        <w:numPr>
          <w:ilvl w:val="0"/>
          <w:numId w:val="4"/>
        </w:numPr>
        <w:jc w:val="both"/>
        <w:rPr>
          <w:rFonts w:ascii="Times New Roman" w:hAnsi="Times New Roman" w:cs="Times New Roman"/>
          <w:lang w:val="es-MX"/>
        </w:rPr>
      </w:pPr>
      <w:r w:rsidRPr="0070025D">
        <w:rPr>
          <w:rFonts w:ascii="Times New Roman" w:hAnsi="Times New Roman" w:cs="Times New Roman"/>
          <w:lang w:val="es-MX"/>
        </w:rPr>
        <w:t>Ejemplares (o "exemplars"): problemas resueltos que sirven de referencia para futuros problemas similares.</w:t>
      </w:r>
    </w:p>
    <w:p w14:paraId="4A0D5190" w14:textId="5AB0C6C3"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Estos elementos se integran en un paradigma que da coherencia a la investigación en una disciplina, permitiendo que los científicos trabajen de manera efectiva bajo un conjunto de suposiciones compartidas. En este sentido, la matriz disciplinaria es el soporte conceptual y metodológico que permite a una disciplina funcionar de manera cohesionada.</w:t>
      </w:r>
    </w:p>
    <w:p w14:paraId="7BFED8C0"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3. Comunidad Científica y Ciencia Normal</w:t>
      </w:r>
    </w:p>
    <w:p w14:paraId="7ACE3CFA"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La comunidad científica, para Kuhn, es el conjunto de individuos que comparten un paradigma y, por lo tanto, los elementos de la matriz disciplinaria. Esta comunidad está constituida por científicos que, al aceptar un mismo paradigma, emplean los mismos métodos y criterios de validación, permitiendo que su investigación se desarrolle en un marco común de comprensión. Kuhn destaca que esta comunidad no solo actúa como un grupo social, sino como un grupo epistemológico que construye y valida el conocimiento en función de los principios del paradigma.</w:t>
      </w:r>
    </w:p>
    <w:p w14:paraId="55062CFE" w14:textId="77777777" w:rsidR="0070025D" w:rsidRPr="0070025D" w:rsidRDefault="0070025D" w:rsidP="0070025D">
      <w:pPr>
        <w:jc w:val="both"/>
        <w:rPr>
          <w:rFonts w:ascii="Times New Roman" w:hAnsi="Times New Roman" w:cs="Times New Roman"/>
          <w:lang w:val="es-MX"/>
        </w:rPr>
      </w:pPr>
    </w:p>
    <w:p w14:paraId="31D9DE9A" w14:textId="4AC61D60"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lastRenderedPageBreak/>
        <w:t>La ciencia normal es la actividad que se realiza dentro de un paradigma establecido, en la que los científicos se dedican a resolver problemas específicos y a profundizar el conocimiento sin cuestionar las bases fundamentales del paradigma. Durante los períodos de ciencia normal, los científicos buscan ajustar los modelos y teorías existentes a los datos experimentales, refinando el paradigma y asegurando su coherencia. Así, la ciencia normal es incremental y acumulativa, en contraste con los períodos de crisis y cambio paradigmático.</w:t>
      </w:r>
    </w:p>
    <w:p w14:paraId="0E3D88FF"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4. Relación entre Paradigma, Comunidad y Ciencia Normal</w:t>
      </w:r>
    </w:p>
    <w:p w14:paraId="22A46A70" w14:textId="2D61D35A"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El paradigma, la comunidad científica y la ciencia normal están intrínsecamente relacionados. La aceptación de un paradigma permite la formación de una comunidad que comparte criterios y métodos, lo que a su vez facilita la investigación científica sistemática y acumulativa propia de la ciencia normal. Sin un paradigma común, no habría una base suficiente para la comunicación y cooperación entre los científicos, y la ciencia no podría avanzar de manera coherente.</w:t>
      </w:r>
    </w:p>
    <w:p w14:paraId="0236AFAA" w14:textId="1CF5F79E"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El paradigma establece un marco de referencia que guía la investigación y que permite a la comunidad científica concentrarse en problemas específicos, llamados “puzzles” por Kuhn, cuyo propósito no es desafiar el paradigma, sino fortalecerlo. La ciencia normal, entonces, consiste en el esfuerzo conjunto de la comunidad para resolver estos problemas dentro de los límites del paradigma, sin cuestionar sus principios fundamentales.</w:t>
      </w:r>
    </w:p>
    <w:p w14:paraId="06FDBF90"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5. Conclusión</w:t>
      </w:r>
    </w:p>
    <w:p w14:paraId="025E861A" w14:textId="4FAAB0A2" w:rsidR="00225E50" w:rsidRDefault="0070025D" w:rsidP="0070025D">
      <w:pPr>
        <w:jc w:val="both"/>
        <w:rPr>
          <w:rFonts w:ascii="Times New Roman" w:hAnsi="Times New Roman" w:cs="Times New Roman"/>
          <w:lang w:val="es-MX"/>
        </w:rPr>
      </w:pPr>
      <w:r w:rsidRPr="0070025D">
        <w:rPr>
          <w:rFonts w:ascii="Times New Roman" w:hAnsi="Times New Roman" w:cs="Times New Roman"/>
          <w:lang w:val="es-MX"/>
        </w:rPr>
        <w:t>En resumen, la noción de paradigma en Kuhn se relaciona estrechamente con la matriz disciplinaria, la comunidad científica y la ciencia normal. El paradigma actúa como un modelo que define los métodos, problemas y valores de una disciplina, posibilitando la cohesión de la comunidad científica y orientando su investigación en los periodos de ciencia normal. Este enfoque permite que el conocimiento científico progrese de manera ordenada y coherente dentro de un marco aceptado, mientras que las crisis científicas, o revoluciones, representan momentos de cambio que abren paso a nuevos paradigmas.</w:t>
      </w:r>
      <w:r w:rsidR="00225E50">
        <w:rPr>
          <w:rFonts w:ascii="Times New Roman" w:hAnsi="Times New Roman" w:cs="Times New Roman"/>
          <w:lang w:val="es-MX"/>
        </w:rPr>
        <w:br w:type="page"/>
      </w:r>
    </w:p>
    <w:p w14:paraId="47BE8619" w14:textId="2080A59F"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lastRenderedPageBreak/>
        <w:t>3- Explique por qué para Lecourt el "positivismo lógico"; concluye en una ciencia de la ciencia y se convierte en metafísica. En esta línea, cuál es de acuerdo con Mari la relación entre ciencia e ideología.</w:t>
      </w:r>
    </w:p>
    <w:p w14:paraId="5820CE8C"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1. Crítica de Lecourt al Positivismo Lógico</w:t>
      </w:r>
    </w:p>
    <w:p w14:paraId="1C47D295" w14:textId="660AD822"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En Para una crítica de la epistemología, Lecourt plantea una crítica hacia el positivismo lógico, al que acusa de evolucionar en una forma de “ciencia de la ciencia”. El positivismo lógico, con sus raíces en el Círculo de Viena, intentaba fundar la ciencia en una base empírica sólida, eliminando cualquier elemento metafísico o ideológico de sus postulados. La premisa era que solo las proposiciones verificables o basadas en la lógica formal tenían sentido, y cualquier otra afirmación debía ser descartada como “metafísica”. Sin embargo, para Lecourt, este intento de purificar la ciencia de cualquier contenido no empírico o lógico lleva al positivismo lógico a crear una "meta-ciencia", es decir, una “ciencia de la ciencia”, donde los métodos de validación se convierten en el objeto de estudio en sí.</w:t>
      </w:r>
    </w:p>
    <w:p w14:paraId="165A8AAF" w14:textId="491289F6"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Lecourt argumenta que esta "ciencia de la ciencia" termina adoptando los mismos elementos que intenta eliminar, volviéndose en última instancia una forma de metafísica. Al establecer reglas absolutas para determinar lo que es y no es conocimiento válido, el positivismo lógico, según Lecourt, cae en una contradicción: intenta observar la ciencia desde un punto de vista externo y absoluto, postulando una posición que es, en esencia, metafísica. Esto sucede porque el positivismo lógico busca establecer criterios universales para la verdad científica sin reconocer que esos criterios también están sujetos a limitaciones históricas y culturales.</w:t>
      </w:r>
    </w:p>
    <w:p w14:paraId="2A87236F"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2. La Relación entre Ciencia e Ideología en Marí</w:t>
      </w:r>
    </w:p>
    <w:p w14:paraId="167F7958" w14:textId="674374A3"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En Neopositivismo e ideología, Marí profundiza en esta crítica al analizar cómo el positivismo y el neopositivismo intentan separar la ciencia de cualquier influencia ideológica. Según Marí, este esfuerzo es infructuoso, ya que la ciencia siempre está enraizada en una red de significados y valores que reflejan la ideología de su contexto histórico. Marí sostiene que, al ignorar esta relación, el neopositivismo cae en una forma de ideología que busca presentarse como una postura neutral y objetiva, cuando en realidad impone una visión específica de la realidad.</w:t>
      </w:r>
    </w:p>
    <w:p w14:paraId="5AAAA7AD" w14:textId="21DE7BFD"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Para Marí, la ciencia no puede ser completamente neutral, ya que está condicionada por factores ideológicos que influyen en la selección de temas, en los métodos y en la interpretación de resultados. La ideología en este sentido no es algo que distorsiona el conocimiento científico, sino una estructura que proporciona a los científicos un marco desde el cual operan y seleccionan problemas de investigación. Así, el neopositivismo se convierte en una ideología que busca hacer invisible esta relación, presentando la ciencia como una actividad puramente objetiva y libre de valores.</w:t>
      </w:r>
    </w:p>
    <w:p w14:paraId="5FEF8697"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3. Convergencias entre Lecourt y Marí</w:t>
      </w:r>
    </w:p>
    <w:p w14:paraId="60D1278E" w14:textId="6F476C8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lastRenderedPageBreak/>
        <w:t>Lecourt y Marí comparten la idea de que el positivismo lógico y el neopositivismo no logran escapar de la ideología ni de la metafísica. Para Lecourt, la pretensión de establecer una “ciencia de la ciencia” termina en una metafísica que se oculta bajo la apariencia de neutralidad. Marí, por su parte, muestra cómo esa pretensión oculta también una dimensión ideológica, al intentar hacer de la ciencia un ámbito de conocimiento absoluto y sin influencias externas. Ambos coinciden en que el positivismo, al intentar depurar la ciencia de elementos “contaminantes”, termina reintroduciendo de manera implícita los mismos elementos que quería evitar.</w:t>
      </w:r>
    </w:p>
    <w:p w14:paraId="52E75C9C"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4. Conclusión</w:t>
      </w:r>
    </w:p>
    <w:p w14:paraId="082B838C" w14:textId="10D8BE57" w:rsidR="00225E50" w:rsidRDefault="0070025D" w:rsidP="0070025D">
      <w:pPr>
        <w:jc w:val="both"/>
        <w:rPr>
          <w:rFonts w:ascii="Times New Roman" w:hAnsi="Times New Roman" w:cs="Times New Roman"/>
          <w:lang w:val="es-MX"/>
        </w:rPr>
      </w:pPr>
      <w:r w:rsidRPr="0070025D">
        <w:rPr>
          <w:rFonts w:ascii="Times New Roman" w:hAnsi="Times New Roman" w:cs="Times New Roman"/>
          <w:lang w:val="es-MX"/>
        </w:rPr>
        <w:t>Para ambos autores, el positivismo lógico y el neopositivismo no alcanzan su ideal de una ciencia completamente pura y autónoma. Lecourt lo critica por volverse una forma de metafísica, mientras que Marí evidencia cómo la ciencia, incluso bajo el neopositivismo, está impregnada de ideología. En este sentido, la crítica de ambos autores apunta a desmantelar la noción de una ciencia absolutamente objetiva, revelando las influencias históricas e ideológicas que la conforman y sugiriendo una concepción de la ciencia como práctica social y culturalmente situada.</w:t>
      </w:r>
      <w:r w:rsidR="00225E50">
        <w:rPr>
          <w:rFonts w:ascii="Times New Roman" w:hAnsi="Times New Roman" w:cs="Times New Roman"/>
          <w:lang w:val="es-MX"/>
        </w:rPr>
        <w:br w:type="page"/>
      </w:r>
    </w:p>
    <w:p w14:paraId="732B57A1" w14:textId="7F4B55E7" w:rsidR="00225E50" w:rsidRPr="00225E50"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lastRenderedPageBreak/>
        <w:t>4- Determine las relaciones entre cuerpo, lenguaje y conciencia, y fundamente a partir de ello por qué para Nietzsche la verdad tiene un fundamento moral.</w:t>
      </w:r>
    </w:p>
    <w:p w14:paraId="5BDC2C3F"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1. El Cuerpo como Centro de la Experiencia y la Conciencia</w:t>
      </w:r>
    </w:p>
    <w:p w14:paraId="451EB6A2" w14:textId="4B6DBA2E"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Nietzsche cuestiona la separación entre cuerpo y mente que caracteriza a gran parte de la filosofía occidental desde Descartes. En su concepción, el cuerpo no es solo una entidad física o un “objeto” al servicio de la mente; es el núcleo de la existencia y la fuente de todas las experiencias y percepciones. Para Nietzsche, la conciencia no tiene una existencia autónoma, sino que es un producto del cuerpo y de sus necesidades. La conciencia surge como una herramienta evolutiva, una función secundaria que ayuda al cuerpo a sobrevivir y a adaptarse. Esto implica que nuestras ideas y creencias, incluyendo las sobre la verdad, están profundamente enraizadas en la experiencia corporal.</w:t>
      </w:r>
    </w:p>
    <w:p w14:paraId="46514895"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2. Lenguaje como Expresión del Cuerpo y la Voluntad de Poder</w:t>
      </w:r>
    </w:p>
    <w:p w14:paraId="1E450C6B" w14:textId="693FB0C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El lenguaje, en la filosofía de Nietzsche, no es un medio transparente que refleja una realidad objetiva, sino una construcción creada para satisfacer necesidades y deseos humanos. Vattimo interpreta que para Nietzsche, el lenguaje refleja la “voluntad de poder” que gobierna al cuerpo; es decir, el impulso fundamental hacia la afirmación, la interpretación y la dominación del entorno. El lenguaje estructura y limita nuestra percepción, de modo que lo que consideramos “real” es en realidad un conjunto de interpretaciones impuestas por el cuerpo y sus impulsos.</w:t>
      </w:r>
    </w:p>
    <w:p w14:paraId="6A70C0E8" w14:textId="00B2DFC8"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Esta visión implica que la verdad, en última instancia, es una construcción que nace de las interpretaciones del cuerpo. No existe una “verdad en sí” separada de los intereses y perspectivas humanas, sino que cada afirmación de verdad es una manifestación de la voluntad de poder. El lenguaje, en este sentido, es una herramienta para organizar y afirmar interpretaciones que favorecen a ciertos valores y necesidades.</w:t>
      </w:r>
    </w:p>
    <w:p w14:paraId="02A57A86"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3. La Verdad como Fundamento Moral</w:t>
      </w:r>
    </w:p>
    <w:p w14:paraId="16881AC8" w14:textId="4B8C4DA1"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Para Nietzsche, la verdad no tiene un fundamento objetivo o trascendental, sino moral. Esto significa que las creencias que consideramos verdaderas son las que han sido útiles para la supervivencia y la cohesión social, no porque reflejen una realidad absoluta, sino porque sostienen ciertos valores. La noción de verdad, entonces, es inseparable de una moralidad que busca dar coherencia y estabilidad a la existencia humana.</w:t>
      </w:r>
    </w:p>
    <w:p w14:paraId="6125F027" w14:textId="216A28FB"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Vattimo explica que, en este sentido, la verdad es una “máscara” que oculta los intereses y valores que la sostienen. La afirmación de que algo es “verdadero” es, en realidad, una imposición moral: se decide que ciertos valores y perspectivas deben ser reconocidos como correctos o deseables, mientras que otras interpretaciones son rechazadas. La verdad es, pues, una construcción que tiene como fin legitimar y perpetuar un determinado sistema de valores, que está arraigado en las necesidades corporales y en el lenguaje.</w:t>
      </w:r>
    </w:p>
    <w:p w14:paraId="077AE5C2" w14:textId="77777777" w:rsidR="0070025D" w:rsidRP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lastRenderedPageBreak/>
        <w:t>4. Conclusión</w:t>
      </w:r>
    </w:p>
    <w:p w14:paraId="44B2A2DA" w14:textId="10CCF1EF" w:rsidR="0070025D" w:rsidRDefault="0070025D" w:rsidP="0070025D">
      <w:pPr>
        <w:jc w:val="both"/>
        <w:rPr>
          <w:rFonts w:ascii="Times New Roman" w:hAnsi="Times New Roman" w:cs="Times New Roman"/>
          <w:lang w:val="es-MX"/>
        </w:rPr>
      </w:pPr>
      <w:r w:rsidRPr="0070025D">
        <w:rPr>
          <w:rFonts w:ascii="Times New Roman" w:hAnsi="Times New Roman" w:cs="Times New Roman"/>
          <w:lang w:val="es-MX"/>
        </w:rPr>
        <w:t>Siguiendo la interpretación de Vattimo, Nietzsche muestra que las relaciones entre cuerpo, lenguaje y conciencia revelan el carácter moral de la verdad. La verdad no es un reflejo de una realidad inmutable, sino una construcción humana que sirve para afirmar valores y normas que favorecen la voluntad de poder. Así, Nietzsche desmitifica la noción de una verdad absoluta y sugiere que todo sistema de creencias es, en última instancia, una expresión de los intereses y necesidades corporales y sociales.</w:t>
      </w:r>
      <w:r>
        <w:rPr>
          <w:rFonts w:ascii="Times New Roman" w:hAnsi="Times New Roman" w:cs="Times New Roman"/>
          <w:lang w:val="es-MX"/>
        </w:rPr>
        <w:br w:type="page"/>
      </w:r>
    </w:p>
    <w:p w14:paraId="5BA16CA7" w14:textId="3AC22282" w:rsidR="000F180E" w:rsidRPr="000F180E" w:rsidRDefault="00225E50" w:rsidP="0070025D">
      <w:pPr>
        <w:spacing w:line="360" w:lineRule="auto"/>
        <w:jc w:val="both"/>
        <w:rPr>
          <w:rFonts w:ascii="Times New Roman" w:hAnsi="Times New Roman" w:cs="Times New Roman"/>
          <w:lang w:val="es-MX"/>
        </w:rPr>
      </w:pPr>
      <w:r w:rsidRPr="00225E50">
        <w:rPr>
          <w:rFonts w:ascii="Times New Roman" w:hAnsi="Times New Roman" w:cs="Times New Roman"/>
          <w:lang w:val="es-MX"/>
        </w:rPr>
        <w:lastRenderedPageBreak/>
        <w:t>5- ¿Por qué Foucault habla de un descentramiento del sujeto y cuál es la tarea del arqueólogo en el análisis de las formaciones discursivas y sus condiciones de posibilidad?</w:t>
      </w:r>
    </w:p>
    <w:p w14:paraId="2006FD2B"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En </w:t>
      </w:r>
      <w:r w:rsidRPr="0070025D">
        <w:rPr>
          <w:rFonts w:ascii="Times New Roman" w:hAnsi="Times New Roman" w:cs="Times New Roman"/>
          <w:i/>
          <w:iCs/>
        </w:rPr>
        <w:t>La arqueología del saber</w:t>
      </w:r>
      <w:r w:rsidRPr="0070025D">
        <w:rPr>
          <w:rFonts w:ascii="Times New Roman" w:hAnsi="Times New Roman" w:cs="Times New Roman"/>
        </w:rPr>
        <w:t>, Michel Foucault introduce el concepto de “descentramiento del sujeto” en el contexto de su análisis histórico de las estructuras de conocimiento y las formaciones discursivas. Con esta idea, Foucault cuestiona la centralidad del sujeto como origen y fundamento del conocimiento, sugiriendo que el sujeto no es el origen autónomo y transparente de las ideas, sino más bien un producto de las estructuras discursivas y sociales que configuran su pensamiento y sus posibilidades de expresión.</w:t>
      </w:r>
    </w:p>
    <w:p w14:paraId="472B301D" w14:textId="77777777" w:rsidR="0070025D" w:rsidRPr="0070025D" w:rsidRDefault="0070025D" w:rsidP="0070025D">
      <w:pPr>
        <w:spacing w:line="360" w:lineRule="auto"/>
        <w:ind w:firstLine="708"/>
        <w:jc w:val="both"/>
        <w:rPr>
          <w:rFonts w:ascii="Times New Roman" w:hAnsi="Times New Roman" w:cs="Times New Roman"/>
          <w:b/>
          <w:bCs/>
        </w:rPr>
      </w:pPr>
      <w:r w:rsidRPr="0070025D">
        <w:rPr>
          <w:rFonts w:ascii="Times New Roman" w:hAnsi="Times New Roman" w:cs="Times New Roman"/>
          <w:b/>
          <w:bCs/>
        </w:rPr>
        <w:t>1. El Descentramiento del Sujeto</w:t>
      </w:r>
    </w:p>
    <w:p w14:paraId="5EE1AC0A"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Para Foucault, el “descentramiento del sujeto” significa desplazar el foco de análisis desde el sujeto como centro de significado hacia las estructuras que permiten y limitan lo que puede decirse o pensarse en un determinado contexto histórico. En este sentido, Foucault se aleja de las perspectivas filosóficas que enfatizan el papel del sujeto como origen del conocimiento (como en la fenomenología y el humanismo), y en su lugar se enfoca en el estudio de las “formaciones discursivas”: conjuntos de prácticas, normas y condiciones que determinan qué enunciados pueden ser considerados válidos, lógicos o verdaderos en una época.</w:t>
      </w:r>
    </w:p>
    <w:p w14:paraId="1291DDDE"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El descentramiento implica que las ideas, teorías y conocimientos no surgen espontáneamente de la mente del sujeto, sino que son posibles gracias a estructuras subyacentes que establecen los límites de lo pensable y lo decible. El sujeto, entonces, no es un agente completamente autónomo; su capacidad de pensamiento y expresión está delimitada por reglas y convenciones que operan de manera impersonal y muchas veces inconsciente.</w:t>
      </w:r>
    </w:p>
    <w:p w14:paraId="00F94626" w14:textId="77777777" w:rsidR="0070025D" w:rsidRPr="0070025D" w:rsidRDefault="0070025D" w:rsidP="0070025D">
      <w:pPr>
        <w:spacing w:line="360" w:lineRule="auto"/>
        <w:ind w:firstLine="708"/>
        <w:jc w:val="both"/>
        <w:rPr>
          <w:rFonts w:ascii="Times New Roman" w:hAnsi="Times New Roman" w:cs="Times New Roman"/>
          <w:b/>
          <w:bCs/>
        </w:rPr>
      </w:pPr>
      <w:r w:rsidRPr="0070025D">
        <w:rPr>
          <w:rFonts w:ascii="Times New Roman" w:hAnsi="Times New Roman" w:cs="Times New Roman"/>
          <w:b/>
          <w:bCs/>
        </w:rPr>
        <w:t>2. La Tarea del Arqueólogo</w:t>
      </w:r>
    </w:p>
    <w:p w14:paraId="7604D1A1"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 xml:space="preserve">En este contexto, la tarea del “arqueólogo” en el análisis de las formaciones discursivas es investigar y describir estas estructuras subyacentes sin otorgar protagonismo al sujeto. Foucault utiliza la metáfora de la arqueología para describir su método: así como un arqueólogo excava capas de terreno para descubrir vestigios de civilizaciones pasadas, el arqueólogo del saber “excava” en los archivos y en las prácticas discursivas para descubrir </w:t>
      </w:r>
      <w:r w:rsidRPr="0070025D">
        <w:rPr>
          <w:rFonts w:ascii="Times New Roman" w:hAnsi="Times New Roman" w:cs="Times New Roman"/>
        </w:rPr>
        <w:lastRenderedPageBreak/>
        <w:t>las condiciones de posibilidad que permiten que ciertos enunciados se formulen en un momento dado.</w:t>
      </w:r>
    </w:p>
    <w:p w14:paraId="31EB05AD"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El objetivo no es interpretar el significado subjetivo o la intencionalidad de los autores individuales, sino identificar los sistemas de reglas, regularidades y discontinuidades que configuran una “</w:t>
      </w:r>
      <w:proofErr w:type="spellStart"/>
      <w:r w:rsidRPr="0070025D">
        <w:rPr>
          <w:rFonts w:ascii="Times New Roman" w:hAnsi="Times New Roman" w:cs="Times New Roman"/>
        </w:rPr>
        <w:t>épistémè</w:t>
      </w:r>
      <w:proofErr w:type="spellEnd"/>
      <w:r w:rsidRPr="0070025D">
        <w:rPr>
          <w:rFonts w:ascii="Times New Roman" w:hAnsi="Times New Roman" w:cs="Times New Roman"/>
        </w:rPr>
        <w:t>” o un horizonte de conocimiento en una época. Estas condiciones de posibilidad determinan qué es aceptable o comprensible dentro de una formación discursiva, sin que los sujetos sean plenamente conscientes de ellas.</w:t>
      </w:r>
    </w:p>
    <w:p w14:paraId="20458A5A" w14:textId="77777777" w:rsidR="0070025D" w:rsidRPr="0070025D" w:rsidRDefault="0070025D" w:rsidP="0070025D">
      <w:pPr>
        <w:spacing w:line="360" w:lineRule="auto"/>
        <w:ind w:firstLine="708"/>
        <w:jc w:val="both"/>
        <w:rPr>
          <w:rFonts w:ascii="Times New Roman" w:hAnsi="Times New Roman" w:cs="Times New Roman"/>
          <w:b/>
          <w:bCs/>
        </w:rPr>
      </w:pPr>
      <w:r w:rsidRPr="0070025D">
        <w:rPr>
          <w:rFonts w:ascii="Times New Roman" w:hAnsi="Times New Roman" w:cs="Times New Roman"/>
          <w:b/>
          <w:bCs/>
        </w:rPr>
        <w:t>3. Condiciones de Posibilidad en las Formaciones Discursivas</w:t>
      </w:r>
    </w:p>
    <w:p w14:paraId="26D963A2"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Para Foucault, las condiciones de posibilidad de una formación discursiva incluyen las reglas de formación de los objetos de conocimiento, los conceptos, los enunciados y los temas que caracterizan un discurso específico. El arqueólogo del saber debe, por tanto, describir cómo estos elementos interactúan y se sostienen mutuamente, y cómo delimitan los márgenes de lo que puede ser dicho o pensado en una época.</w:t>
      </w:r>
    </w:p>
    <w:p w14:paraId="7CCFF585"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Esta aproximación permite a Foucault estudiar los saberes históricos sin centrarse en los sujetos individuales, revelando cómo el conocimiento es un fenómeno estructural, moldeado por las relaciones de poder, los discursos institucionales y las convenciones sociales.</w:t>
      </w:r>
    </w:p>
    <w:p w14:paraId="510AEDF2" w14:textId="77777777" w:rsidR="0070025D" w:rsidRPr="0070025D" w:rsidRDefault="0070025D" w:rsidP="0070025D">
      <w:pPr>
        <w:spacing w:line="360" w:lineRule="auto"/>
        <w:ind w:firstLine="708"/>
        <w:jc w:val="both"/>
        <w:rPr>
          <w:rFonts w:ascii="Times New Roman" w:hAnsi="Times New Roman" w:cs="Times New Roman"/>
          <w:b/>
          <w:bCs/>
        </w:rPr>
      </w:pPr>
      <w:r w:rsidRPr="0070025D">
        <w:rPr>
          <w:rFonts w:ascii="Times New Roman" w:hAnsi="Times New Roman" w:cs="Times New Roman"/>
          <w:b/>
          <w:bCs/>
        </w:rPr>
        <w:t>4. Conclusión</w:t>
      </w:r>
    </w:p>
    <w:p w14:paraId="2B5735B5" w14:textId="77777777" w:rsidR="0070025D" w:rsidRPr="0070025D" w:rsidRDefault="0070025D" w:rsidP="0070025D">
      <w:pPr>
        <w:spacing w:line="360" w:lineRule="auto"/>
        <w:ind w:firstLine="708"/>
        <w:jc w:val="both"/>
        <w:rPr>
          <w:rFonts w:ascii="Times New Roman" w:hAnsi="Times New Roman" w:cs="Times New Roman"/>
        </w:rPr>
      </w:pPr>
      <w:r w:rsidRPr="0070025D">
        <w:rPr>
          <w:rFonts w:ascii="Times New Roman" w:hAnsi="Times New Roman" w:cs="Times New Roman"/>
        </w:rPr>
        <w:t>En </w:t>
      </w:r>
      <w:r w:rsidRPr="0070025D">
        <w:rPr>
          <w:rFonts w:ascii="Times New Roman" w:hAnsi="Times New Roman" w:cs="Times New Roman"/>
          <w:i/>
          <w:iCs/>
        </w:rPr>
        <w:t>La arqueología del saber</w:t>
      </w:r>
      <w:r w:rsidRPr="0070025D">
        <w:rPr>
          <w:rFonts w:ascii="Times New Roman" w:hAnsi="Times New Roman" w:cs="Times New Roman"/>
        </w:rPr>
        <w:t>, Foucault introduce el descentramiento del sujeto para subrayar que el conocimiento es producto de estructuras discursivas y no del individuo como origen absoluto. La tarea del arqueólogo consiste en analizar las formaciones discursivas y descubrir las condiciones de posibilidad que hacen posibles ciertos saberes en un momento histórico. De esta manera, Foucault transforma el estudio del conocimiento en una exploración de las estructuras que lo condicionan, dejando de lado la primacía del sujeto y enfocándose en las relaciones impersonales que configuran el campo de lo pensable y lo decible.</w:t>
      </w:r>
    </w:p>
    <w:p w14:paraId="1611EE3B" w14:textId="77777777" w:rsidR="002F5956" w:rsidRDefault="002F5956">
      <w:pPr>
        <w:rPr>
          <w:rFonts w:ascii="Times New Roman" w:hAnsi="Times New Roman" w:cs="Times New Roman"/>
        </w:rPr>
      </w:pPr>
      <w:r>
        <w:rPr>
          <w:rFonts w:ascii="Times New Roman" w:hAnsi="Times New Roman" w:cs="Times New Roman"/>
        </w:rPr>
        <w:br w:type="page"/>
      </w:r>
    </w:p>
    <w:p w14:paraId="76000123" w14:textId="3E142D4A" w:rsidR="00D948EC" w:rsidRPr="00D948EC"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lastRenderedPageBreak/>
        <w:t xml:space="preserve">En el capítulo </w:t>
      </w:r>
      <w:r w:rsidRPr="00D948EC">
        <w:rPr>
          <w:rFonts w:ascii="Times New Roman" w:hAnsi="Times New Roman" w:cs="Times New Roman"/>
          <w:i/>
          <w:iCs/>
          <w:lang w:val="es-MX"/>
        </w:rPr>
        <w:t>“Tenazas. Ordenar, conocer / Explicar, comprender”</w:t>
      </w:r>
      <w:r w:rsidRPr="00D948EC">
        <w:rPr>
          <w:rFonts w:ascii="Times New Roman" w:hAnsi="Times New Roman" w:cs="Times New Roman"/>
          <w:lang w:val="es-MX"/>
        </w:rPr>
        <w:t xml:space="preserve"> del libro </w:t>
      </w:r>
      <w:r w:rsidRPr="00D948EC">
        <w:rPr>
          <w:rFonts w:ascii="Times New Roman" w:hAnsi="Times New Roman" w:cs="Times New Roman"/>
          <w:i/>
          <w:iCs/>
          <w:lang w:val="es-MX"/>
        </w:rPr>
        <w:t>Jirones de piel, ágape insumiso. Estética, epistemología y normatividad</w:t>
      </w:r>
      <w:r w:rsidRPr="00D948EC">
        <w:rPr>
          <w:rFonts w:ascii="Times New Roman" w:hAnsi="Times New Roman" w:cs="Times New Roman"/>
          <w:lang w:val="es-MX"/>
        </w:rPr>
        <w:t xml:space="preserve"> (Buenos Aires, Prometeo, 2011), Claudio Martyniuk se adentra en un análisis profundo sobre las metodologías de conocimiento en las ciencias sociales. La obra reflexiona sobre la tradicional dicotomía entre los enfoques de “explicar” y “comprender”, dos posturas epistemológicas que han generado debates significativos en la teoría del conocimiento y la filosofía de las ciencias sociales.</w:t>
      </w:r>
    </w:p>
    <w:p w14:paraId="0B9FD9AC" w14:textId="271A57E3" w:rsidR="00D948EC" w:rsidRPr="00D948EC" w:rsidRDefault="00D948EC" w:rsidP="00D948EC">
      <w:pPr>
        <w:spacing w:line="360" w:lineRule="auto"/>
        <w:ind w:firstLine="708"/>
        <w:jc w:val="both"/>
        <w:rPr>
          <w:rFonts w:ascii="Times New Roman" w:hAnsi="Times New Roman" w:cs="Times New Roman"/>
          <w:lang w:val="es-MX"/>
        </w:rPr>
      </w:pPr>
      <w:r w:rsidRPr="00D948EC">
        <w:rPr>
          <w:rFonts w:ascii="Times New Roman" w:hAnsi="Times New Roman" w:cs="Times New Roman"/>
          <w:lang w:val="es-MX"/>
        </w:rPr>
        <w:t>Martyniuk describe la “explicación” como un enfoque que intenta identificar causas, formular leyes generales y predecir comportamientos. Este método, que suele asociarse con la tradición positivista y las ciencias naturales, se basa en el ideal de objetividad y universalidad. La explicación en este sentido busca construir un conocimiento ordenado y predecible, que permita ejercer cierto control sobre los fenómenos observados. Así, el conocimiento explicativo se convierte en una herramienta para ordenar y clasificar, siguiendo modelos establecidos en las ciencias duras, donde se privilegia el uso de datos cuantitativos y análisis estadísticos.</w:t>
      </w:r>
    </w:p>
    <w:p w14:paraId="3B7E6685" w14:textId="38AA5770" w:rsidR="00D948EC" w:rsidRPr="00D948EC" w:rsidRDefault="00D948EC" w:rsidP="00D948EC">
      <w:pPr>
        <w:spacing w:line="360" w:lineRule="auto"/>
        <w:ind w:firstLine="708"/>
        <w:jc w:val="both"/>
        <w:rPr>
          <w:rFonts w:ascii="Times New Roman" w:hAnsi="Times New Roman" w:cs="Times New Roman"/>
          <w:lang w:val="es-MX"/>
        </w:rPr>
      </w:pPr>
      <w:r w:rsidRPr="00D948EC">
        <w:rPr>
          <w:rFonts w:ascii="Times New Roman" w:hAnsi="Times New Roman" w:cs="Times New Roman"/>
          <w:lang w:val="es-MX"/>
        </w:rPr>
        <w:t>Por otro lado, Martyniuk plantea que la “comprensión” se asocia a un enfoque interpretativo, más cercano a las ciencias humanas y sociales. En lugar de buscar causas universales, la comprensión se enfoca en el significado y el contexto, intentando captar la perspectiva y la experiencia de los sujetos involucrados. Aquí, el investigador no se distancia del objeto de estudio; más bien, intenta adentrarse en él para entenderlo desde dentro, explorando las motivaciones y sentidos que los individuos otorgan a sus acciones. Este método responde a la tradición hermenéutica y fenomenológica, que enfatiza la importancia de lo subjetivo y lo particular en la construcción del conocimiento.</w:t>
      </w:r>
    </w:p>
    <w:p w14:paraId="7320E641" w14:textId="79E93176" w:rsidR="00D948EC" w:rsidRPr="00D948EC" w:rsidRDefault="00D948EC" w:rsidP="00D948EC">
      <w:pPr>
        <w:spacing w:line="360" w:lineRule="auto"/>
        <w:ind w:firstLine="708"/>
        <w:jc w:val="both"/>
        <w:rPr>
          <w:rFonts w:ascii="Times New Roman" w:hAnsi="Times New Roman" w:cs="Times New Roman"/>
          <w:lang w:val="es-MX"/>
        </w:rPr>
      </w:pPr>
      <w:r w:rsidRPr="00D948EC">
        <w:rPr>
          <w:rFonts w:ascii="Times New Roman" w:hAnsi="Times New Roman" w:cs="Times New Roman"/>
          <w:lang w:val="es-MX"/>
        </w:rPr>
        <w:t xml:space="preserve">Martyniuk sostiene que estas dos metodologías no son excluyentes, sino complementarias. Ambas son necesarias para captar la complejidad de los fenómenos sociales. Al integrar explicación y comprensión, es posible abordar los fenómenos sociales tanto desde su estructura y orden, como desde el significado y subjetividad. Martyniuk propone que una epistemología integradora, que reconozca tanto los aspectos causales como los interpretativos, permite una comprensión más rica y matizada de la realidad social. Este enfoque también da pie a lo que podría llamarse una “praxeología social”, es decir, una </w:t>
      </w:r>
      <w:r w:rsidRPr="00D948EC">
        <w:rPr>
          <w:rFonts w:ascii="Times New Roman" w:hAnsi="Times New Roman" w:cs="Times New Roman"/>
          <w:lang w:val="es-MX"/>
        </w:rPr>
        <w:lastRenderedPageBreak/>
        <w:t>metodología de investigación que se adapta a la complejidad de las prácticas humanas y que responde a los matices y contradicciones que estas prácticas pueden presentar.</w:t>
      </w:r>
    </w:p>
    <w:p w14:paraId="1AF164BF" w14:textId="021B6A8A" w:rsidR="00D948EC" w:rsidRPr="00D948EC" w:rsidRDefault="00D948EC" w:rsidP="00D948EC">
      <w:pPr>
        <w:spacing w:line="360" w:lineRule="auto"/>
        <w:ind w:firstLine="708"/>
        <w:jc w:val="both"/>
        <w:rPr>
          <w:rFonts w:ascii="Times New Roman" w:hAnsi="Times New Roman" w:cs="Times New Roman"/>
          <w:lang w:val="es-MX"/>
        </w:rPr>
      </w:pPr>
      <w:r w:rsidRPr="00D948EC">
        <w:rPr>
          <w:rFonts w:ascii="Times New Roman" w:hAnsi="Times New Roman" w:cs="Times New Roman"/>
          <w:lang w:val="es-MX"/>
        </w:rPr>
        <w:t>Además, Martyniuk reflexiona sobre las implicaciones éticas y políticas de la elección metodológica. Señala que cada enfoque no solo representa una forma de ver el mundo, sino también una forma de actuar sobre él. La elección entre explicar o comprender no es neutral; cada metodología conlleva una postura normativa y, en última instancia, influye en cómo se construye y utiliza el conocimiento. En este sentido, la “tenaza” mencionada en el título simboliza la tensión entre los métodos, así como el desafío de integrar estos enfoques sin reducir la riqueza de los fenómenos sociales a una única perspectiva.</w:t>
      </w:r>
    </w:p>
    <w:p w14:paraId="67165676" w14:textId="65845A41" w:rsidR="00D948EC" w:rsidRDefault="00D948EC" w:rsidP="00D948EC">
      <w:pPr>
        <w:spacing w:line="360" w:lineRule="auto"/>
        <w:ind w:firstLine="708"/>
        <w:jc w:val="both"/>
        <w:rPr>
          <w:rFonts w:ascii="Times New Roman" w:hAnsi="Times New Roman" w:cs="Times New Roman"/>
          <w:lang w:val="es-MX"/>
        </w:rPr>
      </w:pPr>
      <w:r w:rsidRPr="00D948EC">
        <w:rPr>
          <w:rFonts w:ascii="Times New Roman" w:hAnsi="Times New Roman" w:cs="Times New Roman"/>
          <w:lang w:val="es-MX"/>
        </w:rPr>
        <w:t>En conclusión, Martyniuk invita a repensar las metodologías de conocimiento en las ciencias sociales, promoviendo un enfoque integrador que combine explicación y comprensión. Esta propuesta no solo enriquece el análisis de los fenómenos sociales, sino que también promueve una epistemología más reflexiva y consciente de sus propias limitaciones y potencialidades. Para el autor, esta visión crítica es esencial en un contexto donde las ciencias sociales tienen el potencial de impactar profundamente en la sociedad y en la forma en que se concibe y organiza el conocimiento.</w:t>
      </w:r>
    </w:p>
    <w:p w14:paraId="60F0F817" w14:textId="77777777" w:rsidR="00D948EC" w:rsidRDefault="00D948EC" w:rsidP="00D948EC">
      <w:pPr>
        <w:spacing w:line="360" w:lineRule="auto"/>
        <w:jc w:val="both"/>
        <w:rPr>
          <w:rFonts w:ascii="Times New Roman" w:hAnsi="Times New Roman" w:cs="Times New Roman"/>
          <w:lang w:val="es-MX"/>
        </w:rPr>
      </w:pPr>
    </w:p>
    <w:p w14:paraId="51C4827D" w14:textId="21875C69" w:rsidR="00D948EC" w:rsidRPr="00D948EC"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t xml:space="preserve">En el texto </w:t>
      </w:r>
      <w:r w:rsidRPr="00D948EC">
        <w:rPr>
          <w:rFonts w:ascii="Times New Roman" w:hAnsi="Times New Roman" w:cs="Times New Roman"/>
          <w:i/>
          <w:iCs/>
          <w:lang w:val="es-MX"/>
        </w:rPr>
        <w:t>“Las desventuras del pensamiento crítico”</w:t>
      </w:r>
      <w:r w:rsidRPr="00D948EC">
        <w:rPr>
          <w:rFonts w:ascii="Times New Roman" w:hAnsi="Times New Roman" w:cs="Times New Roman"/>
          <w:lang w:val="es-MX"/>
        </w:rPr>
        <w:t xml:space="preserve">, incluido en </w:t>
      </w:r>
      <w:r w:rsidRPr="00D948EC">
        <w:rPr>
          <w:rFonts w:ascii="Times New Roman" w:hAnsi="Times New Roman" w:cs="Times New Roman"/>
          <w:i/>
          <w:iCs/>
          <w:lang w:val="es-MX"/>
        </w:rPr>
        <w:t>El espectador emancipado</w:t>
      </w:r>
      <w:r w:rsidRPr="00D948EC">
        <w:rPr>
          <w:rFonts w:ascii="Times New Roman" w:hAnsi="Times New Roman" w:cs="Times New Roman"/>
          <w:lang w:val="es-MX"/>
        </w:rPr>
        <w:t>, el filósofo Jacques Rancière examina las tensiones y limitaciones del pensamiento crítico en el contexto contemporáneo, especialmente en su relación con la emancipación y el rol del espectador en el arte y la política. Rancière plantea que el pensamiento crítico se ha vuelto una trampa autorreferencial, que en lugar de promover la emancipación de los individuos, tiende a reforzar estructuras de dominación al consolidar la pasividad y la distancia entre el saber del crítico y el supuesto desconocimiento del público.</w:t>
      </w:r>
    </w:p>
    <w:p w14:paraId="6A33E475" w14:textId="79C70259" w:rsidR="00D948EC" w:rsidRPr="00D948EC"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t xml:space="preserve">Para Rancière, el pensamiento crítico suele operar bajo una lógica de “desenmascaramiento” o revelación de las condiciones de opresión o engaño en las que vive la sociedad. Sin embargo, esta lógica está marcada por lo que él llama “la paradoja del crítico”: en el intento de iluminar a otros, el pensamiento crítico termina reproduciendo una jerarquía de conocimiento y autoridad. Esto ocurre cuando el crítico se asume como un “poseedor de la </w:t>
      </w:r>
      <w:r w:rsidRPr="00D948EC">
        <w:rPr>
          <w:rFonts w:ascii="Times New Roman" w:hAnsi="Times New Roman" w:cs="Times New Roman"/>
          <w:lang w:val="es-MX"/>
        </w:rPr>
        <w:lastRenderedPageBreak/>
        <w:t>verdad” que debe revelarla a quienes están “cegados” o “engañados” por las estructuras de poder. En esta dinámica, el pensamiento crítico refuerza la separación entre quienes “saben” y quienes “no saben”, contradiciendo así el ideal de emancipación al mantener al espectador en una posición pasiva.</w:t>
      </w:r>
    </w:p>
    <w:p w14:paraId="46349A78" w14:textId="1F758048" w:rsidR="00D948EC" w:rsidRPr="00D948EC"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t>Rancière propone en su lugar una reconfiguración de la crítica y del rol del espectador, sugiriendo una forma de emancipación basada en la igualdad de las inteligencias y en la capacidad inherente de todos para interpretar y comprender. Esto se relaciona con su concepto de “espectador emancipado”, donde el espectador no es un mero receptor pasivo, sino un sujeto activo que puede reinterpretar, reconfigurar y resignificar el contenido presentado. En lugar de pensar que el espectador debe ser “educado” o “desenmascarado”, Rancière aboga por una perspectiva en la que cada individuo es capaz de construir su propio entendimiento y actuar en consecuencia, desmantelando así la dicotomía tradicional entre conocimiento y ignorancia.</w:t>
      </w:r>
    </w:p>
    <w:p w14:paraId="6227936E" w14:textId="4873D9C0" w:rsidR="00D948EC" w:rsidRPr="00D948EC"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t xml:space="preserve">A lo largo de </w:t>
      </w:r>
      <w:r w:rsidRPr="00D948EC">
        <w:rPr>
          <w:rFonts w:ascii="Times New Roman" w:hAnsi="Times New Roman" w:cs="Times New Roman"/>
          <w:i/>
          <w:iCs/>
          <w:lang w:val="es-MX"/>
        </w:rPr>
        <w:t>“Las desventuras del pensamiento crítico”</w:t>
      </w:r>
      <w:r w:rsidRPr="00D948EC">
        <w:rPr>
          <w:rFonts w:ascii="Times New Roman" w:hAnsi="Times New Roman" w:cs="Times New Roman"/>
          <w:lang w:val="es-MX"/>
        </w:rPr>
        <w:t>, Rancière critica la tendencia de las teorías críticas a caer en el pesimismo y el fatalismo, promoviendo una visión del mundo como dominado inescapablemente por la alienación y el control. Esta visión, según Rancière, niega la posibilidad de autonomía y resistencia que está latente en cualquier individuo. Para él, el poder de la emancipación radica precisamente en reconocer y activar esta capacidad inherente a todas las personas, una capacidad que no requiere de mediadores críticos ni de “reveladores de verdades”.</w:t>
      </w:r>
    </w:p>
    <w:p w14:paraId="1AA6E3AE" w14:textId="234FBB4E" w:rsidR="00D948EC" w:rsidRPr="00600E59" w:rsidRDefault="00D948EC" w:rsidP="00D948EC">
      <w:pPr>
        <w:spacing w:line="360" w:lineRule="auto"/>
        <w:jc w:val="both"/>
        <w:rPr>
          <w:rFonts w:ascii="Times New Roman" w:hAnsi="Times New Roman" w:cs="Times New Roman"/>
          <w:lang w:val="es-MX"/>
        </w:rPr>
      </w:pPr>
      <w:r w:rsidRPr="00D948EC">
        <w:rPr>
          <w:rFonts w:ascii="Times New Roman" w:hAnsi="Times New Roman" w:cs="Times New Roman"/>
          <w:lang w:val="es-MX"/>
        </w:rPr>
        <w:t xml:space="preserve">En resumen, </w:t>
      </w:r>
      <w:r w:rsidRPr="00D948EC">
        <w:rPr>
          <w:rFonts w:ascii="Times New Roman" w:hAnsi="Times New Roman" w:cs="Times New Roman"/>
          <w:i/>
          <w:iCs/>
          <w:lang w:val="es-MX"/>
        </w:rPr>
        <w:t>“Las desventuras del pensamiento crítico”</w:t>
      </w:r>
      <w:r w:rsidRPr="00D948EC">
        <w:rPr>
          <w:rFonts w:ascii="Times New Roman" w:hAnsi="Times New Roman" w:cs="Times New Roman"/>
          <w:lang w:val="es-MX"/>
        </w:rPr>
        <w:t xml:space="preserve"> propone una crítica a la crítica misma, invitando a repensar los fundamentos de lo que significa ser crítico en un mundo donde la emancipación se entiende no como un proceso impuesto desde afuera, sino como una autoafirmación de la capacidad interpretativa y creativa de cada sujeto. Rancière desafía, así, a replantear el rol de la crítica y el lugar del espectador, promoviendo un modelo de igualdad intelectual que se aleja de las jerarquías tradicionales de saber y poder.</w:t>
      </w:r>
    </w:p>
    <w:sectPr w:rsidR="00D948EC" w:rsidRPr="00600E59"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64537" w14:textId="77777777" w:rsidR="00BD0719" w:rsidRDefault="00BD0719" w:rsidP="00E91DE4">
      <w:pPr>
        <w:spacing w:after="0" w:line="240" w:lineRule="auto"/>
      </w:pPr>
      <w:r>
        <w:separator/>
      </w:r>
    </w:p>
  </w:endnote>
  <w:endnote w:type="continuationSeparator" w:id="0">
    <w:p w14:paraId="20CB121C" w14:textId="77777777" w:rsidR="00BD0719" w:rsidRDefault="00BD0719"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8D1D6E0" w14:textId="6241A3C2" w:rsidR="00E91DE4" w:rsidRPr="009A479F" w:rsidRDefault="009A479F" w:rsidP="009A479F">
    <w:pPr>
      <w:pStyle w:val="Piedepgina"/>
      <w:ind w:right="360"/>
      <w:rPr>
        <w:rFonts w:ascii="Times New Roman" w:hAnsi="Times New Roman" w:cs="Times New Roman"/>
        <w:sz w:val="18"/>
        <w:szCs w:val="18"/>
      </w:rPr>
    </w:pPr>
    <w:r w:rsidRPr="009A479F">
      <w:rPr>
        <w:rFonts w:ascii="Times New Roman" w:hAnsi="Times New Roman" w:cs="Times New Roman"/>
        <w:sz w:val="18"/>
        <w:szCs w:val="18"/>
      </w:rPr>
      <w:t>Epistemología de las Ciencias Sociales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BE6F74" w14:textId="77777777" w:rsidR="00BD0719" w:rsidRDefault="00BD0719" w:rsidP="00E91DE4">
      <w:pPr>
        <w:spacing w:after="0" w:line="240" w:lineRule="auto"/>
      </w:pPr>
      <w:r>
        <w:separator/>
      </w:r>
    </w:p>
  </w:footnote>
  <w:footnote w:type="continuationSeparator" w:id="0">
    <w:p w14:paraId="42EAE6A0" w14:textId="77777777" w:rsidR="00BD0719" w:rsidRDefault="00BD0719" w:rsidP="00E9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7D64D" w14:textId="03D412A9"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225E50">
      <w:rPr>
        <w:rFonts w:ascii="Times New Roman" w:hAnsi="Times New Roman" w:cs="Times New Roman"/>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3"/>
  </w:num>
  <w:num w:numId="4" w16cid:durableId="1789471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B6DC6"/>
    <w:rsid w:val="00225BBA"/>
    <w:rsid w:val="00225E50"/>
    <w:rsid w:val="002F5956"/>
    <w:rsid w:val="00323D29"/>
    <w:rsid w:val="00356049"/>
    <w:rsid w:val="0038289C"/>
    <w:rsid w:val="004241EA"/>
    <w:rsid w:val="00514BCA"/>
    <w:rsid w:val="00521BEB"/>
    <w:rsid w:val="00542C77"/>
    <w:rsid w:val="005E2620"/>
    <w:rsid w:val="00600E59"/>
    <w:rsid w:val="00606821"/>
    <w:rsid w:val="006A7279"/>
    <w:rsid w:val="0070025D"/>
    <w:rsid w:val="0071228F"/>
    <w:rsid w:val="00887F45"/>
    <w:rsid w:val="00902335"/>
    <w:rsid w:val="009358A0"/>
    <w:rsid w:val="00962C75"/>
    <w:rsid w:val="009A479F"/>
    <w:rsid w:val="00BD0719"/>
    <w:rsid w:val="00BD486E"/>
    <w:rsid w:val="00C65ADA"/>
    <w:rsid w:val="00CF61D7"/>
    <w:rsid w:val="00D948EC"/>
    <w:rsid w:val="00E7795E"/>
    <w:rsid w:val="00E91DE4"/>
    <w:rsid w:val="00E96D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14</Pages>
  <Words>4277</Words>
  <Characters>23529</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16</cp:revision>
  <cp:lastPrinted>2024-09-15T14:45:00Z</cp:lastPrinted>
  <dcterms:created xsi:type="dcterms:W3CDTF">2024-09-14T01:00:00Z</dcterms:created>
  <dcterms:modified xsi:type="dcterms:W3CDTF">2024-11-12T14:44:00Z</dcterms:modified>
</cp:coreProperties>
</file>