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65BD" w:rsidRPr="008E356C" w:rsidRDefault="008F5134" w:rsidP="002D65BD">
      <w:pPr>
        <w:jc w:val="center"/>
        <w:rPr>
          <w:rFonts w:ascii="Times New Roman" w:hAnsi="Times New Roman" w:cs="Times New Roman"/>
          <w:b/>
        </w:rPr>
      </w:pPr>
      <w:r w:rsidRPr="008E356C">
        <w:rPr>
          <w:rFonts w:ascii="Times New Roman" w:hAnsi="Times New Roman" w:cs="Times New Roman"/>
          <w:b/>
        </w:rPr>
        <w:t>UNIVERSIDAD DE CIENCIAS EMPRESARIALES Y SOCIALES</w:t>
      </w:r>
      <w:r w:rsidR="002D65BD" w:rsidRPr="008E356C">
        <w:rPr>
          <w:rFonts w:ascii="Times New Roman" w:hAnsi="Times New Roman" w:cs="Times New Roman"/>
          <w:b/>
        </w:rPr>
        <w:t xml:space="preserve"> (UCES).</w:t>
      </w:r>
    </w:p>
    <w:p w:rsidR="002D65BD" w:rsidRPr="008E356C" w:rsidRDefault="002D65BD" w:rsidP="002D65BD">
      <w:pPr>
        <w:jc w:val="center"/>
        <w:rPr>
          <w:rFonts w:ascii="Times New Roman" w:hAnsi="Times New Roman" w:cs="Times New Roman"/>
          <w:b/>
        </w:rPr>
      </w:pPr>
    </w:p>
    <w:p w:rsidR="002D65BD" w:rsidRPr="008E356C" w:rsidRDefault="002D65BD" w:rsidP="002D65BD">
      <w:pPr>
        <w:jc w:val="center"/>
        <w:rPr>
          <w:rFonts w:ascii="Times New Roman" w:hAnsi="Times New Roman" w:cs="Times New Roman"/>
          <w:b/>
        </w:rPr>
      </w:pPr>
      <w:r w:rsidRPr="008E356C">
        <w:rPr>
          <w:rFonts w:ascii="Times New Roman" w:hAnsi="Times New Roman" w:cs="Times New Roman"/>
          <w:b/>
        </w:rPr>
        <w:t>ASIGNATURA: Filosofía de la Historia</w:t>
      </w:r>
    </w:p>
    <w:p w:rsidR="002D65BD" w:rsidRPr="008E356C" w:rsidRDefault="002D65BD" w:rsidP="002D65BD">
      <w:pPr>
        <w:jc w:val="center"/>
        <w:rPr>
          <w:rFonts w:ascii="Times New Roman" w:hAnsi="Times New Roman" w:cs="Times New Roman"/>
          <w:b/>
          <w:bCs/>
          <w:caps/>
          <w:color w:val="000000"/>
        </w:rPr>
      </w:pPr>
    </w:p>
    <w:p w:rsidR="002D65BD" w:rsidRPr="008E356C" w:rsidRDefault="002D65BD" w:rsidP="002D65BD">
      <w:pPr>
        <w:jc w:val="center"/>
        <w:rPr>
          <w:rFonts w:ascii="Times New Roman" w:hAnsi="Times New Roman" w:cs="Times New Roman"/>
          <w:b/>
          <w:bCs/>
          <w:caps/>
          <w:color w:val="000000"/>
        </w:rPr>
      </w:pPr>
      <w:r w:rsidRPr="008E356C">
        <w:rPr>
          <w:rFonts w:ascii="Times New Roman" w:hAnsi="Times New Roman" w:cs="Times New Roman"/>
          <w:b/>
          <w:bCs/>
          <w:caps/>
          <w:color w:val="000000"/>
        </w:rPr>
        <w:t>Adjunto interino:</w:t>
      </w:r>
      <w:r w:rsidRPr="008E356C">
        <w:rPr>
          <w:rFonts w:ascii="Times New Roman" w:hAnsi="Times New Roman" w:cs="Times New Roman"/>
          <w:b/>
          <w:bCs/>
          <w:color w:val="000000"/>
        </w:rPr>
        <w:t xml:space="preserve"> Prof. Dr. Matías Ignacio Pizzi</w:t>
      </w:r>
    </w:p>
    <w:p w:rsidR="002D65BD" w:rsidRDefault="002D65BD" w:rsidP="002D65BD">
      <w:pPr>
        <w:jc w:val="center"/>
        <w:rPr>
          <w:rFonts w:ascii="Times New Roman" w:hAnsi="Times New Roman" w:cs="Times New Roman"/>
          <w:b/>
          <w:bCs/>
          <w:color w:val="000000"/>
        </w:rPr>
      </w:pPr>
      <w:bookmarkStart w:id="0" w:name="_GoBack"/>
      <w:bookmarkEnd w:id="0"/>
    </w:p>
    <w:p w:rsidR="002D65BD" w:rsidRDefault="002D65BD" w:rsidP="002D65BD">
      <w:pPr>
        <w:spacing w:line="360" w:lineRule="auto"/>
        <w:jc w:val="center"/>
        <w:rPr>
          <w:rFonts w:ascii="Times New Roman" w:hAnsi="Times New Roman" w:cs="Times New Roman"/>
          <w:b/>
          <w:bCs/>
          <w:smallCaps/>
        </w:rPr>
      </w:pPr>
    </w:p>
    <w:p w:rsidR="002D65BD" w:rsidRDefault="002D65BD" w:rsidP="002D65BD">
      <w:pPr>
        <w:spacing w:line="360" w:lineRule="auto"/>
        <w:jc w:val="center"/>
        <w:rPr>
          <w:rFonts w:ascii="Times New Roman" w:hAnsi="Times New Roman" w:cs="Times New Roman"/>
          <w:b/>
          <w:bCs/>
          <w:smallCaps/>
          <w:color w:val="000000"/>
        </w:rPr>
      </w:pPr>
      <w:r w:rsidRPr="00CA3F37">
        <w:rPr>
          <w:rFonts w:ascii="Times New Roman" w:hAnsi="Times New Roman" w:cs="Times New Roman"/>
          <w:b/>
          <w:bCs/>
          <w:smallCaps/>
        </w:rPr>
        <w:t xml:space="preserve">instructivo y consignas </w:t>
      </w:r>
      <w:r w:rsidRPr="00CA3F37">
        <w:rPr>
          <w:rFonts w:ascii="Times New Roman" w:hAnsi="Times New Roman" w:cs="Times New Roman"/>
          <w:b/>
          <w:bCs/>
          <w:smallCaps/>
          <w:color w:val="000000"/>
        </w:rPr>
        <w:t>d</w:t>
      </w:r>
      <w:r>
        <w:rPr>
          <w:rFonts w:ascii="Times New Roman" w:hAnsi="Times New Roman" w:cs="Times New Roman"/>
          <w:b/>
          <w:bCs/>
          <w:smallCaps/>
          <w:color w:val="000000"/>
        </w:rPr>
        <w:t>el trabajo final</w:t>
      </w:r>
      <w:r w:rsidRPr="00CA3F37">
        <w:rPr>
          <w:rFonts w:ascii="Times New Roman" w:hAnsi="Times New Roman" w:cs="Times New Roman"/>
          <w:b/>
          <w:bCs/>
          <w:smallCaps/>
          <w:color w:val="000000"/>
        </w:rPr>
        <w:t xml:space="preserve"> </w:t>
      </w:r>
    </w:p>
    <w:p w:rsidR="002D65BD" w:rsidRDefault="002D65BD" w:rsidP="002D65BD">
      <w:pPr>
        <w:spacing w:line="360" w:lineRule="auto"/>
        <w:jc w:val="center"/>
        <w:rPr>
          <w:rFonts w:ascii="Times New Roman" w:hAnsi="Times New Roman" w:cs="Times New Roman"/>
          <w:b/>
          <w:bCs/>
          <w:smallCaps/>
          <w:color w:val="000000"/>
        </w:rPr>
      </w:pPr>
    </w:p>
    <w:p w:rsidR="002D65BD" w:rsidRPr="00827289" w:rsidRDefault="002D65BD" w:rsidP="002D65BD">
      <w:pPr>
        <w:spacing w:line="360" w:lineRule="auto"/>
        <w:jc w:val="both"/>
        <w:rPr>
          <w:rFonts w:ascii="Times New Roman" w:hAnsi="Times New Roman" w:cs="Times New Roman"/>
          <w:bCs/>
          <w:smallCaps/>
        </w:rPr>
      </w:pPr>
      <w:r>
        <w:rPr>
          <w:rFonts w:ascii="Times New Roman" w:hAnsi="Times New Roman" w:cs="Times New Roman"/>
          <w:bCs/>
          <w:smallCaps/>
          <w:color w:val="000000"/>
        </w:rPr>
        <w:t>Por favor, se ruega que lea atentamente las siguientes pautas:</w:t>
      </w:r>
    </w:p>
    <w:p w:rsidR="002D65BD" w:rsidRDefault="002D65BD" w:rsidP="002D65BD">
      <w:pPr>
        <w:spacing w:line="360" w:lineRule="auto"/>
        <w:jc w:val="both"/>
        <w:rPr>
          <w:rFonts w:ascii="Times New Roman" w:hAnsi="Times New Roman" w:cs="Times New Roman"/>
          <w:b/>
          <w:bCs/>
          <w:smallCaps/>
          <w:color w:val="000000"/>
        </w:rPr>
      </w:pPr>
    </w:p>
    <w:p w:rsidR="002D65BD" w:rsidRPr="00CA3F37" w:rsidRDefault="002D65BD" w:rsidP="002D65BD">
      <w:pPr>
        <w:spacing w:line="360" w:lineRule="auto"/>
        <w:jc w:val="both"/>
        <w:rPr>
          <w:rFonts w:ascii="Times New Roman" w:hAnsi="Times New Roman" w:cs="Times New Roman"/>
          <w:smallCaps/>
          <w:color w:val="000000"/>
        </w:rPr>
      </w:pPr>
      <w:r w:rsidRPr="00CA3F37">
        <w:rPr>
          <w:rFonts w:ascii="Times New Roman" w:hAnsi="Times New Roman" w:cs="Times New Roman"/>
          <w:b/>
          <w:bCs/>
          <w:smallCaps/>
          <w:color w:val="000000"/>
        </w:rPr>
        <w:t>Pautas formales</w:t>
      </w:r>
    </w:p>
    <w:p w:rsidR="002D65BD" w:rsidRDefault="002D65BD" w:rsidP="002D65BD">
      <w:pPr>
        <w:spacing w:line="360" w:lineRule="auto"/>
        <w:jc w:val="both"/>
        <w:rPr>
          <w:rFonts w:ascii="Times New Roman" w:hAnsi="Times New Roman" w:cs="Times New Roman"/>
          <w:color w:val="000000" w:themeColor="text1"/>
        </w:rPr>
      </w:pPr>
      <w:r w:rsidRPr="00CA3F37">
        <w:rPr>
          <w:rFonts w:ascii="Times New Roman" w:hAnsi="Times New Roman" w:cs="Times New Roman"/>
          <w:color w:val="000000" w:themeColor="text1"/>
        </w:rPr>
        <w:t xml:space="preserve">El parcial deberá tener una </w:t>
      </w:r>
      <w:r w:rsidR="00B57F4A">
        <w:rPr>
          <w:rFonts w:ascii="Times New Roman" w:hAnsi="Times New Roman" w:cs="Times New Roman"/>
          <w:b/>
          <w:color w:val="000000" w:themeColor="text1"/>
        </w:rPr>
        <w:t>extensión máxima de seis</w:t>
      </w:r>
      <w:r w:rsidRPr="00CA3F37">
        <w:rPr>
          <w:rFonts w:ascii="Times New Roman" w:hAnsi="Times New Roman" w:cs="Times New Roman"/>
          <w:b/>
          <w:color w:val="000000" w:themeColor="text1"/>
        </w:rPr>
        <w:t xml:space="preserve"> carillas</w:t>
      </w:r>
      <w:r>
        <w:rPr>
          <w:rFonts w:ascii="Times New Roman" w:hAnsi="Times New Roman" w:cs="Times New Roman"/>
          <w:b/>
          <w:color w:val="000000" w:themeColor="text1"/>
        </w:rPr>
        <w:t>. Al estar compuesto de tres consignas, se recomienda utilizar dos carillas para cada una</w:t>
      </w:r>
      <w:r>
        <w:rPr>
          <w:rFonts w:ascii="Times New Roman" w:hAnsi="Times New Roman" w:cs="Times New Roman"/>
          <w:color w:val="000000" w:themeColor="text1"/>
        </w:rPr>
        <w:t xml:space="preserve">. </w:t>
      </w:r>
    </w:p>
    <w:p w:rsidR="002D65BD" w:rsidRDefault="002D65BD" w:rsidP="002D65BD">
      <w:pPr>
        <w:spacing w:line="360" w:lineRule="auto"/>
        <w:jc w:val="both"/>
        <w:rPr>
          <w:rFonts w:ascii="Times New Roman" w:hAnsi="Times New Roman" w:cs="Times New Roman"/>
          <w:color w:val="000000" w:themeColor="text1"/>
        </w:rPr>
      </w:pPr>
    </w:p>
    <w:p w:rsidR="002D65BD" w:rsidRDefault="002D65BD" w:rsidP="002D65BD">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H</w:t>
      </w:r>
      <w:r w:rsidRPr="00CA3F37">
        <w:rPr>
          <w:rFonts w:ascii="Times New Roman" w:hAnsi="Times New Roman" w:cs="Times New Roman"/>
          <w:color w:val="000000" w:themeColor="text1"/>
        </w:rPr>
        <w:t xml:space="preserve">oja tamaño A4, simple faz; márgenes de 2,5 cm.; fuente </w:t>
      </w:r>
      <w:r w:rsidRPr="00CA3F37">
        <w:rPr>
          <w:rFonts w:ascii="Times New Roman" w:hAnsi="Times New Roman" w:cs="Times New Roman"/>
          <w:i/>
          <w:color w:val="000000" w:themeColor="text1"/>
        </w:rPr>
        <w:t xml:space="preserve">Times New </w:t>
      </w:r>
      <w:proofErr w:type="spellStart"/>
      <w:r w:rsidRPr="00CA3F37">
        <w:rPr>
          <w:rFonts w:ascii="Times New Roman" w:hAnsi="Times New Roman" w:cs="Times New Roman"/>
          <w:i/>
          <w:color w:val="000000" w:themeColor="text1"/>
        </w:rPr>
        <w:t>Roman</w:t>
      </w:r>
      <w:proofErr w:type="spellEnd"/>
      <w:r w:rsidRPr="00CA3F37">
        <w:rPr>
          <w:rFonts w:ascii="Times New Roman" w:hAnsi="Times New Roman" w:cs="Times New Roman"/>
          <w:color w:val="000000" w:themeColor="text1"/>
        </w:rPr>
        <w:t xml:space="preserve">; tamaño </w:t>
      </w:r>
      <w:r>
        <w:rPr>
          <w:rFonts w:ascii="Times New Roman" w:hAnsi="Times New Roman" w:cs="Times New Roman"/>
          <w:color w:val="000000" w:themeColor="text1"/>
        </w:rPr>
        <w:t xml:space="preserve">de letra </w:t>
      </w:r>
      <w:r w:rsidRPr="00CA3F37">
        <w:rPr>
          <w:rFonts w:ascii="Times New Roman" w:hAnsi="Times New Roman" w:cs="Times New Roman"/>
          <w:color w:val="000000" w:themeColor="text1"/>
        </w:rPr>
        <w:t>12 (</w:t>
      </w:r>
      <w:r w:rsidRPr="00CA3F37">
        <w:rPr>
          <w:rFonts w:ascii="Times New Roman" w:hAnsi="Times New Roman" w:cs="Times New Roman"/>
          <w:b/>
          <w:color w:val="000000" w:themeColor="text1"/>
        </w:rPr>
        <w:t>no usar tamaño de letra menor o mayor</w:t>
      </w:r>
      <w:r w:rsidRPr="00CA3F37">
        <w:rPr>
          <w:rFonts w:ascii="Times New Roman" w:hAnsi="Times New Roman" w:cs="Times New Roman"/>
          <w:color w:val="000000" w:themeColor="text1"/>
        </w:rPr>
        <w:t>); párrafo (interlineado):</w:t>
      </w:r>
      <w:r w:rsidRPr="00CA3F37">
        <w:rPr>
          <w:rFonts w:ascii="Times New Roman" w:hAnsi="Times New Roman" w:cs="Times New Roman"/>
          <w:b/>
        </w:rPr>
        <w:t xml:space="preserve"> 1,5</w:t>
      </w:r>
      <w:r w:rsidRPr="00CA3F37">
        <w:rPr>
          <w:rFonts w:ascii="Times New Roman" w:hAnsi="Times New Roman" w:cs="Times New Roman"/>
          <w:color w:val="000000" w:themeColor="text1"/>
        </w:rPr>
        <w:t xml:space="preserve">; texto: justificado; </w:t>
      </w:r>
      <w:r w:rsidRPr="00CA3F37">
        <w:rPr>
          <w:rFonts w:ascii="Times New Roman" w:hAnsi="Times New Roman" w:cs="Times New Roman"/>
          <w:b/>
          <w:color w:val="000000" w:themeColor="text1"/>
        </w:rPr>
        <w:t>sangría al inicio de cada párrafo</w:t>
      </w:r>
      <w:r w:rsidRPr="00CA3F37">
        <w:rPr>
          <w:rFonts w:ascii="Times New Roman" w:hAnsi="Times New Roman" w:cs="Times New Roman"/>
          <w:color w:val="000000" w:themeColor="text1"/>
        </w:rPr>
        <w:t xml:space="preserve">. </w:t>
      </w:r>
      <w:r>
        <w:rPr>
          <w:rFonts w:ascii="Times New Roman" w:hAnsi="Times New Roman" w:cs="Times New Roman"/>
          <w:color w:val="000000" w:themeColor="text1"/>
        </w:rPr>
        <w:t>Agregar por favor la carrera de que la cada uno provenga.</w:t>
      </w:r>
    </w:p>
    <w:p w:rsidR="002D65BD" w:rsidRPr="00CA3F37" w:rsidRDefault="002D65BD" w:rsidP="002D65BD">
      <w:pPr>
        <w:spacing w:line="360" w:lineRule="auto"/>
        <w:jc w:val="both"/>
        <w:rPr>
          <w:rFonts w:ascii="Times New Roman" w:hAnsi="Times New Roman" w:cs="Times New Roman"/>
          <w:color w:val="000000" w:themeColor="text1"/>
        </w:rPr>
      </w:pPr>
    </w:p>
    <w:p w:rsidR="002D65BD" w:rsidRPr="00CA3F37" w:rsidRDefault="002D65BD" w:rsidP="002D65BD">
      <w:pPr>
        <w:widowControl w:val="0"/>
        <w:spacing w:line="360" w:lineRule="auto"/>
        <w:jc w:val="both"/>
        <w:rPr>
          <w:rFonts w:ascii="Times New Roman" w:hAnsi="Times New Roman" w:cs="Times New Roman"/>
          <w:b/>
          <w:smallCaps/>
          <w:color w:val="000000" w:themeColor="text1"/>
        </w:rPr>
      </w:pPr>
      <w:r w:rsidRPr="00CA3F37">
        <w:rPr>
          <w:rFonts w:ascii="Times New Roman" w:hAnsi="Times New Roman" w:cs="Times New Roman"/>
          <w:b/>
          <w:smallCaps/>
          <w:color w:val="000000" w:themeColor="text1"/>
        </w:rPr>
        <w:t xml:space="preserve">Otros aspectos a tener en cuenta: </w:t>
      </w:r>
    </w:p>
    <w:p w:rsidR="002D65BD" w:rsidRPr="00CA3F37" w:rsidRDefault="002D65BD" w:rsidP="002D65BD">
      <w:pPr>
        <w:widowControl w:val="0"/>
        <w:suppressAutoHyphens/>
        <w:spacing w:line="360" w:lineRule="auto"/>
        <w:jc w:val="both"/>
        <w:rPr>
          <w:rFonts w:ascii="Times New Roman" w:eastAsia="DejaVu Sans" w:hAnsi="Times New Roman" w:cs="Times New Roman"/>
          <w:color w:val="000000" w:themeColor="text1"/>
          <w:kern w:val="2"/>
          <w:lang w:val="es-MX" w:eastAsia="hi-IN" w:bidi="hi-IN"/>
        </w:rPr>
      </w:pPr>
      <w:r>
        <w:rPr>
          <w:rFonts w:ascii="Times New Roman" w:eastAsia="DejaVu Sans" w:hAnsi="Times New Roman" w:cs="Times New Roman"/>
          <w:color w:val="000000" w:themeColor="text1"/>
          <w:kern w:val="2"/>
          <w:lang w:val="es-MX" w:eastAsia="hi-IN" w:bidi="hi-IN"/>
        </w:rPr>
        <w:t xml:space="preserve">Títulos de libros citados </w:t>
      </w:r>
      <w:r w:rsidRPr="00CA3F37">
        <w:rPr>
          <w:rFonts w:ascii="Times New Roman" w:eastAsia="DejaVu Sans" w:hAnsi="Times New Roman" w:cs="Times New Roman"/>
          <w:color w:val="000000" w:themeColor="text1"/>
          <w:kern w:val="2"/>
          <w:lang w:val="es-MX" w:eastAsia="hi-IN" w:bidi="hi-IN"/>
        </w:rPr>
        <w:t>en cursiva (nunca entrecomillados). Por ejemplo:</w:t>
      </w:r>
      <w:r>
        <w:rPr>
          <w:rFonts w:ascii="Times New Roman" w:eastAsia="DejaVu Sans" w:hAnsi="Times New Roman" w:cs="Times New Roman"/>
          <w:color w:val="000000" w:themeColor="text1"/>
          <w:kern w:val="2"/>
          <w:lang w:val="es-MX" w:eastAsia="hi-IN" w:bidi="hi-IN"/>
        </w:rPr>
        <w:t xml:space="preserve"> </w:t>
      </w:r>
      <w:r w:rsidRPr="00CA3F37">
        <w:rPr>
          <w:rFonts w:ascii="Times New Roman" w:eastAsia="DejaVu Sans" w:hAnsi="Times New Roman" w:cs="Times New Roman"/>
          <w:i/>
          <w:color w:val="000000" w:themeColor="text1"/>
          <w:kern w:val="2"/>
          <w:lang w:val="es-MX" w:eastAsia="hi-IN" w:bidi="hi-IN"/>
        </w:rPr>
        <w:t>Banquete</w:t>
      </w:r>
      <w:r w:rsidRPr="00CA3F37">
        <w:rPr>
          <w:rFonts w:ascii="Times New Roman" w:eastAsia="DejaVu Sans" w:hAnsi="Times New Roman" w:cs="Times New Roman"/>
          <w:color w:val="000000" w:themeColor="text1"/>
          <w:kern w:val="2"/>
          <w:lang w:val="es-MX" w:eastAsia="hi-IN" w:bidi="hi-IN"/>
        </w:rPr>
        <w:t xml:space="preserve">, </w:t>
      </w:r>
      <w:r w:rsidRPr="00CA3F37">
        <w:rPr>
          <w:rFonts w:ascii="Times New Roman" w:hAnsi="Times New Roman" w:cs="Times New Roman"/>
          <w:i/>
          <w:color w:val="000000" w:themeColor="text1"/>
        </w:rPr>
        <w:t>Metafísica</w:t>
      </w:r>
      <w:r w:rsidRPr="00CA3F37">
        <w:rPr>
          <w:rFonts w:ascii="Times New Roman" w:hAnsi="Times New Roman" w:cs="Times New Roman"/>
          <w:color w:val="000000" w:themeColor="text1"/>
        </w:rPr>
        <w:t xml:space="preserve">, </w:t>
      </w:r>
      <w:r w:rsidRPr="00CA3F37">
        <w:rPr>
          <w:rFonts w:ascii="Times New Roman" w:eastAsia="DejaVu Sans" w:hAnsi="Times New Roman" w:cs="Times New Roman"/>
          <w:i/>
          <w:color w:val="000000" w:themeColor="text1"/>
          <w:kern w:val="2"/>
          <w:lang w:val="es-MX" w:eastAsia="hi-IN" w:bidi="hi-IN"/>
        </w:rPr>
        <w:t>Los orígenes del pensamiento griego</w:t>
      </w:r>
      <w:r w:rsidRPr="00CA3F37">
        <w:rPr>
          <w:rFonts w:ascii="Times New Roman" w:eastAsia="DejaVu Sans" w:hAnsi="Times New Roman" w:cs="Times New Roman"/>
          <w:color w:val="000000" w:themeColor="text1"/>
          <w:kern w:val="2"/>
          <w:lang w:val="es-MX" w:eastAsia="hi-IN" w:bidi="hi-IN"/>
        </w:rPr>
        <w:t xml:space="preserve">, </w:t>
      </w:r>
      <w:r w:rsidRPr="00CA3F37">
        <w:rPr>
          <w:rFonts w:ascii="Times New Roman" w:eastAsia="DejaVu Sans" w:hAnsi="Times New Roman" w:cs="Times New Roman"/>
          <w:i/>
          <w:color w:val="000000" w:themeColor="text1"/>
          <w:kern w:val="2"/>
          <w:lang w:val="es-MX" w:eastAsia="hi-IN" w:bidi="hi-IN"/>
        </w:rPr>
        <w:t>Meditaciones metafísicas</w:t>
      </w:r>
      <w:r w:rsidRPr="00CA3F37">
        <w:rPr>
          <w:rFonts w:ascii="Times New Roman" w:eastAsia="DejaVu Sans" w:hAnsi="Times New Roman" w:cs="Times New Roman"/>
          <w:color w:val="000000" w:themeColor="text1"/>
          <w:kern w:val="2"/>
          <w:lang w:val="es-MX" w:eastAsia="hi-IN" w:bidi="hi-IN"/>
        </w:rPr>
        <w:t xml:space="preserve">, </w:t>
      </w:r>
      <w:r w:rsidRPr="00CA3F37">
        <w:rPr>
          <w:rFonts w:ascii="Times New Roman" w:eastAsia="DejaVu Sans" w:hAnsi="Times New Roman" w:cs="Times New Roman"/>
          <w:i/>
          <w:color w:val="000000" w:themeColor="text1"/>
          <w:kern w:val="2"/>
          <w:lang w:val="es-MX" w:eastAsia="hi-IN" w:bidi="hi-IN"/>
        </w:rPr>
        <w:t>Así habló Zaratustra</w:t>
      </w:r>
      <w:r w:rsidRPr="00CA3F37">
        <w:rPr>
          <w:rFonts w:ascii="Times New Roman" w:eastAsia="DejaVu Sans" w:hAnsi="Times New Roman" w:cs="Times New Roman"/>
          <w:color w:val="000000" w:themeColor="text1"/>
          <w:kern w:val="2"/>
          <w:lang w:val="es-MX" w:eastAsia="hi-IN" w:bidi="hi-IN"/>
        </w:rPr>
        <w:t xml:space="preserve">, etc. </w:t>
      </w:r>
    </w:p>
    <w:p w:rsidR="002D65BD" w:rsidRPr="00CA3F37" w:rsidRDefault="002D65BD" w:rsidP="002D65BD">
      <w:pPr>
        <w:widowControl w:val="0"/>
        <w:suppressAutoHyphens/>
        <w:spacing w:line="360" w:lineRule="auto"/>
        <w:jc w:val="both"/>
        <w:rPr>
          <w:rFonts w:ascii="Times New Roman" w:eastAsia="DejaVu Sans" w:hAnsi="Times New Roman" w:cs="Times New Roman"/>
          <w:color w:val="000000" w:themeColor="text1"/>
          <w:kern w:val="2"/>
          <w:lang w:val="es-MX" w:eastAsia="hi-IN" w:bidi="hi-IN"/>
        </w:rPr>
      </w:pPr>
      <w:r w:rsidRPr="00CA3F37">
        <w:rPr>
          <w:rFonts w:ascii="Times New Roman" w:eastAsia="DejaVu Sans" w:hAnsi="Times New Roman" w:cs="Times New Roman"/>
          <w:color w:val="000000" w:themeColor="text1"/>
          <w:kern w:val="2"/>
          <w:lang w:val="es-MX" w:eastAsia="hi-IN" w:bidi="hi-IN"/>
        </w:rPr>
        <w:t xml:space="preserve">Capítulo/partes de libros: entre comillas, sin cursiva. Por ejemplo: En el capítulo “Mito y saber”, Luc </w:t>
      </w:r>
      <w:proofErr w:type="spellStart"/>
      <w:r w:rsidRPr="00CA3F37">
        <w:rPr>
          <w:rFonts w:ascii="Times New Roman" w:eastAsia="DejaVu Sans" w:hAnsi="Times New Roman" w:cs="Times New Roman"/>
          <w:color w:val="000000" w:themeColor="text1"/>
          <w:kern w:val="2"/>
          <w:lang w:val="es-MX" w:eastAsia="hi-IN" w:bidi="hi-IN"/>
        </w:rPr>
        <w:t>Brisson</w:t>
      </w:r>
      <w:proofErr w:type="spellEnd"/>
      <w:r w:rsidRPr="00CA3F37">
        <w:rPr>
          <w:rFonts w:ascii="Times New Roman" w:eastAsia="DejaVu Sans" w:hAnsi="Times New Roman" w:cs="Times New Roman"/>
          <w:color w:val="000000" w:themeColor="text1"/>
          <w:kern w:val="2"/>
          <w:lang w:val="es-MX" w:eastAsia="hi-IN" w:bidi="hi-IN"/>
        </w:rPr>
        <w:t xml:space="preserve"> afirma…</w:t>
      </w:r>
    </w:p>
    <w:p w:rsidR="002D65BD" w:rsidRPr="00CA3F37" w:rsidRDefault="002D65BD" w:rsidP="002D65BD">
      <w:pPr>
        <w:widowControl w:val="0"/>
        <w:suppressAutoHyphens/>
        <w:spacing w:line="360" w:lineRule="auto"/>
        <w:jc w:val="both"/>
        <w:rPr>
          <w:rFonts w:ascii="Times New Roman" w:eastAsia="DejaVu Sans" w:hAnsi="Times New Roman" w:cs="Times New Roman"/>
          <w:color w:val="000000" w:themeColor="text1"/>
          <w:kern w:val="2"/>
          <w:lang w:val="es-MX" w:eastAsia="hi-IN" w:bidi="hi-IN"/>
        </w:rPr>
      </w:pPr>
      <w:r w:rsidRPr="00CA3F37">
        <w:rPr>
          <w:rFonts w:ascii="Times New Roman" w:eastAsia="DejaVu Sans" w:hAnsi="Times New Roman" w:cs="Times New Roman"/>
          <w:color w:val="000000" w:themeColor="text1"/>
          <w:kern w:val="2"/>
          <w:lang w:val="es-MX" w:eastAsia="hi-IN" w:bidi="hi-IN"/>
        </w:rPr>
        <w:t xml:space="preserve">Términos en otras lenguas clásicas (griego, latín) y modernas: transliterados, en cursiva y acentuados (por ejemplo, </w:t>
      </w:r>
      <w:proofErr w:type="spellStart"/>
      <w:r w:rsidRPr="00CA3F37">
        <w:rPr>
          <w:rFonts w:ascii="Times New Roman" w:eastAsia="DejaVu Sans" w:hAnsi="Times New Roman" w:cs="Times New Roman"/>
          <w:i/>
          <w:color w:val="000000" w:themeColor="text1"/>
          <w:kern w:val="2"/>
          <w:lang w:val="es-MX" w:eastAsia="hi-IN" w:bidi="hi-IN"/>
        </w:rPr>
        <w:t>lógos</w:t>
      </w:r>
      <w:proofErr w:type="spellEnd"/>
      <w:r w:rsidRPr="00CA3F37">
        <w:rPr>
          <w:rFonts w:ascii="Times New Roman" w:eastAsia="DejaVu Sans" w:hAnsi="Times New Roman" w:cs="Times New Roman"/>
          <w:color w:val="000000" w:themeColor="text1"/>
          <w:kern w:val="2"/>
          <w:lang w:val="es-MX" w:eastAsia="hi-IN" w:bidi="hi-IN"/>
        </w:rPr>
        <w:t xml:space="preserve">, </w:t>
      </w:r>
      <w:proofErr w:type="spellStart"/>
      <w:r w:rsidRPr="00CA3F37">
        <w:rPr>
          <w:rFonts w:ascii="Times New Roman" w:eastAsia="DejaVu Sans" w:hAnsi="Times New Roman" w:cs="Times New Roman"/>
          <w:i/>
          <w:color w:val="000000" w:themeColor="text1"/>
          <w:kern w:val="2"/>
          <w:lang w:val="es-MX" w:eastAsia="hi-IN" w:bidi="hi-IN"/>
        </w:rPr>
        <w:t>éros</w:t>
      </w:r>
      <w:proofErr w:type="spellEnd"/>
      <w:r w:rsidRPr="00CA3F37">
        <w:rPr>
          <w:rFonts w:ascii="Times New Roman" w:eastAsia="DejaVu Sans" w:hAnsi="Times New Roman" w:cs="Times New Roman"/>
          <w:color w:val="000000" w:themeColor="text1"/>
          <w:kern w:val="2"/>
          <w:lang w:val="es-MX" w:eastAsia="hi-IN" w:bidi="hi-IN"/>
        </w:rPr>
        <w:t xml:space="preserve">, </w:t>
      </w:r>
      <w:r w:rsidRPr="00CA3F37">
        <w:rPr>
          <w:rFonts w:ascii="Times New Roman" w:eastAsia="DejaVu Sans" w:hAnsi="Times New Roman" w:cs="Times New Roman"/>
          <w:i/>
          <w:color w:val="000000" w:themeColor="text1"/>
          <w:kern w:val="2"/>
          <w:lang w:val="es-MX" w:eastAsia="hi-IN" w:bidi="hi-IN"/>
        </w:rPr>
        <w:t>cogito</w:t>
      </w:r>
      <w:r w:rsidRPr="00CA3F37">
        <w:rPr>
          <w:rFonts w:ascii="Times New Roman" w:eastAsia="DejaVu Sans" w:hAnsi="Times New Roman" w:cs="Times New Roman"/>
          <w:color w:val="000000" w:themeColor="text1"/>
          <w:kern w:val="2"/>
          <w:lang w:val="es-MX" w:eastAsia="hi-IN" w:bidi="hi-IN"/>
        </w:rPr>
        <w:t xml:space="preserve">, </w:t>
      </w:r>
      <w:proofErr w:type="spellStart"/>
      <w:r w:rsidRPr="00CA3F37">
        <w:rPr>
          <w:rFonts w:ascii="Times New Roman" w:eastAsia="DejaVu Sans" w:hAnsi="Times New Roman" w:cs="Times New Roman"/>
          <w:i/>
          <w:color w:val="000000" w:themeColor="text1"/>
          <w:kern w:val="2"/>
          <w:lang w:val="es-MX" w:eastAsia="hi-IN" w:bidi="hi-IN"/>
        </w:rPr>
        <w:t>background</w:t>
      </w:r>
      <w:proofErr w:type="spellEnd"/>
      <w:r w:rsidRPr="00CA3F37">
        <w:rPr>
          <w:rFonts w:ascii="Times New Roman" w:eastAsia="DejaVu Sans" w:hAnsi="Times New Roman" w:cs="Times New Roman"/>
          <w:color w:val="000000" w:themeColor="text1"/>
          <w:kern w:val="2"/>
          <w:lang w:val="es-MX" w:eastAsia="hi-IN" w:bidi="hi-IN"/>
        </w:rPr>
        <w:t xml:space="preserve">, etc.). </w:t>
      </w:r>
    </w:p>
    <w:p w:rsidR="002D65BD" w:rsidRPr="00CA3F37" w:rsidRDefault="002D65BD" w:rsidP="002D65BD">
      <w:pPr>
        <w:widowControl w:val="0"/>
        <w:spacing w:line="360" w:lineRule="auto"/>
        <w:jc w:val="both"/>
        <w:rPr>
          <w:rFonts w:ascii="Times New Roman" w:hAnsi="Times New Roman" w:cs="Times New Roman"/>
          <w:color w:val="000000" w:themeColor="text1"/>
        </w:rPr>
      </w:pPr>
    </w:p>
    <w:p w:rsidR="002D65BD" w:rsidRDefault="002D65BD" w:rsidP="002D65BD">
      <w:pPr>
        <w:widowControl w:val="0"/>
        <w:spacing w:line="360" w:lineRule="auto"/>
        <w:jc w:val="both"/>
        <w:rPr>
          <w:rFonts w:ascii="Times New Roman" w:hAnsi="Times New Roman" w:cs="Times New Roman"/>
          <w:color w:val="000000" w:themeColor="text1"/>
        </w:rPr>
      </w:pPr>
      <w:r w:rsidRPr="00CA3F37">
        <w:rPr>
          <w:rFonts w:ascii="Times New Roman" w:hAnsi="Times New Roman" w:cs="Times New Roman"/>
          <w:color w:val="000000" w:themeColor="text1"/>
        </w:rPr>
        <w:t xml:space="preserve">No usar subrayados ni negritas. </w:t>
      </w:r>
    </w:p>
    <w:p w:rsidR="002D65BD" w:rsidRPr="00CA3F37" w:rsidRDefault="002D65BD" w:rsidP="002D65BD">
      <w:pPr>
        <w:widowControl w:val="0"/>
        <w:spacing w:line="360" w:lineRule="auto"/>
        <w:jc w:val="both"/>
        <w:rPr>
          <w:rFonts w:ascii="Times New Roman" w:hAnsi="Times New Roman" w:cs="Times New Roman"/>
          <w:color w:val="000000" w:themeColor="text1"/>
        </w:rPr>
      </w:pPr>
    </w:p>
    <w:p w:rsidR="002D65BD" w:rsidRPr="00CA3F37" w:rsidRDefault="002D65BD" w:rsidP="002D65BD">
      <w:pPr>
        <w:widowControl w:val="0"/>
        <w:spacing w:line="360" w:lineRule="auto"/>
        <w:jc w:val="both"/>
        <w:rPr>
          <w:rFonts w:ascii="Times New Roman" w:hAnsi="Times New Roman" w:cs="Times New Roman"/>
          <w:b/>
          <w:smallCaps/>
          <w:color w:val="000000" w:themeColor="text1"/>
        </w:rPr>
      </w:pPr>
      <w:r w:rsidRPr="00CA3F37">
        <w:rPr>
          <w:rFonts w:ascii="Times New Roman" w:hAnsi="Times New Roman" w:cs="Times New Roman"/>
          <w:b/>
          <w:smallCaps/>
          <w:color w:val="000000" w:themeColor="text1"/>
        </w:rPr>
        <w:t>Modos de citado</w:t>
      </w:r>
    </w:p>
    <w:p w:rsidR="002D65BD" w:rsidRPr="00CA3F37" w:rsidRDefault="002D65BD" w:rsidP="002D65BD">
      <w:pPr>
        <w:widowControl w:val="0"/>
        <w:spacing w:line="360" w:lineRule="auto"/>
        <w:jc w:val="both"/>
        <w:rPr>
          <w:rFonts w:ascii="Times New Roman" w:hAnsi="Times New Roman" w:cs="Times New Roman"/>
          <w:color w:val="000000" w:themeColor="text1"/>
        </w:rPr>
      </w:pPr>
      <w:r w:rsidRPr="00CA3F37">
        <w:rPr>
          <w:rFonts w:ascii="Times New Roman" w:hAnsi="Times New Roman" w:cs="Times New Roman"/>
          <w:color w:val="000000" w:themeColor="text1"/>
        </w:rPr>
        <w:t>En formato clásico MLA/Chicago (en nota al pie)</w:t>
      </w:r>
      <w:r>
        <w:rPr>
          <w:rFonts w:ascii="Times New Roman" w:hAnsi="Times New Roman" w:cs="Times New Roman"/>
          <w:color w:val="000000" w:themeColor="text1"/>
        </w:rPr>
        <w:t>:</w:t>
      </w:r>
    </w:p>
    <w:p w:rsidR="002D65BD" w:rsidRPr="00CA3F37" w:rsidRDefault="002D65BD" w:rsidP="002D65BD">
      <w:pPr>
        <w:pStyle w:val="Prrafodelista"/>
        <w:widowControl w:val="0"/>
        <w:numPr>
          <w:ilvl w:val="0"/>
          <w:numId w:val="1"/>
        </w:numPr>
        <w:spacing w:line="360" w:lineRule="auto"/>
        <w:jc w:val="both"/>
        <w:rPr>
          <w:rFonts w:ascii="Times New Roman" w:hAnsi="Times New Roman" w:cs="Times New Roman"/>
          <w:color w:val="000000" w:themeColor="text1"/>
        </w:rPr>
      </w:pPr>
      <w:r w:rsidRPr="00CA3F37">
        <w:rPr>
          <w:rFonts w:ascii="Times New Roman" w:hAnsi="Times New Roman" w:cs="Times New Roman"/>
          <w:color w:val="000000" w:themeColor="text1"/>
        </w:rPr>
        <w:t xml:space="preserve">Libro: Marion, J.-L. (2010), </w:t>
      </w:r>
      <w:r w:rsidRPr="00CA3F37">
        <w:rPr>
          <w:rFonts w:ascii="Times New Roman" w:hAnsi="Times New Roman" w:cs="Times New Roman"/>
          <w:i/>
          <w:color w:val="000000" w:themeColor="text1"/>
        </w:rPr>
        <w:t xml:space="preserve">Certitudes </w:t>
      </w:r>
      <w:proofErr w:type="spellStart"/>
      <w:r w:rsidRPr="00CA3F37">
        <w:rPr>
          <w:rFonts w:ascii="Times New Roman" w:hAnsi="Times New Roman" w:cs="Times New Roman"/>
          <w:i/>
          <w:color w:val="000000" w:themeColor="text1"/>
        </w:rPr>
        <w:t>négatives</w:t>
      </w:r>
      <w:proofErr w:type="spellEnd"/>
      <w:r w:rsidRPr="00CA3F37">
        <w:rPr>
          <w:rFonts w:ascii="Times New Roman" w:hAnsi="Times New Roman" w:cs="Times New Roman"/>
          <w:color w:val="000000" w:themeColor="text1"/>
        </w:rPr>
        <w:t xml:space="preserve">, Paris, </w:t>
      </w:r>
      <w:proofErr w:type="spellStart"/>
      <w:r w:rsidRPr="00CA3F37">
        <w:rPr>
          <w:rFonts w:ascii="Times New Roman" w:hAnsi="Times New Roman" w:cs="Times New Roman"/>
          <w:color w:val="000000" w:themeColor="text1"/>
        </w:rPr>
        <w:t>Cerf</w:t>
      </w:r>
      <w:proofErr w:type="spellEnd"/>
      <w:r w:rsidRPr="00CA3F37">
        <w:rPr>
          <w:rFonts w:ascii="Times New Roman" w:hAnsi="Times New Roman" w:cs="Times New Roman"/>
          <w:color w:val="000000" w:themeColor="text1"/>
        </w:rPr>
        <w:t>, pp. 34-45.</w:t>
      </w:r>
    </w:p>
    <w:p w:rsidR="002D65BD" w:rsidRPr="00CA3F37" w:rsidRDefault="002D65BD" w:rsidP="002D65BD">
      <w:pPr>
        <w:pStyle w:val="Prrafodelista"/>
        <w:numPr>
          <w:ilvl w:val="0"/>
          <w:numId w:val="1"/>
        </w:numPr>
        <w:spacing w:before="120" w:after="120" w:line="360" w:lineRule="auto"/>
        <w:jc w:val="both"/>
        <w:rPr>
          <w:rFonts w:ascii="Times New Roman" w:eastAsia="Calibri" w:hAnsi="Times New Roman" w:cs="Times New Roman"/>
          <w:color w:val="000000"/>
          <w:lang w:val="it-IT"/>
        </w:rPr>
      </w:pPr>
      <w:r w:rsidRPr="00CA3F37">
        <w:rPr>
          <w:rFonts w:ascii="Times New Roman" w:hAnsi="Times New Roman" w:cs="Times New Roman"/>
          <w:color w:val="000000" w:themeColor="text1"/>
        </w:rPr>
        <w:t xml:space="preserve">Capítulo de libro: </w:t>
      </w:r>
      <w:r w:rsidRPr="00CA3F37">
        <w:rPr>
          <w:rFonts w:ascii="Times New Roman" w:eastAsia="Times New Roman" w:hAnsi="Times New Roman" w:cs="Times New Roman"/>
          <w:iCs/>
          <w:color w:val="000000"/>
          <w:lang w:val="es-AR" w:eastAsia="es-ES"/>
        </w:rPr>
        <w:t xml:space="preserve">D´Amico, C. (2019), “El poder de la imagen: </w:t>
      </w:r>
      <w:proofErr w:type="spellStart"/>
      <w:r w:rsidRPr="00CA3F37">
        <w:rPr>
          <w:rFonts w:ascii="Times New Roman" w:eastAsia="Times New Roman" w:hAnsi="Times New Roman" w:cs="Times New Roman"/>
          <w:i/>
          <w:iCs/>
          <w:color w:val="000000"/>
          <w:lang w:val="es-AR" w:eastAsia="es-ES"/>
        </w:rPr>
        <w:t>aenigma</w:t>
      </w:r>
      <w:proofErr w:type="spellEnd"/>
      <w:r w:rsidRPr="00CA3F37">
        <w:rPr>
          <w:rFonts w:ascii="Times New Roman" w:eastAsia="Times New Roman" w:hAnsi="Times New Roman" w:cs="Times New Roman"/>
          <w:iCs/>
          <w:color w:val="000000"/>
          <w:lang w:val="es-AR" w:eastAsia="es-ES"/>
        </w:rPr>
        <w:t xml:space="preserve">, teúrgia y performatividad”, </w:t>
      </w:r>
      <w:r w:rsidRPr="00CA3F37">
        <w:rPr>
          <w:rFonts w:ascii="Times New Roman" w:eastAsia="Calibri" w:hAnsi="Times New Roman" w:cs="Times New Roman"/>
          <w:color w:val="000000"/>
          <w:lang w:val="es-AR"/>
        </w:rPr>
        <w:t xml:space="preserve">en </w:t>
      </w:r>
      <w:proofErr w:type="spellStart"/>
      <w:r w:rsidRPr="00CA3F37">
        <w:rPr>
          <w:rFonts w:ascii="Times New Roman" w:eastAsia="Calibri" w:hAnsi="Times New Roman" w:cs="Times New Roman"/>
          <w:color w:val="000000"/>
          <w:lang w:val="es-AR"/>
        </w:rPr>
        <w:t>Cuozzo</w:t>
      </w:r>
      <w:proofErr w:type="spellEnd"/>
      <w:r w:rsidRPr="00CA3F37">
        <w:rPr>
          <w:rFonts w:ascii="Times New Roman" w:eastAsia="Calibri" w:hAnsi="Times New Roman" w:cs="Times New Roman"/>
          <w:color w:val="000000"/>
          <w:lang w:val="es-AR"/>
        </w:rPr>
        <w:t xml:space="preserve">, G. &amp; González Ríos, J. (ed.), </w:t>
      </w:r>
      <w:r w:rsidRPr="00CA3F37">
        <w:rPr>
          <w:rFonts w:ascii="Times New Roman" w:eastAsia="Calibri" w:hAnsi="Times New Roman" w:cs="Times New Roman"/>
          <w:i/>
          <w:color w:val="000000"/>
          <w:lang w:val="es-AR"/>
        </w:rPr>
        <w:t xml:space="preserve">Verbum et imago </w:t>
      </w:r>
      <w:proofErr w:type="spellStart"/>
      <w:r w:rsidRPr="00CA3F37">
        <w:rPr>
          <w:rFonts w:ascii="Times New Roman" w:eastAsia="Calibri" w:hAnsi="Times New Roman" w:cs="Times New Roman"/>
          <w:i/>
          <w:color w:val="000000"/>
          <w:lang w:val="es-AR"/>
        </w:rPr>
        <w:lastRenderedPageBreak/>
        <w:t>coincidunt</w:t>
      </w:r>
      <w:proofErr w:type="spellEnd"/>
      <w:r w:rsidRPr="00CA3F37">
        <w:rPr>
          <w:rFonts w:ascii="Times New Roman" w:eastAsia="Calibri" w:hAnsi="Times New Roman" w:cs="Times New Roman"/>
          <w:i/>
          <w:color w:val="000000"/>
          <w:lang w:val="es-AR"/>
        </w:rPr>
        <w:t xml:space="preserve">. </w:t>
      </w:r>
      <w:r w:rsidRPr="00CA3F37">
        <w:rPr>
          <w:rFonts w:ascii="Times New Roman" w:eastAsia="Calibri" w:hAnsi="Times New Roman" w:cs="Times New Roman"/>
          <w:i/>
          <w:color w:val="000000"/>
          <w:lang w:val="it-IT"/>
        </w:rPr>
        <w:t>Il linguaggio come specchio vivo in Cusano</w:t>
      </w:r>
      <w:r w:rsidRPr="00CA3F37">
        <w:rPr>
          <w:rFonts w:ascii="Times New Roman" w:eastAsia="Calibri" w:hAnsi="Times New Roman" w:cs="Times New Roman"/>
          <w:color w:val="000000"/>
          <w:lang w:val="it-IT"/>
        </w:rPr>
        <w:t>, Milano/Udinese, Mimesis,  Bibliotheca Cusana, pp.17-32.</w:t>
      </w:r>
    </w:p>
    <w:p w:rsidR="002D65BD" w:rsidRPr="00CA3F37" w:rsidRDefault="002D65BD" w:rsidP="002D65BD">
      <w:pPr>
        <w:widowControl w:val="0"/>
        <w:spacing w:line="360" w:lineRule="auto"/>
        <w:jc w:val="center"/>
        <w:rPr>
          <w:rFonts w:ascii="Times New Roman" w:hAnsi="Times New Roman" w:cs="Times New Roman"/>
          <w:color w:val="000000" w:themeColor="text1"/>
        </w:rPr>
      </w:pPr>
    </w:p>
    <w:p w:rsidR="002D65BD" w:rsidRPr="00CA3F37" w:rsidRDefault="002D65BD" w:rsidP="002D65BD">
      <w:pPr>
        <w:pStyle w:val="Prrafodelista"/>
        <w:numPr>
          <w:ilvl w:val="0"/>
          <w:numId w:val="1"/>
        </w:numPr>
        <w:spacing w:after="200" w:line="360" w:lineRule="auto"/>
        <w:jc w:val="both"/>
        <w:rPr>
          <w:rFonts w:ascii="Times New Roman" w:eastAsia="Calibri" w:hAnsi="Times New Roman" w:cs="Times New Roman"/>
          <w:lang w:val="es-AR"/>
        </w:rPr>
      </w:pPr>
      <w:r w:rsidRPr="00CA3F37">
        <w:rPr>
          <w:rFonts w:ascii="Times New Roman" w:hAnsi="Times New Roman" w:cs="Times New Roman"/>
          <w:color w:val="000000" w:themeColor="text1"/>
        </w:rPr>
        <w:t>Artículo:</w:t>
      </w:r>
      <w:r w:rsidRPr="00CA3F37">
        <w:rPr>
          <w:rFonts w:ascii="Times New Roman" w:eastAsia="Calibri" w:hAnsi="Times New Roman" w:cs="Times New Roman"/>
          <w:color w:val="000000"/>
          <w:lang w:val="es-AR"/>
        </w:rPr>
        <w:t xml:space="preserve"> González Ríos, J. (2014), “La concepción cusana del dinamismo productivo de lo absoluto como poder a la luz del nombre enigmático ‘</w:t>
      </w:r>
      <w:r w:rsidRPr="005D2CCD">
        <w:rPr>
          <w:rFonts w:ascii="Times New Roman" w:eastAsia="Calibri" w:hAnsi="Times New Roman" w:cs="Times New Roman"/>
          <w:i/>
          <w:color w:val="000000"/>
          <w:lang w:val="es-AR"/>
        </w:rPr>
        <w:t>possest’</w:t>
      </w:r>
      <w:r w:rsidRPr="00CA3F37">
        <w:rPr>
          <w:rFonts w:ascii="Times New Roman" w:eastAsia="Calibri" w:hAnsi="Times New Roman" w:cs="Times New Roman"/>
          <w:color w:val="000000"/>
          <w:lang w:val="es-AR"/>
        </w:rPr>
        <w:t xml:space="preserve">”, </w:t>
      </w:r>
      <w:r w:rsidRPr="00CA3F37">
        <w:rPr>
          <w:rFonts w:ascii="Times New Roman" w:eastAsia="Calibri" w:hAnsi="Times New Roman" w:cs="Times New Roman"/>
          <w:i/>
          <w:color w:val="000000"/>
          <w:lang w:val="es-AR"/>
        </w:rPr>
        <w:t>Cuadernos de Filosofía</w:t>
      </w:r>
      <w:r w:rsidRPr="00CA3F37">
        <w:rPr>
          <w:rFonts w:ascii="Times New Roman" w:eastAsia="Calibri" w:hAnsi="Times New Roman" w:cs="Times New Roman"/>
          <w:color w:val="000000"/>
          <w:lang w:val="es-AR"/>
        </w:rPr>
        <w:t>, vol. 56, pp. 9-30.</w:t>
      </w:r>
    </w:p>
    <w:p w:rsidR="002D65BD" w:rsidRPr="00CA3F37" w:rsidRDefault="002D65BD" w:rsidP="002D65BD">
      <w:pPr>
        <w:widowControl w:val="0"/>
        <w:spacing w:line="360" w:lineRule="auto"/>
        <w:jc w:val="both"/>
        <w:rPr>
          <w:rFonts w:ascii="Times New Roman" w:hAnsi="Times New Roman" w:cs="Times New Roman"/>
          <w:color w:val="000000" w:themeColor="text1"/>
        </w:rPr>
      </w:pPr>
    </w:p>
    <w:p w:rsidR="002D65BD" w:rsidRPr="00CA3F37" w:rsidRDefault="002D65BD" w:rsidP="002D65BD">
      <w:pPr>
        <w:widowControl w:val="0"/>
        <w:spacing w:line="360" w:lineRule="auto"/>
        <w:jc w:val="both"/>
        <w:rPr>
          <w:rFonts w:ascii="Times New Roman" w:hAnsi="Times New Roman" w:cs="Times New Roman"/>
          <w:color w:val="000000" w:themeColor="text1"/>
        </w:rPr>
      </w:pPr>
      <w:r w:rsidRPr="00CA3F37">
        <w:rPr>
          <w:rFonts w:ascii="Times New Roman" w:hAnsi="Times New Roman" w:cs="Times New Roman"/>
          <w:color w:val="000000" w:themeColor="text1"/>
        </w:rPr>
        <w:t>En el caso de elegir el modo de citado APA (en el cuerpo del texto):</w:t>
      </w:r>
    </w:p>
    <w:p w:rsidR="002D65BD" w:rsidRPr="00CA3F37" w:rsidRDefault="002D65BD" w:rsidP="002D65BD">
      <w:pPr>
        <w:pStyle w:val="Prrafodelista"/>
        <w:widowControl w:val="0"/>
        <w:numPr>
          <w:ilvl w:val="0"/>
          <w:numId w:val="2"/>
        </w:numPr>
        <w:spacing w:line="360" w:lineRule="auto"/>
        <w:jc w:val="both"/>
        <w:rPr>
          <w:rFonts w:ascii="Times New Roman" w:hAnsi="Times New Roman" w:cs="Times New Roman"/>
          <w:color w:val="000000" w:themeColor="text1"/>
        </w:rPr>
      </w:pPr>
      <w:r w:rsidRPr="00CA3F37">
        <w:rPr>
          <w:rFonts w:ascii="Times New Roman" w:hAnsi="Times New Roman" w:cs="Times New Roman"/>
          <w:color w:val="000000" w:themeColor="text1"/>
        </w:rPr>
        <w:t>Único formato: “…” (Bruno, 2016: 25-30).</w:t>
      </w:r>
    </w:p>
    <w:p w:rsidR="002D65BD" w:rsidRPr="00CA3F37" w:rsidRDefault="002D65BD" w:rsidP="002D65BD">
      <w:pPr>
        <w:widowControl w:val="0"/>
        <w:spacing w:line="360" w:lineRule="auto"/>
        <w:jc w:val="both"/>
        <w:rPr>
          <w:rFonts w:ascii="Times New Roman" w:hAnsi="Times New Roman" w:cs="Times New Roman"/>
          <w:color w:val="000000" w:themeColor="text1"/>
        </w:rPr>
      </w:pPr>
    </w:p>
    <w:p w:rsidR="002D65BD" w:rsidRDefault="002D65BD" w:rsidP="002D65BD">
      <w:pPr>
        <w:widowControl w:val="0"/>
        <w:spacing w:line="360" w:lineRule="auto"/>
        <w:jc w:val="both"/>
        <w:rPr>
          <w:rFonts w:ascii="Times New Roman" w:hAnsi="Times New Roman" w:cs="Times New Roman"/>
          <w:color w:val="000000" w:themeColor="text1"/>
        </w:rPr>
      </w:pPr>
      <w:r w:rsidRPr="00487207">
        <w:rPr>
          <w:rFonts w:ascii="Times New Roman" w:hAnsi="Times New Roman" w:cs="Times New Roman"/>
          <w:b/>
          <w:color w:val="000000" w:themeColor="text1"/>
        </w:rPr>
        <w:t xml:space="preserve">Evitar citas largas de bibliografía primaria </w:t>
      </w:r>
      <w:r w:rsidRPr="00487207">
        <w:rPr>
          <w:rFonts w:ascii="Times New Roman" w:hAnsi="Times New Roman" w:cs="Times New Roman"/>
          <w:b/>
          <w:color w:val="000000" w:themeColor="text1"/>
          <w:highlight w:val="white"/>
        </w:rPr>
        <w:t xml:space="preserve">(fuentes) </w:t>
      </w:r>
      <w:r w:rsidRPr="00487207">
        <w:rPr>
          <w:rFonts w:ascii="Times New Roman" w:hAnsi="Times New Roman" w:cs="Times New Roman"/>
          <w:b/>
          <w:color w:val="000000" w:themeColor="text1"/>
        </w:rPr>
        <w:t>y secundaria</w:t>
      </w:r>
      <w:r w:rsidRPr="00CA3F37">
        <w:rPr>
          <w:rFonts w:ascii="Times New Roman" w:hAnsi="Times New Roman" w:cs="Times New Roman"/>
          <w:color w:val="000000" w:themeColor="text1"/>
        </w:rPr>
        <w:t>. Las citas van entre comillas, sin cursiva.</w:t>
      </w:r>
      <w:r>
        <w:rPr>
          <w:rFonts w:ascii="Times New Roman" w:hAnsi="Times New Roman" w:cs="Times New Roman"/>
          <w:color w:val="000000" w:themeColor="text1"/>
        </w:rPr>
        <w:t xml:space="preserve"> Si se emplea una cita larga, debe ser explicada de modo exhaustivo. Recuerde que no puede dar nada por supuesto. Piense que quien va a leer no sabe nada. Eso lo obligará a ser más específico a la hora de ofrecer las explicaciones pertinentes sobre el tema en cuestión.</w:t>
      </w:r>
    </w:p>
    <w:p w:rsidR="002D65BD" w:rsidRPr="00CA3F37" w:rsidRDefault="002D65BD" w:rsidP="002D65BD">
      <w:pPr>
        <w:widowControl w:val="0"/>
        <w:spacing w:line="360" w:lineRule="auto"/>
        <w:jc w:val="both"/>
        <w:rPr>
          <w:rFonts w:ascii="Times New Roman" w:hAnsi="Times New Roman" w:cs="Times New Roman"/>
          <w:color w:val="000000" w:themeColor="text1"/>
        </w:rPr>
      </w:pPr>
    </w:p>
    <w:p w:rsidR="002D65BD" w:rsidRPr="00CA3F37" w:rsidRDefault="002D65BD" w:rsidP="002D65BD">
      <w:pPr>
        <w:shd w:val="clear" w:color="auto" w:fill="FFFFFF"/>
        <w:spacing w:line="360" w:lineRule="auto"/>
        <w:jc w:val="both"/>
        <w:rPr>
          <w:rFonts w:ascii="Times New Roman" w:hAnsi="Times New Roman" w:cs="Times New Roman"/>
          <w:color w:val="000000" w:themeColor="text1"/>
        </w:rPr>
      </w:pPr>
      <w:r w:rsidRPr="00487207">
        <w:rPr>
          <w:rFonts w:ascii="Times New Roman" w:hAnsi="Times New Roman" w:cs="Times New Roman"/>
          <w:b/>
          <w:color w:val="000000" w:themeColor="text1"/>
        </w:rPr>
        <w:t>Revisar la ortografía y redacción del Parcial antes de entregarlo</w:t>
      </w:r>
      <w:r w:rsidRPr="00CA3F37">
        <w:rPr>
          <w:rFonts w:ascii="Times New Roman" w:hAnsi="Times New Roman" w:cs="Times New Roman"/>
          <w:color w:val="000000" w:themeColor="text1"/>
        </w:rPr>
        <w:t>, procurando que las oraciones no sean excesivamente largas, que aparezcan los signos de puntuación y los acentos que correspondan, de modo tal que las respuestas puedan leerse y comprenderse de manera adecuada.</w:t>
      </w:r>
    </w:p>
    <w:p w:rsidR="002D65BD" w:rsidRPr="00487207" w:rsidRDefault="002D65BD" w:rsidP="002D65BD">
      <w:pPr>
        <w:widowControl w:val="0"/>
        <w:suppressAutoHyphens/>
        <w:spacing w:line="360" w:lineRule="auto"/>
        <w:jc w:val="both"/>
        <w:rPr>
          <w:rFonts w:ascii="Times New Roman" w:eastAsia="DejaVu Sans" w:hAnsi="Times New Roman" w:cs="Times New Roman"/>
          <w:b/>
          <w:color w:val="000000" w:themeColor="text1"/>
          <w:kern w:val="2"/>
          <w:lang w:val="es-MX" w:eastAsia="hi-IN" w:bidi="hi-IN"/>
        </w:rPr>
      </w:pPr>
    </w:p>
    <w:p w:rsidR="002D65BD" w:rsidRPr="00CA3F37" w:rsidRDefault="002D65BD" w:rsidP="002D65BD">
      <w:pPr>
        <w:widowControl w:val="0"/>
        <w:suppressAutoHyphens/>
        <w:spacing w:line="360" w:lineRule="auto"/>
        <w:jc w:val="both"/>
        <w:rPr>
          <w:rFonts w:ascii="Times New Roman" w:eastAsia="DejaVu Sans" w:hAnsi="Times New Roman" w:cs="Times New Roman"/>
          <w:color w:val="000000" w:themeColor="text1"/>
          <w:kern w:val="2"/>
          <w:lang w:val="es-MX" w:eastAsia="hi-IN" w:bidi="hi-IN"/>
        </w:rPr>
      </w:pPr>
      <w:r w:rsidRPr="00487207">
        <w:rPr>
          <w:rFonts w:ascii="Times New Roman" w:eastAsia="DejaVu Sans" w:hAnsi="Times New Roman" w:cs="Times New Roman"/>
          <w:b/>
          <w:color w:val="000000" w:themeColor="text1"/>
          <w:kern w:val="2"/>
          <w:lang w:val="es-MX" w:eastAsia="hi-IN" w:bidi="hi-IN"/>
        </w:rPr>
        <w:t>Se sugiere apelar a</w:t>
      </w:r>
      <w:r>
        <w:rPr>
          <w:rFonts w:ascii="Times New Roman" w:eastAsia="DejaVu Sans" w:hAnsi="Times New Roman" w:cs="Times New Roman"/>
          <w:b/>
          <w:color w:val="000000" w:themeColor="text1"/>
          <w:kern w:val="2"/>
          <w:lang w:val="es-MX" w:eastAsia="hi-IN" w:bidi="hi-IN"/>
        </w:rPr>
        <w:t xml:space="preserve"> diversas pieza</w:t>
      </w:r>
      <w:r w:rsidR="008F5134">
        <w:rPr>
          <w:rFonts w:ascii="Times New Roman" w:eastAsia="DejaVu Sans" w:hAnsi="Times New Roman" w:cs="Times New Roman"/>
          <w:b/>
          <w:color w:val="000000" w:themeColor="text1"/>
          <w:kern w:val="2"/>
          <w:lang w:val="es-MX" w:eastAsia="hi-IN" w:bidi="hi-IN"/>
        </w:rPr>
        <w:t>s</w:t>
      </w:r>
      <w:r>
        <w:rPr>
          <w:rFonts w:ascii="Times New Roman" w:eastAsia="DejaVu Sans" w:hAnsi="Times New Roman" w:cs="Times New Roman"/>
          <w:b/>
          <w:color w:val="000000" w:themeColor="text1"/>
          <w:kern w:val="2"/>
          <w:lang w:val="es-MX" w:eastAsia="hi-IN" w:bidi="hi-IN"/>
        </w:rPr>
        <w:t xml:space="preserve"> de</w:t>
      </w:r>
      <w:r w:rsidRPr="00487207">
        <w:rPr>
          <w:rFonts w:ascii="Times New Roman" w:eastAsia="DejaVu Sans" w:hAnsi="Times New Roman" w:cs="Times New Roman"/>
          <w:b/>
          <w:color w:val="000000" w:themeColor="text1"/>
          <w:kern w:val="2"/>
          <w:lang w:val="es-MX" w:eastAsia="hi-IN" w:bidi="hi-IN"/>
        </w:rPr>
        <w:t xml:space="preserve"> la bibliografía secundaria disponible y sele</w:t>
      </w:r>
      <w:r>
        <w:rPr>
          <w:rFonts w:ascii="Times New Roman" w:eastAsia="DejaVu Sans" w:hAnsi="Times New Roman" w:cs="Times New Roman"/>
          <w:b/>
          <w:color w:val="000000" w:themeColor="text1"/>
          <w:kern w:val="2"/>
          <w:lang w:val="es-MX" w:eastAsia="hi-IN" w:bidi="hi-IN"/>
        </w:rPr>
        <w:t>ccionada</w:t>
      </w:r>
      <w:r w:rsidRPr="00CA3F37">
        <w:rPr>
          <w:rFonts w:ascii="Times New Roman" w:eastAsia="DejaVu Sans" w:hAnsi="Times New Roman" w:cs="Times New Roman"/>
          <w:color w:val="000000" w:themeColor="text1"/>
          <w:kern w:val="2"/>
          <w:lang w:val="es-MX" w:eastAsia="hi-IN" w:bidi="hi-IN"/>
        </w:rPr>
        <w:t>, con el fin de poner de manifiesto</w:t>
      </w:r>
      <w:r>
        <w:rPr>
          <w:rFonts w:ascii="Times New Roman" w:eastAsia="DejaVu Sans" w:hAnsi="Times New Roman" w:cs="Times New Roman"/>
          <w:color w:val="000000" w:themeColor="text1"/>
          <w:kern w:val="2"/>
          <w:lang w:val="es-MX" w:eastAsia="hi-IN" w:bidi="hi-IN"/>
        </w:rPr>
        <w:t xml:space="preserve"> el manejo de</w:t>
      </w:r>
      <w:r w:rsidRPr="00CA3F37">
        <w:rPr>
          <w:rFonts w:ascii="Times New Roman" w:eastAsia="DejaVu Sans" w:hAnsi="Times New Roman" w:cs="Times New Roman"/>
          <w:color w:val="000000" w:themeColor="text1"/>
          <w:kern w:val="2"/>
          <w:lang w:val="es-MX" w:eastAsia="hi-IN" w:bidi="hi-IN"/>
        </w:rPr>
        <w:t xml:space="preserve"> diferentes propuestas interpretativas.</w:t>
      </w:r>
      <w:r>
        <w:rPr>
          <w:rFonts w:ascii="Times New Roman" w:eastAsia="DejaVu Sans" w:hAnsi="Times New Roman" w:cs="Times New Roman"/>
          <w:color w:val="000000" w:themeColor="text1"/>
          <w:kern w:val="2"/>
          <w:lang w:val="es-MX" w:eastAsia="hi-IN" w:bidi="hi-IN"/>
        </w:rPr>
        <w:t xml:space="preserve"> </w:t>
      </w:r>
    </w:p>
    <w:p w:rsidR="002D65BD" w:rsidRPr="00CA3F37" w:rsidRDefault="002D65BD" w:rsidP="002D65BD">
      <w:pPr>
        <w:widowControl w:val="0"/>
        <w:suppressAutoHyphens/>
        <w:spacing w:line="360" w:lineRule="auto"/>
        <w:jc w:val="both"/>
        <w:rPr>
          <w:rFonts w:ascii="Times New Roman" w:eastAsia="DejaVu Sans" w:hAnsi="Times New Roman" w:cs="Times New Roman"/>
          <w:color w:val="000000" w:themeColor="text1"/>
          <w:kern w:val="2"/>
          <w:lang w:val="es-MX" w:eastAsia="hi-IN" w:bidi="hi-IN"/>
        </w:rPr>
      </w:pPr>
    </w:p>
    <w:p w:rsidR="002D65BD" w:rsidRPr="00CA3F37" w:rsidRDefault="002D65BD" w:rsidP="002D65BD">
      <w:pPr>
        <w:spacing w:line="360" w:lineRule="auto"/>
        <w:jc w:val="both"/>
        <w:rPr>
          <w:rFonts w:ascii="Times New Roman" w:hAnsi="Times New Roman" w:cs="Times New Roman"/>
          <w:b/>
          <w:smallCaps/>
          <w:color w:val="000000" w:themeColor="text1"/>
        </w:rPr>
      </w:pPr>
      <w:r w:rsidRPr="00CA3F37">
        <w:rPr>
          <w:rFonts w:ascii="Times New Roman" w:hAnsi="Times New Roman" w:cs="Times New Roman"/>
          <w:b/>
          <w:smallCaps/>
          <w:color w:val="000000" w:themeColor="text1"/>
        </w:rPr>
        <w:t xml:space="preserve">Fechas y modo de envío del parcial </w:t>
      </w:r>
    </w:p>
    <w:p w:rsidR="002D65BD" w:rsidRPr="00C514AE" w:rsidRDefault="002D65BD" w:rsidP="002D65BD">
      <w:pPr>
        <w:spacing w:line="360" w:lineRule="auto"/>
        <w:jc w:val="both"/>
        <w:rPr>
          <w:rFonts w:ascii="Times New Roman" w:eastAsia="Times New Roman" w:hAnsi="Times New Roman" w:cs="Times New Roman"/>
        </w:rPr>
      </w:pPr>
      <w:r w:rsidRPr="00C514AE">
        <w:rPr>
          <w:rFonts w:ascii="Times New Roman" w:eastAsia="Times New Roman" w:hAnsi="Times New Roman" w:cs="Times New Roman"/>
        </w:rPr>
        <w:t>El tiempo límite de entrega del Parcial domiciliario resuelto será</w:t>
      </w:r>
      <w:r>
        <w:rPr>
          <w:rFonts w:ascii="Times New Roman" w:eastAsia="Times New Roman" w:hAnsi="Times New Roman" w:cs="Times New Roman"/>
        </w:rPr>
        <w:t xml:space="preserve"> el 15/11</w:t>
      </w:r>
      <w:r w:rsidRPr="00C514AE">
        <w:rPr>
          <w:rFonts w:ascii="Times New Roman" w:eastAsia="Times New Roman" w:hAnsi="Times New Roman" w:cs="Times New Roman"/>
        </w:rPr>
        <w:t>/2024 hasta las 23.59hs en formato electrónico.</w:t>
      </w:r>
    </w:p>
    <w:p w:rsidR="002D65BD" w:rsidRDefault="002D65BD" w:rsidP="002D65BD">
      <w:pPr>
        <w:spacing w:line="360" w:lineRule="auto"/>
        <w:jc w:val="both"/>
        <w:rPr>
          <w:rFonts w:ascii="Times New Roman" w:eastAsia="Times New Roman" w:hAnsi="Times New Roman" w:cs="Times New Roman"/>
          <w:b/>
        </w:rPr>
      </w:pPr>
    </w:p>
    <w:p w:rsidR="002D65BD" w:rsidRDefault="002D65BD" w:rsidP="002D65BD">
      <w:pPr>
        <w:spacing w:line="360" w:lineRule="auto"/>
        <w:jc w:val="both"/>
        <w:rPr>
          <w:rFonts w:ascii="Times New Roman" w:eastAsia="Times New Roman" w:hAnsi="Times New Roman" w:cs="Times New Roman"/>
          <w:b/>
        </w:rPr>
      </w:pPr>
    </w:p>
    <w:p w:rsidR="002D65BD" w:rsidRDefault="002D65BD" w:rsidP="002D65BD">
      <w:pPr>
        <w:spacing w:line="360" w:lineRule="auto"/>
        <w:jc w:val="both"/>
        <w:rPr>
          <w:rFonts w:ascii="Times New Roman" w:eastAsia="Times New Roman" w:hAnsi="Times New Roman" w:cs="Times New Roman"/>
          <w:b/>
        </w:rPr>
      </w:pPr>
    </w:p>
    <w:p w:rsidR="002D65BD" w:rsidRDefault="002D65BD" w:rsidP="002D65BD">
      <w:pPr>
        <w:spacing w:line="360" w:lineRule="auto"/>
        <w:jc w:val="both"/>
        <w:rPr>
          <w:rFonts w:ascii="Times New Roman" w:eastAsia="Times New Roman" w:hAnsi="Times New Roman" w:cs="Times New Roman"/>
          <w:b/>
        </w:rPr>
      </w:pPr>
    </w:p>
    <w:p w:rsidR="002D65BD" w:rsidRPr="00CA3F37" w:rsidRDefault="002D65BD" w:rsidP="002D65BD">
      <w:pPr>
        <w:spacing w:line="360" w:lineRule="auto"/>
        <w:jc w:val="both"/>
        <w:rPr>
          <w:rFonts w:ascii="Times New Roman" w:eastAsia="Times New Roman" w:hAnsi="Times New Roman" w:cs="Times New Roman"/>
          <w:b/>
        </w:rPr>
      </w:pPr>
    </w:p>
    <w:p w:rsidR="002D65BD" w:rsidRDefault="002D65BD" w:rsidP="002D65BD">
      <w:pPr>
        <w:spacing w:line="360" w:lineRule="auto"/>
        <w:jc w:val="center"/>
        <w:rPr>
          <w:rFonts w:ascii="Times New Roman" w:eastAsia="Times New Roman" w:hAnsi="Times New Roman" w:cs="Times New Roman"/>
          <w:b/>
          <w:smallCaps/>
        </w:rPr>
      </w:pPr>
      <w:r w:rsidRPr="00CA3F37">
        <w:rPr>
          <w:rFonts w:ascii="Times New Roman" w:eastAsia="Times New Roman" w:hAnsi="Times New Roman" w:cs="Times New Roman"/>
          <w:b/>
          <w:smallCaps/>
        </w:rPr>
        <w:t>Consignas del segundo parcial</w:t>
      </w:r>
    </w:p>
    <w:p w:rsidR="002D65BD" w:rsidRPr="002D65BD" w:rsidRDefault="002D65BD" w:rsidP="002D65BD">
      <w:pPr>
        <w:spacing w:line="360" w:lineRule="auto"/>
        <w:jc w:val="both"/>
        <w:rPr>
          <w:rFonts w:ascii="Times New Roman" w:eastAsia="Times New Roman" w:hAnsi="Times New Roman" w:cs="Times New Roman"/>
          <w:b/>
          <w:smallCaps/>
        </w:rPr>
      </w:pPr>
    </w:p>
    <w:p w:rsidR="00813810" w:rsidRDefault="002D65BD" w:rsidP="002D65BD">
      <w:pPr>
        <w:pStyle w:val="Prrafodelista"/>
        <w:numPr>
          <w:ilvl w:val="0"/>
          <w:numId w:val="3"/>
        </w:numPr>
        <w:spacing w:line="360" w:lineRule="auto"/>
        <w:jc w:val="both"/>
        <w:rPr>
          <w:rFonts w:ascii="Times New Roman" w:hAnsi="Times New Roman" w:cs="Times New Roman"/>
        </w:rPr>
      </w:pPr>
      <w:r w:rsidRPr="002D65BD">
        <w:rPr>
          <w:rFonts w:ascii="Times New Roman" w:hAnsi="Times New Roman" w:cs="Times New Roman"/>
        </w:rPr>
        <w:t xml:space="preserve">¿Por qué podemos sostener que la historia en Kant implica un orden racional (teleología) que rige el destino de todas las criaturas? Para ello, ofrezca una lectura pormenorizada de las proposiciones del texto </w:t>
      </w:r>
      <w:r w:rsidRPr="00FF1A83">
        <w:rPr>
          <w:rFonts w:ascii="Times New Roman" w:hAnsi="Times New Roman" w:cs="Times New Roman"/>
          <w:i/>
        </w:rPr>
        <w:t>Ideas de una historia universal desde un punto de vista cosmopolita</w:t>
      </w:r>
      <w:r w:rsidRPr="002D65BD">
        <w:rPr>
          <w:rFonts w:ascii="Times New Roman" w:hAnsi="Times New Roman" w:cs="Times New Roman"/>
        </w:rPr>
        <w:t xml:space="preserve"> </w:t>
      </w:r>
      <w:r w:rsidR="00FF1A83">
        <w:rPr>
          <w:rFonts w:ascii="Times New Roman" w:hAnsi="Times New Roman" w:cs="Times New Roman"/>
        </w:rPr>
        <w:t xml:space="preserve">(1784) </w:t>
      </w:r>
      <w:r w:rsidRPr="002D65BD">
        <w:rPr>
          <w:rFonts w:ascii="Times New Roman" w:hAnsi="Times New Roman" w:cs="Times New Roman"/>
        </w:rPr>
        <w:t>que crea correspondientes.</w:t>
      </w:r>
    </w:p>
    <w:p w:rsidR="00880F33" w:rsidRDefault="00880F33" w:rsidP="00880F33">
      <w:pPr>
        <w:pStyle w:val="Prrafodelista"/>
        <w:spacing w:line="360" w:lineRule="auto"/>
        <w:jc w:val="both"/>
        <w:rPr>
          <w:rFonts w:ascii="Times New Roman" w:hAnsi="Times New Roman" w:cs="Times New Roman"/>
        </w:rPr>
      </w:pPr>
    </w:p>
    <w:p w:rsidR="002D65BD" w:rsidRDefault="00880F33" w:rsidP="002D65BD">
      <w:pPr>
        <w:pStyle w:val="Prrafodelista"/>
        <w:numPr>
          <w:ilvl w:val="0"/>
          <w:numId w:val="3"/>
        </w:numPr>
        <w:spacing w:line="360" w:lineRule="auto"/>
        <w:jc w:val="both"/>
        <w:rPr>
          <w:rFonts w:ascii="Times New Roman" w:hAnsi="Times New Roman" w:cs="Times New Roman"/>
        </w:rPr>
      </w:pPr>
      <w:r>
        <w:rPr>
          <w:rFonts w:ascii="Times New Roman" w:hAnsi="Times New Roman" w:cs="Times New Roman"/>
        </w:rPr>
        <w:t xml:space="preserve">Desarrolle la noción de “historia universal” propuesta por Hegel a partir del siguiente fragmento de la “Introducción (1830-31)” de su escrito </w:t>
      </w:r>
      <w:r w:rsidRPr="00880F33">
        <w:rPr>
          <w:rFonts w:ascii="Times New Roman" w:hAnsi="Times New Roman" w:cs="Times New Roman"/>
          <w:i/>
        </w:rPr>
        <w:t>Filosofía de la Historia Universal</w:t>
      </w:r>
      <w:r>
        <w:rPr>
          <w:rFonts w:ascii="Times New Roman" w:hAnsi="Times New Roman" w:cs="Times New Roman"/>
        </w:rPr>
        <w:t>:</w:t>
      </w:r>
    </w:p>
    <w:p w:rsidR="00880F33" w:rsidRDefault="00880F33" w:rsidP="00880F33">
      <w:pPr>
        <w:pStyle w:val="Prrafodelista"/>
        <w:spacing w:line="360" w:lineRule="auto"/>
        <w:ind w:left="851" w:right="624"/>
        <w:jc w:val="both"/>
        <w:rPr>
          <w:rFonts w:ascii="Times New Roman" w:hAnsi="Times New Roman" w:cs="Times New Roman"/>
        </w:rPr>
      </w:pPr>
      <w:r>
        <w:rPr>
          <w:rFonts w:ascii="Times New Roman" w:hAnsi="Times New Roman" w:cs="Times New Roman"/>
        </w:rPr>
        <w:t xml:space="preserve">“El objeto de estas lecciones es la filosofía de la historia universal (…) La filosofía de la historia universal no es otra cosa que la consideración </w:t>
      </w:r>
      <w:r w:rsidRPr="00880F33">
        <w:rPr>
          <w:rFonts w:ascii="Times New Roman" w:hAnsi="Times New Roman" w:cs="Times New Roman"/>
          <w:i/>
        </w:rPr>
        <w:t>pensante</w:t>
      </w:r>
      <w:r>
        <w:rPr>
          <w:rFonts w:ascii="Times New Roman" w:hAnsi="Times New Roman" w:cs="Times New Roman"/>
        </w:rPr>
        <w:t xml:space="preserve"> de la misma, y del pensar no podemos prescindir nunca, pues el hombre es </w:t>
      </w:r>
      <w:r w:rsidRPr="00880F33">
        <w:rPr>
          <w:rFonts w:ascii="Times New Roman" w:hAnsi="Times New Roman" w:cs="Times New Roman"/>
          <w:i/>
        </w:rPr>
        <w:t>pensante</w:t>
      </w:r>
      <w:r>
        <w:rPr>
          <w:rFonts w:ascii="Times New Roman" w:hAnsi="Times New Roman" w:cs="Times New Roman"/>
        </w:rPr>
        <w:t>, mediante el pensamiento se distingue del animal (…) La filosofía solo tiene que aprehender puramente lo que es, lo que ha sido, los acontecimientos y los hechos; ella es tanto más verdadera cuanto más se atiene solo a lo dado (…)”.</w:t>
      </w:r>
      <w:r>
        <w:rPr>
          <w:rStyle w:val="Refdenotaalpie"/>
          <w:rFonts w:ascii="Times New Roman" w:hAnsi="Times New Roman" w:cs="Times New Roman"/>
        </w:rPr>
        <w:footnoteReference w:id="1"/>
      </w:r>
    </w:p>
    <w:p w:rsidR="00880F33" w:rsidRDefault="00880F33" w:rsidP="00880F33">
      <w:pPr>
        <w:pStyle w:val="Prrafodelista"/>
        <w:spacing w:line="360" w:lineRule="auto"/>
        <w:ind w:left="851" w:right="624"/>
        <w:jc w:val="both"/>
        <w:rPr>
          <w:rFonts w:ascii="Times New Roman" w:hAnsi="Times New Roman" w:cs="Times New Roman"/>
        </w:rPr>
      </w:pPr>
    </w:p>
    <w:p w:rsidR="00880F33" w:rsidRPr="00880F33" w:rsidRDefault="00FF1A83" w:rsidP="00FF1A83">
      <w:pPr>
        <w:pStyle w:val="Prrafodelista"/>
        <w:numPr>
          <w:ilvl w:val="0"/>
          <w:numId w:val="3"/>
        </w:numPr>
        <w:spacing w:line="360" w:lineRule="auto"/>
        <w:ind w:left="714" w:hanging="357"/>
        <w:jc w:val="both"/>
        <w:rPr>
          <w:rFonts w:ascii="Times New Roman" w:hAnsi="Times New Roman" w:cs="Times New Roman"/>
        </w:rPr>
      </w:pPr>
      <w:r>
        <w:rPr>
          <w:rFonts w:ascii="Times New Roman" w:hAnsi="Times New Roman" w:cs="Times New Roman"/>
        </w:rPr>
        <w:t xml:space="preserve">Explique las implicancias filosóficas de la relaboración crítica del concepto de historia que ofrece Nietzsche </w:t>
      </w:r>
      <w:r w:rsidRPr="00FF1A83">
        <w:rPr>
          <w:rFonts w:ascii="Times New Roman" w:hAnsi="Times New Roman" w:cs="Times New Roman"/>
        </w:rPr>
        <w:t xml:space="preserve">en su </w:t>
      </w:r>
      <w:r w:rsidRPr="00FF1A83">
        <w:rPr>
          <w:rFonts w:ascii="Times New Roman" w:hAnsi="Times New Roman" w:cs="Times New Roman"/>
          <w:i/>
        </w:rPr>
        <w:t>Segunda consideración intempestiva</w:t>
      </w:r>
      <w:r>
        <w:rPr>
          <w:rFonts w:ascii="Times New Roman" w:hAnsi="Times New Roman" w:cs="Times New Roman"/>
        </w:rPr>
        <w:t xml:space="preserve"> (1874). Para esto, aunque no de modo excluyente, tenga en cuenta los conceptos de vida y valor como nuevos criterios frente a la cultura alemana y su tendencia a la historia como “virtud hipertrófica”.</w:t>
      </w:r>
    </w:p>
    <w:sectPr w:rsidR="00880F33" w:rsidRPr="00880F3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700B8" w:rsidRDefault="00A700B8" w:rsidP="00880F33">
      <w:r>
        <w:separator/>
      </w:r>
    </w:p>
  </w:endnote>
  <w:endnote w:type="continuationSeparator" w:id="0">
    <w:p w:rsidR="00A700B8" w:rsidRDefault="00A700B8" w:rsidP="00880F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jaVu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700B8" w:rsidRDefault="00A700B8" w:rsidP="00880F33">
      <w:r>
        <w:separator/>
      </w:r>
    </w:p>
  </w:footnote>
  <w:footnote w:type="continuationSeparator" w:id="0">
    <w:p w:rsidR="00A700B8" w:rsidRDefault="00A700B8" w:rsidP="00880F33">
      <w:r>
        <w:continuationSeparator/>
      </w:r>
    </w:p>
  </w:footnote>
  <w:footnote w:id="1">
    <w:p w:rsidR="00880F33" w:rsidRPr="00880F33" w:rsidRDefault="00880F33" w:rsidP="00880F33">
      <w:pPr>
        <w:pStyle w:val="Textonotapie"/>
        <w:jc w:val="both"/>
        <w:rPr>
          <w:rFonts w:ascii="Times New Roman" w:hAnsi="Times New Roman" w:cs="Times New Roman"/>
          <w:lang w:val="es-ES"/>
        </w:rPr>
      </w:pPr>
      <w:r w:rsidRPr="00880F33">
        <w:rPr>
          <w:rStyle w:val="Refdenotaalpie"/>
          <w:rFonts w:ascii="Times New Roman" w:hAnsi="Times New Roman" w:cs="Times New Roman"/>
        </w:rPr>
        <w:footnoteRef/>
      </w:r>
      <w:r w:rsidRPr="00880F33">
        <w:rPr>
          <w:rFonts w:ascii="Times New Roman" w:hAnsi="Times New Roman" w:cs="Times New Roman"/>
        </w:rPr>
        <w:t xml:space="preserve"> </w:t>
      </w:r>
      <w:r w:rsidRPr="00880F33">
        <w:rPr>
          <w:rFonts w:ascii="Times New Roman" w:hAnsi="Times New Roman" w:cs="Times New Roman"/>
          <w:lang w:val="es-ES"/>
        </w:rPr>
        <w:t>Hegel, G.W.F, (2005</w:t>
      </w:r>
      <w:r>
        <w:rPr>
          <w:rFonts w:ascii="Times New Roman" w:hAnsi="Times New Roman" w:cs="Times New Roman"/>
          <w:lang w:val="es-ES"/>
        </w:rPr>
        <w:t xml:space="preserve">), </w:t>
      </w:r>
      <w:r w:rsidRPr="00880F33">
        <w:rPr>
          <w:rFonts w:ascii="Times New Roman" w:hAnsi="Times New Roman" w:cs="Times New Roman"/>
          <w:lang w:val="es-ES"/>
        </w:rPr>
        <w:t xml:space="preserve">“Introducción (1830-31)”, en </w:t>
      </w:r>
      <w:r w:rsidRPr="00880F33">
        <w:rPr>
          <w:rFonts w:ascii="Times New Roman" w:hAnsi="Times New Roman" w:cs="Times New Roman"/>
          <w:i/>
          <w:lang w:val="es-ES"/>
        </w:rPr>
        <w:t>Introducciones a la Filosofía de la Historia Universal</w:t>
      </w:r>
      <w:r w:rsidRPr="00880F33">
        <w:rPr>
          <w:rFonts w:ascii="Times New Roman" w:hAnsi="Times New Roman" w:cs="Times New Roman"/>
          <w:lang w:val="es-ES"/>
        </w:rPr>
        <w:t>, Madrid, Ediciones Istmo, p. 45.</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CA57A7"/>
    <w:multiLevelType w:val="hybridMultilevel"/>
    <w:tmpl w:val="AFDCF7A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nsid w:val="573303DB"/>
    <w:multiLevelType w:val="hybridMultilevel"/>
    <w:tmpl w:val="9A5AD73E"/>
    <w:lvl w:ilvl="0" w:tplc="F98E6F32">
      <w:start w:val="1"/>
      <w:numFmt w:val="decimal"/>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69E950BC"/>
    <w:multiLevelType w:val="hybridMultilevel"/>
    <w:tmpl w:val="0E14663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65BD"/>
    <w:rsid w:val="002D65BD"/>
    <w:rsid w:val="00813810"/>
    <w:rsid w:val="00880F33"/>
    <w:rsid w:val="008E356C"/>
    <w:rsid w:val="008F5134"/>
    <w:rsid w:val="00A700B8"/>
    <w:rsid w:val="00B57F4A"/>
    <w:rsid w:val="00CD6881"/>
    <w:rsid w:val="00EC0735"/>
    <w:rsid w:val="00FF1A8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89AF66-01DE-4FDF-A24E-93B863DC1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D65BD"/>
    <w:pPr>
      <w:spacing w:after="0" w:line="240" w:lineRule="auto"/>
    </w:pPr>
    <w:rPr>
      <w:sz w:val="24"/>
      <w:szCs w:val="24"/>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D65BD"/>
    <w:pPr>
      <w:ind w:left="720"/>
      <w:contextualSpacing/>
    </w:pPr>
  </w:style>
  <w:style w:type="paragraph" w:styleId="Textonotapie">
    <w:name w:val="footnote text"/>
    <w:basedOn w:val="Normal"/>
    <w:link w:val="TextonotapieCar"/>
    <w:uiPriority w:val="99"/>
    <w:semiHidden/>
    <w:unhideWhenUsed/>
    <w:rsid w:val="00880F33"/>
    <w:rPr>
      <w:sz w:val="20"/>
      <w:szCs w:val="20"/>
    </w:rPr>
  </w:style>
  <w:style w:type="character" w:customStyle="1" w:styleId="TextonotapieCar">
    <w:name w:val="Texto nota pie Car"/>
    <w:basedOn w:val="Fuentedeprrafopredeter"/>
    <w:link w:val="Textonotapie"/>
    <w:uiPriority w:val="99"/>
    <w:semiHidden/>
    <w:rsid w:val="00880F33"/>
    <w:rPr>
      <w:sz w:val="20"/>
      <w:szCs w:val="20"/>
      <w:lang w:val="es-ES_tradnl"/>
    </w:rPr>
  </w:style>
  <w:style w:type="character" w:styleId="Refdenotaalpie">
    <w:name w:val="footnote reference"/>
    <w:basedOn w:val="Fuentedeprrafopredeter"/>
    <w:uiPriority w:val="99"/>
    <w:semiHidden/>
    <w:unhideWhenUsed/>
    <w:rsid w:val="00880F3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4A4B81-3B80-4932-8588-94413A1777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3</Pages>
  <Words>663</Words>
  <Characters>3648</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eXit</Company>
  <LinksUpToDate>false</LinksUpToDate>
  <CharactersWithSpaces>4303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5</cp:revision>
  <dcterms:created xsi:type="dcterms:W3CDTF">2024-11-08T03:37:00Z</dcterms:created>
  <dcterms:modified xsi:type="dcterms:W3CDTF">2024-11-08T04:14:00Z</dcterms:modified>
</cp:coreProperties>
</file>