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B30F" w14:textId="77777777" w:rsidR="0039139E" w:rsidRDefault="0039139E" w:rsidP="0039139E">
      <w:pPr>
        <w:pStyle w:val="Ttulo1"/>
        <w:jc w:val="center"/>
        <w:rPr>
          <w:rFonts w:ascii="Times New Roman" w:hAnsi="Times New Roman" w:cs="Times New Roman"/>
          <w:b/>
          <w:bCs/>
        </w:rPr>
      </w:pPr>
    </w:p>
    <w:p w14:paraId="763E75E5" w14:textId="77777777" w:rsidR="0039139E" w:rsidRDefault="0039139E" w:rsidP="0039139E">
      <w:pPr>
        <w:pStyle w:val="Ttulo1"/>
        <w:jc w:val="center"/>
        <w:rPr>
          <w:rFonts w:ascii="Times New Roman" w:hAnsi="Times New Roman" w:cs="Times New Roman"/>
          <w:b/>
          <w:bCs/>
        </w:rPr>
      </w:pPr>
    </w:p>
    <w:p w14:paraId="62BAFD1B" w14:textId="5E4E206A" w:rsidR="0039139E" w:rsidRDefault="0039139E" w:rsidP="0039139E">
      <w:pPr>
        <w:pStyle w:val="Ttulo1"/>
        <w:jc w:val="center"/>
        <w:rPr>
          <w:rFonts w:ascii="Times New Roman" w:hAnsi="Times New Roman" w:cs="Times New Roman"/>
          <w:color w:val="auto"/>
        </w:rPr>
      </w:pPr>
      <w:r w:rsidRPr="001B2228">
        <w:rPr>
          <w:rFonts w:ascii="Times New Roman" w:hAnsi="Times New Roman" w:cs="Times New Roman"/>
          <w:color w:val="auto"/>
        </w:rPr>
        <w:t>UNIVERSIDAD DE CIENCIAS</w:t>
      </w:r>
    </w:p>
    <w:p w14:paraId="3A8CE32E" w14:textId="77777777" w:rsidR="0039139E" w:rsidRDefault="0039139E" w:rsidP="0039139E">
      <w:pPr>
        <w:pStyle w:val="Ttulo1"/>
        <w:jc w:val="center"/>
        <w:rPr>
          <w:rFonts w:ascii="Times New Roman" w:hAnsi="Times New Roman" w:cs="Times New Roman"/>
          <w:color w:val="auto"/>
        </w:rPr>
      </w:pPr>
      <w:r w:rsidRPr="001B2228">
        <w:rPr>
          <w:rFonts w:ascii="Times New Roman" w:hAnsi="Times New Roman" w:cs="Times New Roman"/>
          <w:color w:val="auto"/>
        </w:rPr>
        <w:t>EMPRESARIALES Y SOCIALES</w:t>
      </w:r>
    </w:p>
    <w:p w14:paraId="49F4248A" w14:textId="77777777" w:rsidR="0039139E" w:rsidRPr="00761C81" w:rsidRDefault="0039139E" w:rsidP="0039139E"/>
    <w:p w14:paraId="362AB141" w14:textId="77777777" w:rsidR="0039139E" w:rsidRPr="001B2228" w:rsidRDefault="0039139E" w:rsidP="0039139E">
      <w:pPr>
        <w:pStyle w:val="Ttulo1"/>
        <w:jc w:val="center"/>
        <w:rPr>
          <w:rFonts w:ascii="Times New Roman" w:hAnsi="Times New Roman" w:cs="Times New Roman"/>
          <w:color w:val="auto"/>
        </w:rPr>
      </w:pPr>
      <w:r w:rsidRPr="001B2228">
        <w:rPr>
          <w:rFonts w:ascii="Times New Roman" w:hAnsi="Times New Roman" w:cs="Times New Roman"/>
          <w:color w:val="auto"/>
        </w:rPr>
        <w:t>FACULTAD DE PSICOLOGÍA Y CIENCIAS SOCIALES</w:t>
      </w:r>
    </w:p>
    <w:p w14:paraId="1EDECC67" w14:textId="77777777" w:rsidR="0039139E" w:rsidRPr="001B2228" w:rsidRDefault="0039139E" w:rsidP="0039139E">
      <w:pPr>
        <w:jc w:val="center"/>
        <w:rPr>
          <w:rFonts w:ascii="Times New Roman" w:hAnsi="Times New Roman" w:cs="Times New Roman"/>
        </w:rPr>
      </w:pPr>
    </w:p>
    <w:p w14:paraId="64545153" w14:textId="77777777" w:rsidR="0039139E" w:rsidRPr="001B2228" w:rsidRDefault="0039139E" w:rsidP="0039139E">
      <w:pPr>
        <w:pStyle w:val="Ttulo2"/>
        <w:jc w:val="center"/>
        <w:rPr>
          <w:rFonts w:ascii="Times New Roman" w:hAnsi="Times New Roman" w:cs="Times New Roman"/>
          <w:color w:val="auto"/>
        </w:rPr>
      </w:pPr>
      <w:r w:rsidRPr="001B2228">
        <w:rPr>
          <w:rFonts w:ascii="Times New Roman" w:hAnsi="Times New Roman" w:cs="Times New Roman"/>
          <w:color w:val="auto"/>
        </w:rPr>
        <w:t>Licenciatura en Filosofía</w:t>
      </w:r>
    </w:p>
    <w:p w14:paraId="11C0C90D" w14:textId="77777777" w:rsidR="0039139E" w:rsidRPr="001B2228" w:rsidRDefault="0039139E" w:rsidP="0039139E">
      <w:pPr>
        <w:pStyle w:val="Ttulo2"/>
        <w:jc w:val="center"/>
        <w:rPr>
          <w:rFonts w:ascii="Times New Roman" w:hAnsi="Times New Roman" w:cs="Times New Roman"/>
          <w:color w:val="auto"/>
        </w:rPr>
      </w:pPr>
      <w:r w:rsidRPr="001B2228">
        <w:rPr>
          <w:rFonts w:ascii="Times New Roman" w:hAnsi="Times New Roman" w:cs="Times New Roman"/>
          <w:color w:val="auto"/>
        </w:rPr>
        <w:t>Filosofía de la Biología y Etología Humana</w:t>
      </w:r>
    </w:p>
    <w:p w14:paraId="2BEDC0C7" w14:textId="77777777" w:rsidR="0039139E" w:rsidRDefault="0039139E" w:rsidP="0039139E">
      <w:pPr>
        <w:rPr>
          <w:lang w:eastAsia="es-MX"/>
        </w:rPr>
      </w:pPr>
    </w:p>
    <w:p w14:paraId="694368E6" w14:textId="5A1C2EF9" w:rsidR="00BA39DA" w:rsidRPr="00BA39DA" w:rsidRDefault="00BA39DA" w:rsidP="00BA39DA">
      <w:pPr>
        <w:jc w:val="center"/>
        <w:rPr>
          <w:rFonts w:ascii="Times New Roman" w:hAnsi="Times New Roman" w:cs="Times New Roman"/>
          <w:lang w:eastAsia="es-MX"/>
        </w:rPr>
      </w:pPr>
      <w:r w:rsidRPr="00BA39DA">
        <w:rPr>
          <w:rFonts w:ascii="Times New Roman" w:hAnsi="Times New Roman" w:cs="Times New Roman"/>
          <w:lang w:eastAsia="es-MX"/>
        </w:rPr>
        <w:t xml:space="preserve">2do Parcial </w:t>
      </w:r>
    </w:p>
    <w:p w14:paraId="1418BF6E" w14:textId="77777777" w:rsidR="0039139E" w:rsidRDefault="0039139E" w:rsidP="0039139E">
      <w:pPr>
        <w:rPr>
          <w:rFonts w:ascii="Times New Roman" w:hAnsi="Times New Roman" w:cs="Times New Roman"/>
          <w:lang w:eastAsia="es-MX"/>
        </w:rPr>
      </w:pPr>
    </w:p>
    <w:p w14:paraId="5F6D1DB6" w14:textId="77777777" w:rsidR="00F67638" w:rsidRDefault="00F67638" w:rsidP="0039139E">
      <w:pPr>
        <w:rPr>
          <w:lang w:eastAsia="es-MX"/>
        </w:rPr>
      </w:pPr>
    </w:p>
    <w:p w14:paraId="1474A5FF" w14:textId="77777777" w:rsidR="0039139E" w:rsidRDefault="0039139E" w:rsidP="0039139E">
      <w:pPr>
        <w:rPr>
          <w:lang w:eastAsia="es-MX"/>
        </w:rPr>
      </w:pPr>
    </w:p>
    <w:p w14:paraId="5A10E29B" w14:textId="77777777" w:rsidR="0039139E" w:rsidRPr="005C3E9F" w:rsidRDefault="0039139E" w:rsidP="0039139E">
      <w:pPr>
        <w:jc w:val="center"/>
        <w:rPr>
          <w:rFonts w:ascii="Times New Roman" w:hAnsi="Times New Roman" w:cs="Times New Roman"/>
          <w:lang w:eastAsia="es-MX"/>
        </w:rPr>
      </w:pPr>
      <w:r w:rsidRPr="005C3E9F">
        <w:rPr>
          <w:rFonts w:ascii="Times New Roman" w:hAnsi="Times New Roman" w:cs="Times New Roman"/>
          <w:lang w:eastAsia="es-MX"/>
        </w:rPr>
        <w:t>Alumno</w:t>
      </w:r>
      <w:r>
        <w:rPr>
          <w:rFonts w:ascii="Times New Roman" w:hAnsi="Times New Roman" w:cs="Times New Roman"/>
          <w:lang w:eastAsia="es-MX"/>
        </w:rPr>
        <w:t>:</w:t>
      </w:r>
      <w:r w:rsidRPr="005C3E9F">
        <w:rPr>
          <w:rFonts w:ascii="Times New Roman" w:hAnsi="Times New Roman" w:cs="Times New Roman"/>
          <w:lang w:eastAsia="es-MX"/>
        </w:rPr>
        <w:t xml:space="preserve"> Matias Salimbene</w:t>
      </w:r>
    </w:p>
    <w:p w14:paraId="73223BD3" w14:textId="02667F73" w:rsidR="00FD7B71" w:rsidRDefault="00FD7B71" w:rsidP="00EA2DC3">
      <w:pPr>
        <w:adjustRightInd w:val="0"/>
        <w:snapToGrid w:val="0"/>
        <w:spacing w:line="360" w:lineRule="auto"/>
        <w:ind w:firstLine="709"/>
        <w:jc w:val="both"/>
        <w:rPr>
          <w:rFonts w:ascii="Times New Roman" w:hAnsi="Times New Roman" w:cs="Times New Roman"/>
          <w:lang w:eastAsia="es-MX"/>
        </w:rPr>
      </w:pPr>
    </w:p>
    <w:p w14:paraId="0787255D" w14:textId="77777777" w:rsidR="0039139E" w:rsidRDefault="0039139E" w:rsidP="00EA2DC3">
      <w:pPr>
        <w:adjustRightInd w:val="0"/>
        <w:snapToGrid w:val="0"/>
        <w:spacing w:line="360" w:lineRule="auto"/>
        <w:ind w:firstLine="709"/>
        <w:jc w:val="both"/>
        <w:rPr>
          <w:rFonts w:ascii="Times New Roman" w:hAnsi="Times New Roman" w:cs="Times New Roman"/>
          <w:b/>
          <w:bCs/>
        </w:rPr>
      </w:pPr>
    </w:p>
    <w:p w14:paraId="61790021" w14:textId="77777777" w:rsidR="0039139E" w:rsidRDefault="0039139E">
      <w:pPr>
        <w:rPr>
          <w:rFonts w:asciiTheme="majorHAnsi" w:eastAsiaTheme="majorEastAsia" w:hAnsiTheme="majorHAnsi" w:cstheme="majorBidi"/>
          <w:color w:val="0F4761" w:themeColor="accent1" w:themeShade="BF"/>
          <w:sz w:val="32"/>
          <w:szCs w:val="32"/>
        </w:rPr>
      </w:pPr>
      <w:r>
        <w:br w:type="page"/>
      </w:r>
    </w:p>
    <w:p w14:paraId="5ECDED05" w14:textId="74119473" w:rsidR="00C9515D" w:rsidRPr="005B27E6" w:rsidRDefault="00C9515D" w:rsidP="004339EC">
      <w:pPr>
        <w:pStyle w:val="Ttulo2"/>
        <w:adjustRightInd w:val="0"/>
        <w:snapToGrid w:val="0"/>
        <w:spacing w:line="360" w:lineRule="auto"/>
        <w:jc w:val="center"/>
      </w:pPr>
      <w:r w:rsidRPr="005B27E6">
        <w:lastRenderedPageBreak/>
        <w:t>Parte 1: La perspectiva génico-céntrica y sus críticas fundamentales</w:t>
      </w:r>
    </w:p>
    <w:p w14:paraId="4020F56F" w14:textId="0896C424" w:rsidR="00C9515D" w:rsidRPr="00152739" w:rsidRDefault="00C9515D" w:rsidP="006A2104">
      <w:pPr>
        <w:adjustRightInd w:val="0"/>
        <w:snapToGrid w:val="0"/>
        <w:spacing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Durante gran parte del siglo XX, la biología se construyó sobre una metáfora poderosa: la idea de que el genoma es el “manual de instrucciones” o el “plano maestro” que contiene toda la información necesaria para construir un organismo. Esta perspectiva, llamada visión génico-céntrica, asigna al ADN un papel causal central y autosuficiente. Según esta concepción, los genes “dirigen” el desarrollo y determinan tanto la forma como el comportamiento de los seres vivos. Sin embargo, esta forma de pensar</w:t>
      </w:r>
      <w:r w:rsidR="0052617F">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heredera de la biología molecular de mediados del siglo XX</w:t>
      </w:r>
      <w:r w:rsidR="007A468D">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 xml:space="preserve">ha sido objeto de crecientes críticas. Varios autores contemporáneos </w:t>
      </w:r>
      <w:r w:rsidR="007A468D">
        <w:rPr>
          <w:rFonts w:ascii="Times New Roman" w:eastAsia="Times New Roman" w:hAnsi="Times New Roman" w:cs="Times New Roman"/>
          <w:kern w:val="0"/>
          <w:lang w:eastAsia="es-MX"/>
          <w14:ligatures w14:val="none"/>
        </w:rPr>
        <w:t>como</w:t>
      </w:r>
      <w:r w:rsidRPr="00152739">
        <w:rPr>
          <w:rFonts w:ascii="Times New Roman" w:eastAsia="Times New Roman" w:hAnsi="Times New Roman" w:cs="Times New Roman"/>
          <w:kern w:val="0"/>
          <w:lang w:eastAsia="es-MX"/>
          <w14:ligatures w14:val="none"/>
        </w:rPr>
        <w:t xml:space="preserve"> Evelyn Fox Keller, Alfonso Martínez Arias y Peter Godfrey-Smith, coinciden en que esta visión es excesivamente simplificadora y que necesita ser reemplazada por un marco más dinámico e interactivo.</w:t>
      </w:r>
    </w:p>
    <w:p w14:paraId="4ED8A718" w14:textId="6D26C892" w:rsidR="00C9515D" w:rsidRPr="00152739" w:rsidRDefault="00C9515D"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 xml:space="preserve">Evelyn Fox Keller ha sido una de las voces más influyentes en esta crítica. En su análisis el problema no radica solo en los datos empíricos, sino en el lenguaje con el que los biólogos piensan y comunican sus ideas. En obras como </w:t>
      </w:r>
      <w:r w:rsidRPr="00152739">
        <w:rPr>
          <w:rFonts w:ascii="Times New Roman" w:eastAsia="Times New Roman" w:hAnsi="Times New Roman" w:cs="Times New Roman"/>
          <w:i/>
          <w:iCs/>
          <w:kern w:val="0"/>
          <w:lang w:eastAsia="es-MX"/>
          <w14:ligatures w14:val="none"/>
        </w:rPr>
        <w:t>El espejismo de un espacio entre naturaleza y cultura</w:t>
      </w:r>
      <w:r w:rsidRPr="00152739">
        <w:rPr>
          <w:rFonts w:ascii="Times New Roman" w:eastAsia="Times New Roman" w:hAnsi="Times New Roman" w:cs="Times New Roman"/>
          <w:kern w:val="0"/>
          <w:lang w:eastAsia="es-MX"/>
          <w14:ligatures w14:val="none"/>
        </w:rPr>
        <w:t xml:space="preserve"> y </w:t>
      </w:r>
      <w:r w:rsidRPr="00152739">
        <w:rPr>
          <w:rFonts w:ascii="Times New Roman" w:eastAsia="Times New Roman" w:hAnsi="Times New Roman" w:cs="Times New Roman"/>
          <w:i/>
          <w:iCs/>
          <w:kern w:val="0"/>
          <w:lang w:eastAsia="es-MX"/>
          <w14:ligatures w14:val="none"/>
        </w:rPr>
        <w:t>El siglo del gen</w:t>
      </w:r>
      <w:r w:rsidRPr="00152739">
        <w:rPr>
          <w:rFonts w:ascii="Times New Roman" w:eastAsia="Times New Roman" w:hAnsi="Times New Roman" w:cs="Times New Roman"/>
          <w:kern w:val="0"/>
          <w:lang w:eastAsia="es-MX"/>
          <w14:ligatures w14:val="none"/>
        </w:rPr>
        <w:t>, Keller muestra cómo el discurso científico ha estado moldeado por metáforas que sugieren una jerarquía rígida entre información y ejecución. Cuando decimos que el ADN “contiene instrucciones” o que los genes “programan” al organismo, estamos proyectando sobre la biología un modelo informático o industrial: hay un plano (el ADN), un constructor (la maquinaria celular) y un producto (el organismo).</w:t>
      </w:r>
    </w:p>
    <w:p w14:paraId="552BAB98" w14:textId="0688958E" w:rsidR="00C9515D" w:rsidRPr="00152739" w:rsidRDefault="00157102"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Para </w:t>
      </w:r>
      <w:r w:rsidR="00C9515D" w:rsidRPr="00152739">
        <w:rPr>
          <w:rFonts w:ascii="Times New Roman" w:eastAsia="Times New Roman" w:hAnsi="Times New Roman" w:cs="Times New Roman"/>
          <w:kern w:val="0"/>
          <w:lang w:eastAsia="es-MX"/>
          <w14:ligatures w14:val="none"/>
        </w:rPr>
        <w:t>Keller, esta manera de hablar no describe la realidad biológica, la distorsiona. La célula no obedece instrucciones al modo de una fábrica automatizada; más bien interpreta y responde a señales químicas, físicas y ambientales en un contexto continuo de retroalimentación. Keller insiste en que las palabras importan: las metáforas moldean las preguntas que hacemos y los experimentos que diseñamos. Por eso, su crítica no es meramente terminológica, sino epistemológica: cambiar el lenguaje es cambiar la ciencia.</w:t>
      </w:r>
    </w:p>
    <w:p w14:paraId="751252BA" w14:textId="0BBF034D" w:rsidR="00C9515D" w:rsidRPr="00152739" w:rsidRDefault="00C9515D"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 xml:space="preserve">Desde otra perspectiva, Alfonso Martínez Arias ofrece una crítica complementaria. En </w:t>
      </w:r>
      <w:r w:rsidRPr="00152739">
        <w:rPr>
          <w:rFonts w:ascii="Times New Roman" w:eastAsia="Times New Roman" w:hAnsi="Times New Roman" w:cs="Times New Roman"/>
          <w:i/>
          <w:iCs/>
          <w:kern w:val="0"/>
          <w:lang w:eastAsia="es-MX"/>
          <w14:ligatures w14:val="none"/>
        </w:rPr>
        <w:t>The Master Builder</w:t>
      </w:r>
      <w:r w:rsidRPr="00152739">
        <w:rPr>
          <w:rFonts w:ascii="Times New Roman" w:eastAsia="Times New Roman" w:hAnsi="Times New Roman" w:cs="Times New Roman"/>
          <w:kern w:val="0"/>
          <w:lang w:eastAsia="es-MX"/>
          <w14:ligatures w14:val="none"/>
        </w:rPr>
        <w:t>, el biólogo español sostiene que el ADN no es un plano de construcción, sino un catálogo de partes que la célula utiliza para construir, reparar y mantener la vida. Las células son las verdaderas agentes constructoras</w:t>
      </w:r>
      <w:r w:rsidR="0052617F">
        <w:rPr>
          <w:rFonts w:ascii="Times New Roman" w:eastAsia="Times New Roman" w:hAnsi="Times New Roman" w:cs="Times New Roman"/>
          <w:kern w:val="0"/>
          <w:lang w:eastAsia="es-MX"/>
          <w14:ligatures w14:val="none"/>
        </w:rPr>
        <w:t>,</w:t>
      </w:r>
      <w:r w:rsidR="00E06D1B">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 xml:space="preserve">“master </w:t>
      </w:r>
      <w:proofErr w:type="spellStart"/>
      <w:r w:rsidRPr="00152739">
        <w:rPr>
          <w:rFonts w:ascii="Times New Roman" w:eastAsia="Times New Roman" w:hAnsi="Times New Roman" w:cs="Times New Roman"/>
          <w:kern w:val="0"/>
          <w:lang w:eastAsia="es-MX"/>
          <w14:ligatures w14:val="none"/>
        </w:rPr>
        <w:t>builders</w:t>
      </w:r>
      <w:proofErr w:type="spellEnd"/>
      <w:r w:rsidRPr="00152739">
        <w:rPr>
          <w:rFonts w:ascii="Times New Roman" w:eastAsia="Times New Roman" w:hAnsi="Times New Roman" w:cs="Times New Roman"/>
          <w:kern w:val="0"/>
          <w:lang w:eastAsia="es-MX"/>
          <w14:ligatures w14:val="none"/>
        </w:rPr>
        <w:t>” porque son las que ejecutan procesos activos: leen la información genética, la interpretan según las condiciones del entorno y cooperan con otras células para generar estructuras complejas.</w:t>
      </w:r>
    </w:p>
    <w:p w14:paraId="585B5E02" w14:textId="795EAF06" w:rsidR="00C9515D" w:rsidRPr="00152739" w:rsidRDefault="00C9515D" w:rsidP="00193DF7">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lastRenderedPageBreak/>
        <w:t>Un ejemplo esclarecedor que da Martínez Arias es el de la gastrulación</w:t>
      </w:r>
      <w:r w:rsidR="00CD1982">
        <w:rPr>
          <w:rFonts w:ascii="Times New Roman" w:eastAsia="Times New Roman" w:hAnsi="Times New Roman" w:cs="Times New Roman"/>
          <w:kern w:val="0"/>
          <w:lang w:eastAsia="es-MX"/>
          <w14:ligatures w14:val="none"/>
        </w:rPr>
        <w:t xml:space="preserve"> (del inglés </w:t>
      </w:r>
      <w:r w:rsidR="00CD1982" w:rsidRPr="00CD1982">
        <w:rPr>
          <w:rFonts w:ascii="Times New Roman" w:eastAsia="Times New Roman" w:hAnsi="Times New Roman" w:cs="Times New Roman"/>
          <w:i/>
          <w:iCs/>
          <w:kern w:val="0"/>
          <w:lang w:eastAsia="es-MX"/>
          <w14:ligatures w14:val="none"/>
        </w:rPr>
        <w:t>gastrulation)</w:t>
      </w:r>
      <w:r w:rsidRPr="00152739">
        <w:rPr>
          <w:rFonts w:ascii="Times New Roman" w:eastAsia="Times New Roman" w:hAnsi="Times New Roman" w:cs="Times New Roman"/>
          <w:kern w:val="0"/>
          <w:lang w:eastAsia="es-MX"/>
          <w14:ligatures w14:val="none"/>
        </w:rPr>
        <w:t>, una etapa crucial en el desarrollo embrionario en la que el embrión, que era una esfera de células, comienza a organizarse en capas que darán origen a los distintos tejidos y órganos. Este proceso no está detallado en ningún “plano” dentro del ADN: emerge de la interacción dinámica entre células, de señales químicas locales, de movimientos coordinados y de tensiones mecánicas. Si el ADN fuera un plano maestro, la gastrulación debería estar “descrita” en el genoma, pero no lo está; lo que existen son genes que participan, sin un orden global predefinido.</w:t>
      </w:r>
      <w:r w:rsidR="00193DF7">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Martínez Arias llama la atención sobre este hecho para mostrar que la causalidad biológica es distribuida, no jerárquica. El genoma provee componentes, pero la célula organiza. La información genética no tiene significado fuera del contexto celular: un gen “inactivo” es solo una secuencia inerte de nucleótidos. Solo en la célula viva, dentro de un entramado de señales y condiciones, esa secuencia adquiere sentido funcional.</w:t>
      </w:r>
    </w:p>
    <w:p w14:paraId="44324C91" w14:textId="7586EB26" w:rsidR="00C9515D" w:rsidRPr="00152739" w:rsidRDefault="00C9515D"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Desde la filosofía de la biología, Peter Godfrey-Smith también ha señalado los riesgos de atribuirle a los genes un papel causal absoluto. En su análisis del determinismo genético, sostiene que el entusiasmo por el genoma</w:t>
      </w:r>
      <w:r w:rsidR="0052617F">
        <w:rPr>
          <w:rFonts w:ascii="Times New Roman" w:eastAsia="Times New Roman" w:hAnsi="Times New Roman" w:cs="Times New Roman"/>
          <w:kern w:val="0"/>
          <w:lang w:eastAsia="es-MX"/>
          <w14:ligatures w14:val="none"/>
        </w:rPr>
        <w:t>,</w:t>
      </w:r>
      <w:r w:rsidR="00FC5FFE">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lo que Evelyn Fox Keller llama el “furor por el gen”</w:t>
      </w:r>
      <w:r w:rsidR="00FC5FFE">
        <w:rPr>
          <w:rFonts w:ascii="Times New Roman" w:eastAsia="Times New Roman" w:hAnsi="Times New Roman" w:cs="Times New Roman"/>
          <w:kern w:val="0"/>
          <w:lang w:eastAsia="es-MX"/>
          <w14:ligatures w14:val="none"/>
        </w:rPr>
        <w:t>,</w:t>
      </w:r>
      <w:r w:rsidRPr="00152739">
        <w:rPr>
          <w:rFonts w:ascii="Times New Roman" w:eastAsia="Times New Roman" w:hAnsi="Times New Roman" w:cs="Times New Roman"/>
          <w:kern w:val="0"/>
          <w:lang w:eastAsia="es-MX"/>
          <w14:ligatures w14:val="none"/>
        </w:rPr>
        <w:t xml:space="preserve"> llevó a confundir la correlación genética con causalidad genética. El hecho de que un rasgo se relacione con cierta secuencia de ADN no implica que el gen sea la causa única o suficiente. Godfrey-Smith muestra que esta confusión tiene raíces ideológicas: el determinismo genético encaja fácilmente con visiones individualistas y meritocráticas del mundo social, donde las diferencias entre personas se explican por su “naturaleza” y no por las condiciones sociales o históricas.</w:t>
      </w:r>
    </w:p>
    <w:p w14:paraId="7908B7B8" w14:textId="77777777" w:rsidR="00C9515D" w:rsidRPr="00152739" w:rsidRDefault="00C9515D"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Keller también critica este sesgo ideológico, especialmente en autores como Matt Ridley, a quien acusa de un “tecno-optimismo ingenuo” por afirmar que conocer el genoma bastará para entender la vida y resolver los males humanos. Para Keller, esa confianza excesiva en los genes como origen de todo responde más a una fantasía cultural de control que a un conocimiento científico riguroso.</w:t>
      </w:r>
    </w:p>
    <w:p w14:paraId="7CD32813" w14:textId="3602C265" w:rsidR="00C9515D" w:rsidRPr="00152739" w:rsidRDefault="00C9515D"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Otro blanco de las críticas contemporáneas es el concepto del “gen egoísta”</w:t>
      </w:r>
      <w:r w:rsidR="00366F4E">
        <w:rPr>
          <w:rFonts w:ascii="Times New Roman" w:eastAsia="Times New Roman" w:hAnsi="Times New Roman" w:cs="Times New Roman"/>
          <w:kern w:val="0"/>
          <w:lang w:eastAsia="es-MX"/>
          <w14:ligatures w14:val="none"/>
        </w:rPr>
        <w:t xml:space="preserve"> (selfish gene)</w:t>
      </w:r>
      <w:r w:rsidRPr="00152739">
        <w:rPr>
          <w:rFonts w:ascii="Times New Roman" w:eastAsia="Times New Roman" w:hAnsi="Times New Roman" w:cs="Times New Roman"/>
          <w:kern w:val="0"/>
          <w:lang w:eastAsia="es-MX"/>
          <w14:ligatures w14:val="none"/>
        </w:rPr>
        <w:t>, formulado por Richard Dawkins en 1976. Según Dawkins, los organismos son vehículos que los genes utilizan para reproducirse; la evolución, en última instancia, es competencia entre genes que buscan perpetuarse. Martínez Arias considera esta idea “lejos de ser obvia y probablemente errónea”, porque confunde la escala de la causalidad. Los genes no “quieren” sobrevivir; no tienen intenciones ni agencia. Son las células y los organismos los que actúan, interactúan y responden al ambiente. De hecho, en muchos casos, la cooperación entre células y organismos es más importante evolutivamente que la competencia entre genes.</w:t>
      </w:r>
    </w:p>
    <w:p w14:paraId="637B0937" w14:textId="26CCE80E" w:rsidR="00C9515D" w:rsidRPr="00D5143C" w:rsidRDefault="00C9515D"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lastRenderedPageBreak/>
        <w:t>En resumen, los autores contemporáneos coinciden en que la visión génico-céntrica, aunque útil en su momento histórico, simplifica en exceso la complejidad de la vida. El genoma no es un plano maestro, sino un participante dentro de una red de procesos interdependientes. Los genes, la célula, el ambiente y la historia evolutiva conforman un sistema integrado donde la causalidad es múltiple y dinámica.</w:t>
      </w:r>
    </w:p>
    <w:p w14:paraId="5CC5854B" w14:textId="77777777" w:rsidR="00FE475F" w:rsidRPr="00B31511" w:rsidRDefault="00FE475F" w:rsidP="004339EC">
      <w:pPr>
        <w:pStyle w:val="Ttulo2"/>
        <w:adjustRightInd w:val="0"/>
        <w:snapToGrid w:val="0"/>
        <w:spacing w:line="360" w:lineRule="auto"/>
        <w:jc w:val="center"/>
        <w:rPr>
          <w:sz w:val="28"/>
          <w:szCs w:val="28"/>
          <w:lang w:eastAsia="es-MX"/>
        </w:rPr>
      </w:pPr>
      <w:r w:rsidRPr="00B31511">
        <w:rPr>
          <w:sz w:val="28"/>
          <w:szCs w:val="28"/>
          <w:lang w:eastAsia="es-MX"/>
        </w:rPr>
        <w:t>Parte 2: La deconstrucción de dicotomías: innato vs. adquirido y naturaleza vs. cultura</w:t>
      </w:r>
    </w:p>
    <w:p w14:paraId="6B8F4504" w14:textId="0853C008" w:rsidR="00FE475F" w:rsidRPr="00152739" w:rsidRDefault="00FE475F" w:rsidP="00B31511">
      <w:pPr>
        <w:adjustRightInd w:val="0"/>
        <w:snapToGrid w:val="0"/>
        <w:spacing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 xml:space="preserve">Uno de los efectos más duraderos del pensamiento génico-céntrico ha sido la consolidación de un conjunto de oposiciones binarias que estructuraron el discurso biológico moderno: naturaleza vs. cultura, innato vs. adquirido, genes vs. ambiente. Estas dicotomías sirvieron durante mucho tiempo como esquemas explicativos simples, pero, según los autores contemporáneos han terminado oscureciendo más que aclarando los procesos reales del desarrollo biológico. </w:t>
      </w:r>
    </w:p>
    <w:p w14:paraId="2513050C" w14:textId="6FF02EE2" w:rsidR="00FE475F" w:rsidRPr="00152739" w:rsidRDefault="00FE475F"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Evelyn Fox Keller (2000) señala que la disyunción entre “naturaleza” y “cultura” es un auténtico espejismo conceptual. En su análisis histórico y lingüístico, muestra cómo esta oposición fue heredada del pensamiento de Francis Galton a fines del siglo XIX. Galton, primo de Charles Darwin, buscaba cuantificar la influencia hereditaria en los rasgos humanos</w:t>
      </w:r>
      <w:r w:rsidR="0052617F">
        <w:rPr>
          <w:rFonts w:ascii="Times New Roman" w:eastAsia="Times New Roman" w:hAnsi="Times New Roman" w:cs="Times New Roman"/>
          <w:kern w:val="0"/>
          <w:lang w:eastAsia="es-MX"/>
          <w14:ligatures w14:val="none"/>
        </w:rPr>
        <w:t>,</w:t>
      </w:r>
      <w:r w:rsidR="00F56838">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como la inteligencia o la moralidad</w:t>
      </w:r>
      <w:r w:rsidR="00F56838">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 xml:space="preserve">y </w:t>
      </w:r>
      <w:r w:rsidR="00F56838">
        <w:rPr>
          <w:rFonts w:ascii="Times New Roman" w:eastAsia="Times New Roman" w:hAnsi="Times New Roman" w:cs="Times New Roman"/>
          <w:kern w:val="0"/>
          <w:lang w:eastAsia="es-MX"/>
          <w14:ligatures w14:val="none"/>
        </w:rPr>
        <w:t xml:space="preserve">de esta manera </w:t>
      </w:r>
      <w:r w:rsidRPr="00152739">
        <w:rPr>
          <w:rFonts w:ascii="Times New Roman" w:eastAsia="Times New Roman" w:hAnsi="Times New Roman" w:cs="Times New Roman"/>
          <w:kern w:val="0"/>
          <w:lang w:eastAsia="es-MX"/>
          <w14:ligatures w14:val="none"/>
        </w:rPr>
        <w:t>sentó las bases del programa eugenésico, que pretendía mejorar la especie mediante la selección de individuos “más aptos”. Desde entonces, el debate entre “naturaleza y crianza” (</w:t>
      </w:r>
      <w:r w:rsidRPr="00152739">
        <w:rPr>
          <w:rFonts w:ascii="Times New Roman" w:eastAsia="Times New Roman" w:hAnsi="Times New Roman" w:cs="Times New Roman"/>
          <w:i/>
          <w:iCs/>
          <w:kern w:val="0"/>
          <w:lang w:eastAsia="es-MX"/>
          <w14:ligatures w14:val="none"/>
        </w:rPr>
        <w:t>nature vs. nurture</w:t>
      </w:r>
      <w:r w:rsidRPr="00152739">
        <w:rPr>
          <w:rFonts w:ascii="Times New Roman" w:eastAsia="Times New Roman" w:hAnsi="Times New Roman" w:cs="Times New Roman"/>
          <w:kern w:val="0"/>
          <w:lang w:eastAsia="es-MX"/>
          <w14:ligatures w14:val="none"/>
        </w:rPr>
        <w:t>) quedó formulado como una competencia entre causas: cuánto de lo que somos se debe a los genes y cuánto al entorno.</w:t>
      </w:r>
    </w:p>
    <w:p w14:paraId="78EDA7C6" w14:textId="052239D0" w:rsidR="00FE475F" w:rsidRPr="00152739" w:rsidRDefault="00FE475F"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Para Keller, este planteo está viciado desde su origen. La pregunta “¿cuánto pesa la naturaleza y cuánto la cultura?” presupone que ambos factores actúan de forma independiente, como si pudieran aislarse y medirse por separado. Pero la biología moderna demuestra lo contrario: el desarrollo es un proceso integrado en el que los factores genéticos, celulares, ambientales y sociales se entrelazan continuamente. Por eso, Keller afirma que la dicotomía no solo es falsa, sino además lingüísticamente engañosa. La metáfora del peso</w:t>
      </w:r>
      <w:r w:rsidR="0052617F">
        <w:rPr>
          <w:rFonts w:ascii="Times New Roman" w:eastAsia="Times New Roman" w:hAnsi="Times New Roman" w:cs="Times New Roman"/>
          <w:kern w:val="0"/>
          <w:lang w:eastAsia="es-MX"/>
          <w14:ligatures w14:val="none"/>
        </w:rPr>
        <w:t>,</w:t>
      </w:r>
      <w:r w:rsidR="00735F93">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“qué porcentaje explica cada factor</w:t>
      </w:r>
      <w:r w:rsidR="00501FB1">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convierte la complejidad del desarrollo en una simple ecuación.</w:t>
      </w:r>
    </w:p>
    <w:p w14:paraId="4B15321A" w14:textId="77777777" w:rsidR="00FE475F" w:rsidRPr="00152739" w:rsidRDefault="00FE475F"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 xml:space="preserve">De ahí que la autora hable de un verdadero “enredo” o “maraña conceptual”: a lo largo del siglo XX, la ciencia intentó desenredar esta disyunción, pero el esfuerzo resultó “prácticamente imposible” sin reformular la pregunta. En lugar de medir cuánto contribuye cada causa, deberíamos preguntar cómo </w:t>
      </w:r>
      <w:r w:rsidRPr="00152739">
        <w:rPr>
          <w:rFonts w:ascii="Times New Roman" w:eastAsia="Times New Roman" w:hAnsi="Times New Roman" w:cs="Times New Roman"/>
          <w:kern w:val="0"/>
          <w:lang w:eastAsia="es-MX"/>
          <w14:ligatures w14:val="none"/>
        </w:rPr>
        <w:lastRenderedPageBreak/>
        <w:t>interactúan los distintos niveles del sistema biológico. Keller propone reemplazar el modelo de suma por un modelo de co-construcción, donde genes y ambiente no son fuerzas opuestas, sino socios en la producción del organismo.</w:t>
      </w:r>
    </w:p>
    <w:p w14:paraId="5742E297" w14:textId="77777777" w:rsidR="00FE475F" w:rsidRPr="00152739" w:rsidRDefault="00FE475F"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 xml:space="preserve">En esa misma línea, Guillermo Lorenzo y Víctor M. Longa (2012) profundizan en la crítica al analizar la noción de “innato”. En el primer capítulo de </w:t>
      </w:r>
      <w:r w:rsidRPr="00152739">
        <w:rPr>
          <w:rFonts w:ascii="Times New Roman" w:eastAsia="Times New Roman" w:hAnsi="Times New Roman" w:cs="Times New Roman"/>
          <w:i/>
          <w:iCs/>
          <w:kern w:val="0"/>
          <w:lang w:eastAsia="es-MX"/>
          <w14:ligatures w14:val="none"/>
        </w:rPr>
        <w:t>Los desafíos del innatismo</w:t>
      </w:r>
      <w:r w:rsidRPr="00152739">
        <w:rPr>
          <w:rFonts w:ascii="Times New Roman" w:eastAsia="Times New Roman" w:hAnsi="Times New Roman" w:cs="Times New Roman"/>
          <w:kern w:val="0"/>
          <w:lang w:eastAsia="es-MX"/>
          <w14:ligatures w14:val="none"/>
        </w:rPr>
        <w:t>, muestran que el término “innato” es extraordinariamente polisémico. A lo largo de la historia de la biología y la psicología, ha tenido múltiples significados: “presente al nacer”, “no aprendido”, “producto de causas internas”, “determinado genéticamente”, “universal en la especie”, entre otros. Cada una de estas acepciones responde a contextos teóricos distintos, pero en el debate público y académico se mezclan constantemente.</w:t>
      </w:r>
    </w:p>
    <w:p w14:paraId="40E57B69" w14:textId="77777777" w:rsidR="00FE475F" w:rsidRPr="00152739" w:rsidRDefault="00FE475F"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Esta ambigüedad convierte al concepto en lo que los autores llaman un “campo de batalla semántico”. Cuando un biólogo dice que un comportamiento es “innato”, no siempre significa lo mismo que cuando lo dice un psicólogo o un filósofo. Así, los desacuerdos aparentes muchas veces son malentendidos terminológicos, no diferencias empíricas. Por ejemplo, decir que el lenguaje es “innato” puede referirse a que existe una predisposición biológica general (una estructura cerebral capaz de aprenderlo) o a que hay reglas gramaticales universales codificadas genéticamente. Sin distinguir entre estos sentidos, el debate se vuelve confuso y estéril.</w:t>
      </w:r>
    </w:p>
    <w:p w14:paraId="55B2801C" w14:textId="77777777" w:rsidR="00FE475F" w:rsidRPr="00152739" w:rsidRDefault="00FE475F"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Esta falta de precisión conceptual tiene consecuencias serias. Como señalan Lorenzo y Longa, la ausencia de una definición unívoca de “innato” socava la claridad y el rigor científico. Al no saber exactamente qué se quiere decir, los experimentos y los modelos teóricos terminan midiendo cosas distintas. Además, la ambigüedad deja espacio para interpretaciones ideológicas: el término puede ser utilizado tanto para justificar determinismos biológicos como para negar cualquier influencia genética, según la conveniencia del discurso.</w:t>
      </w:r>
    </w:p>
    <w:p w14:paraId="09B000A3" w14:textId="77777777" w:rsidR="00FE475F" w:rsidRPr="00152739" w:rsidRDefault="00FE475F"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Evelyn Fox Keller vuelve sobre este problema al discutir el concepto de heredabilidad. En su capítulo “De individuos a poblaciones” (2000), distingue con claridad entre dos sentidos:</w:t>
      </w:r>
    </w:p>
    <w:p w14:paraId="4CA9CD1D" w14:textId="77777777" w:rsidR="00EA2DC3" w:rsidRDefault="00FE475F" w:rsidP="00EA2DC3">
      <w:pPr>
        <w:pStyle w:val="Prrafodelista"/>
        <w:numPr>
          <w:ilvl w:val="0"/>
          <w:numId w:val="4"/>
        </w:numPr>
        <w:adjustRightInd w:val="0"/>
        <w:snapToGrid w:val="0"/>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EA2DC3">
        <w:rPr>
          <w:rFonts w:ascii="Times New Roman" w:eastAsia="Times New Roman" w:hAnsi="Times New Roman" w:cs="Times New Roman"/>
          <w:kern w:val="0"/>
          <w:lang w:eastAsia="es-MX"/>
          <w14:ligatures w14:val="none"/>
        </w:rPr>
        <w:t>El sentido técnico-estadístico, que se usa en genética cuantitativa para expresar la proporción de la variación de un rasgo dentro de una población atribuible a diferencias genéticas.</w:t>
      </w:r>
    </w:p>
    <w:p w14:paraId="04E49FDE" w14:textId="5DE8F271" w:rsidR="00FE475F" w:rsidRPr="00EA2DC3" w:rsidRDefault="00FE475F" w:rsidP="00EA2DC3">
      <w:pPr>
        <w:pStyle w:val="Prrafodelista"/>
        <w:numPr>
          <w:ilvl w:val="0"/>
          <w:numId w:val="4"/>
        </w:numPr>
        <w:adjustRightInd w:val="0"/>
        <w:snapToGrid w:val="0"/>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EA2DC3">
        <w:rPr>
          <w:rFonts w:ascii="Times New Roman" w:eastAsia="Times New Roman" w:hAnsi="Times New Roman" w:cs="Times New Roman"/>
          <w:kern w:val="0"/>
          <w:lang w:eastAsia="es-MX"/>
          <w14:ligatures w14:val="none"/>
        </w:rPr>
        <w:t>El sentido coloquial, que se refiere a la idea común de que un rasgo “se hereda” de los padres a los hijos.</w:t>
      </w:r>
    </w:p>
    <w:p w14:paraId="55EA4B64" w14:textId="7205D01D" w:rsidR="002B7647" w:rsidRPr="00564123" w:rsidRDefault="00FE475F" w:rsidP="0056412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lastRenderedPageBreak/>
        <w:t>La confusión entre ambos sentidos ha sido, según Keller, una de las principales fuentes del determinismo genético moderno. Los estudios estadísticos de heredabilidad no se aplican a individuos, sino a poblaciones bajo condiciones específicas; sin embargo, los medios y algunos científicos los interpretaron como pruebas de causalidad genética individual. Decir que “la inteligencia es 70% heredable”, por ejemplo, no significa que el 70% de la inteligencia de una persona provenga de sus genes.</w:t>
      </w:r>
      <w:r w:rsidR="00564123">
        <w:rPr>
          <w:rFonts w:ascii="Times New Roman" w:eastAsia="Times New Roman" w:hAnsi="Times New Roman" w:cs="Times New Roman"/>
          <w:kern w:val="0"/>
          <w:lang w:eastAsia="es-MX"/>
          <w14:ligatures w14:val="none"/>
        </w:rPr>
        <w:t xml:space="preserve"> </w:t>
      </w:r>
      <w:r w:rsidRPr="001F1D98">
        <w:rPr>
          <w:rFonts w:ascii="Times New Roman" w:hAnsi="Times New Roman" w:cs="Times New Roman"/>
        </w:rPr>
        <w:t>Solo indica que, en esa población y bajo esas condiciones, el 70% de la variación observada se correlaciona con diferencias genéticas. Cuando se ignora esta distinción, se reintroduce el viejo determinismo biológico que la biología del desarrollo intenta superar.</w:t>
      </w:r>
    </w:p>
    <w:p w14:paraId="29D4DCBC" w14:textId="3FBEFACC" w:rsidR="002B7647" w:rsidRPr="001F1D98" w:rsidRDefault="00FE475F" w:rsidP="00D03C13">
      <w:pPr>
        <w:adjustRightInd w:val="0"/>
        <w:snapToGrid w:val="0"/>
        <w:spacing w:after="0" w:line="360" w:lineRule="auto"/>
        <w:ind w:firstLine="709"/>
        <w:jc w:val="both"/>
        <w:rPr>
          <w:rFonts w:ascii="Times New Roman" w:hAnsi="Times New Roman" w:cs="Times New Roman"/>
        </w:rPr>
      </w:pPr>
      <w:r w:rsidRPr="001F1D98">
        <w:rPr>
          <w:rFonts w:ascii="Times New Roman" w:hAnsi="Times New Roman" w:cs="Times New Roman"/>
        </w:rPr>
        <w:t>En conjunto, las críticas de estos autores apuntan a mostrar que la biología necesita abandonar los pares opuestos simplificadores y adoptar una visión dinámica del desarrollo. Los rasgos biológicos no son productos estáticos de una causa u otra, sino resultados de procesos de interacción y co-construcción. Las células responden al entorno, los genes se expresan según condiciones locales, y los organismos modifican el ambiente que, a su vez, los transforma.</w:t>
      </w:r>
      <w:r w:rsidR="00CD6A8F" w:rsidRPr="001F1D98">
        <w:rPr>
          <w:rFonts w:ascii="Times New Roman" w:hAnsi="Times New Roman" w:cs="Times New Roman"/>
        </w:rPr>
        <w:t xml:space="preserve"> </w:t>
      </w:r>
    </w:p>
    <w:p w14:paraId="401C9F9E" w14:textId="77777777" w:rsidR="00A00694" w:rsidRPr="001F1D98" w:rsidRDefault="00A00694" w:rsidP="003B59ED">
      <w:pPr>
        <w:pStyle w:val="Ttulo2"/>
        <w:adjustRightInd w:val="0"/>
        <w:snapToGrid w:val="0"/>
        <w:spacing w:line="360" w:lineRule="auto"/>
        <w:ind w:hanging="142"/>
        <w:jc w:val="center"/>
      </w:pPr>
      <w:r w:rsidRPr="001F1D98">
        <w:t>Parte 3: Paradigmas alternativos: el rol de la célula y los sistemas de desarrollo</w:t>
      </w:r>
    </w:p>
    <w:p w14:paraId="7B60A1EB" w14:textId="42C8C5B6" w:rsidR="00A00694" w:rsidRPr="001F1D98" w:rsidRDefault="00A00694" w:rsidP="00EA2DC3">
      <w:pPr>
        <w:adjustRightInd w:val="0"/>
        <w:snapToGrid w:val="0"/>
        <w:spacing w:after="0" w:line="360" w:lineRule="auto"/>
        <w:ind w:firstLine="709"/>
        <w:jc w:val="both"/>
        <w:rPr>
          <w:rFonts w:ascii="Times New Roman" w:hAnsi="Times New Roman" w:cs="Times New Roman"/>
        </w:rPr>
      </w:pPr>
      <w:r w:rsidRPr="001F1D98">
        <w:rPr>
          <w:rFonts w:ascii="Times New Roman" w:hAnsi="Times New Roman" w:cs="Times New Roman"/>
        </w:rPr>
        <w:t>A medida que la biología contemporánea se aleja del modelo génico-céntrico, surgen nuevas formas de comprender la vida. Estas perspectivas no niegan la importancia del ADN, pero cuestionan su papel como agente causal principal. En lugar de pensar los organismos como construcciones determinadas por un plano genético, autores como Alfonso Martínez Arias, Evelyn Fox Keller, y los teóricos de la Teoría de los Sistemas de Desarrollo (TSD)</w:t>
      </w:r>
      <w:r w:rsidR="0052617F" w:rsidRPr="001F1D98">
        <w:rPr>
          <w:rFonts w:ascii="Times New Roman" w:hAnsi="Times New Roman" w:cs="Times New Roman"/>
        </w:rPr>
        <w:t>,</w:t>
      </w:r>
      <w:r w:rsidR="00425508" w:rsidRPr="001F1D98">
        <w:rPr>
          <w:rFonts w:ascii="Times New Roman" w:hAnsi="Times New Roman" w:cs="Times New Roman"/>
        </w:rPr>
        <w:t xml:space="preserve"> </w:t>
      </w:r>
      <w:r w:rsidRPr="001F1D98">
        <w:rPr>
          <w:rFonts w:ascii="Times New Roman" w:hAnsi="Times New Roman" w:cs="Times New Roman"/>
        </w:rPr>
        <w:t>entre ellos Guillermo Lorenzo y Víctor M. Longa</w:t>
      </w:r>
      <w:r w:rsidR="00425508" w:rsidRPr="001F1D98">
        <w:rPr>
          <w:rFonts w:ascii="Times New Roman" w:hAnsi="Times New Roman" w:cs="Times New Roman"/>
        </w:rPr>
        <w:t>,</w:t>
      </w:r>
      <w:r w:rsidRPr="001F1D98">
        <w:rPr>
          <w:rFonts w:ascii="Times New Roman" w:hAnsi="Times New Roman" w:cs="Times New Roman"/>
        </w:rPr>
        <w:t xml:space="preserve"> proponen una biología que reconozca la agencia de la célula y la naturaleza emergente y autoorganizativa de los procesos vitales.</w:t>
      </w:r>
    </w:p>
    <w:p w14:paraId="74E8E70C" w14:textId="2B55B11C" w:rsidR="00A00694" w:rsidRPr="001F1D98" w:rsidRDefault="00A00694" w:rsidP="00EA2DC3">
      <w:pPr>
        <w:adjustRightInd w:val="0"/>
        <w:snapToGrid w:val="0"/>
        <w:spacing w:after="0" w:line="360" w:lineRule="auto"/>
        <w:ind w:firstLine="709"/>
        <w:jc w:val="both"/>
        <w:rPr>
          <w:rFonts w:ascii="Times New Roman" w:hAnsi="Times New Roman" w:cs="Times New Roman"/>
        </w:rPr>
      </w:pPr>
      <w:r w:rsidRPr="001F1D98">
        <w:rPr>
          <w:rFonts w:ascii="Times New Roman" w:hAnsi="Times New Roman" w:cs="Times New Roman"/>
        </w:rPr>
        <w:t xml:space="preserve">El cambio más profundo que proponen estos autores consiste en trasladar la agencia biológica: ya no está en los genes, sino en las células vivas, que actúan, deciden y construyen. En su obra The Master Builder (2023), </w:t>
      </w:r>
      <w:r w:rsidR="00425508" w:rsidRPr="001F1D98">
        <w:rPr>
          <w:rFonts w:ascii="Times New Roman" w:hAnsi="Times New Roman" w:cs="Times New Roman"/>
        </w:rPr>
        <w:t xml:space="preserve"> </w:t>
      </w:r>
      <w:r w:rsidRPr="001F1D98">
        <w:rPr>
          <w:rFonts w:ascii="Times New Roman" w:hAnsi="Times New Roman" w:cs="Times New Roman"/>
        </w:rPr>
        <w:t>Alfonso Martínez Arias describe al ADN como un “catálogo de partes” más que como un plano maestro. Los genes proporcionan los componentes básicos, pero no las instrucciones de montaje. La metáfora es clara: del mismo modo que un arquitecto no puede construir una casa solo con una lista de materiales, el genoma por sí solo no puede construir un organismo sin el contexto dinámico de la célula.</w:t>
      </w:r>
    </w:p>
    <w:p w14:paraId="380D82AB" w14:textId="55C35148" w:rsidR="00A00694" w:rsidRPr="00152739" w:rsidRDefault="00A00694" w:rsidP="00EA2DC3">
      <w:pPr>
        <w:adjustRightInd w:val="0"/>
        <w:snapToGrid w:val="0"/>
        <w:spacing w:after="0" w:line="360" w:lineRule="auto"/>
        <w:ind w:firstLine="709"/>
        <w:jc w:val="both"/>
        <w:rPr>
          <w:rFonts w:ascii="Times New Roman" w:eastAsia="Times New Roman" w:hAnsi="Times New Roman" w:cs="Times New Roman"/>
          <w:kern w:val="0"/>
          <w:lang w:eastAsia="es-MX"/>
          <w14:ligatures w14:val="none"/>
        </w:rPr>
      </w:pPr>
      <w:r w:rsidRPr="001F1D98">
        <w:rPr>
          <w:rFonts w:ascii="Times New Roman" w:hAnsi="Times New Roman" w:cs="Times New Roman"/>
        </w:rPr>
        <w:t>En este sentido, las células son las verdaderas “maestras constructoras”. Ellas interpretan la información genética, pero también interactúan entre sí, responden al entorno y generan formas a partir de reglas locales simples. Martínez Arias muestra cómo, en procesos como la gastrulación</w:t>
      </w:r>
      <w:r w:rsidR="0052617F" w:rsidRPr="001F1D98">
        <w:rPr>
          <w:rFonts w:ascii="Times New Roman" w:hAnsi="Times New Roman" w:cs="Times New Roman"/>
        </w:rPr>
        <w:t>,</w:t>
      </w:r>
      <w:r w:rsidR="00C67FC1" w:rsidRPr="001F1D98">
        <w:rPr>
          <w:rFonts w:ascii="Times New Roman" w:hAnsi="Times New Roman" w:cs="Times New Roman"/>
        </w:rPr>
        <w:t xml:space="preserve"> </w:t>
      </w:r>
      <w:r w:rsidRPr="001F1D98">
        <w:rPr>
          <w:rFonts w:ascii="Times New Roman" w:hAnsi="Times New Roman" w:cs="Times New Roman"/>
        </w:rPr>
        <w:t xml:space="preserve">la etapa del </w:t>
      </w:r>
      <w:r w:rsidRPr="001F1D98">
        <w:rPr>
          <w:rFonts w:ascii="Times New Roman" w:hAnsi="Times New Roman" w:cs="Times New Roman"/>
        </w:rPr>
        <w:lastRenderedPageBreak/>
        <w:t>desarrollo embrionario en la que una masa aparentemente homogénea de células se reorganiza para formar las tres capas germinales del embrión, no existe un plano centralizado que</w:t>
      </w:r>
      <w:r w:rsidRPr="001F1D98">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dicte los movimientos o las posiciones de las células. Lo que ocurre es un conjunto de interacciones locales, señales químicas y mecánicas, que producen patrones globales. Este tipo de fenómenos se conoce como autoorganización, y demuestra que la complejidad puede surgir sin control jerárquico.</w:t>
      </w:r>
    </w:p>
    <w:p w14:paraId="242D3EC7" w14:textId="77777777" w:rsidR="00A00694" w:rsidRPr="00152739" w:rsidRDefault="00A00694"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Este enfoque también implica una redefinición de la causalidad biológica. La visión tradicional, heredera del mecanicismo, concebía al ADN como causa eficiente, y al desarrollo como una ejecución lineal de instrucciones. En cambio, Martínez Arias y los teóricos de los sistemas de desarrollo sostienen que la causalidad en biología es distribuida, contextual y recursiva: los efectos influyen sobre las causas, los niveles se retroalimentan y los procesos no pueden descomponerse en cadenas unidireccionales.</w:t>
      </w:r>
    </w:p>
    <w:p w14:paraId="5E691F67" w14:textId="59B95AD0" w:rsidR="00A00694" w:rsidRPr="00152739" w:rsidRDefault="00A00694"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El concepto de epigénesis, revisitado por Evelyn Fox Keller (2000) y por Lorenzo y Longa (2012), refuerza esta idea. En oposición al preformacionismo</w:t>
      </w:r>
      <w:r w:rsidR="0052617F">
        <w:rPr>
          <w:rFonts w:ascii="Times New Roman" w:eastAsia="Times New Roman" w:hAnsi="Times New Roman" w:cs="Times New Roman"/>
          <w:kern w:val="0"/>
          <w:lang w:eastAsia="es-MX"/>
          <w14:ligatures w14:val="none"/>
        </w:rPr>
        <w:t>,</w:t>
      </w:r>
      <w:r w:rsidR="00EC4DF9">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la antigua creencia de que el embrión ya contenía en miniatura todas las partes del organismo adulto, la epigénesis entiende el desarrollo como una serie de interacciones constructivas y emergentes. Cada etapa depende de la anterior, pero introduce novedades no prefiguradas. Esto significa que el desarrollo no es la mera “lectura” de un plan, sino un proceso histórico en el que lo nuevo emerge de lo existente mediante transformaciones.</w:t>
      </w:r>
    </w:p>
    <w:p w14:paraId="0729346D" w14:textId="77777777" w:rsidR="00A00694" w:rsidRPr="00152739" w:rsidRDefault="00A00694"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La epigénesis disuelve además la separación entre causas “internas” (genes) y “externas” (ambiente). Keller subraya que, desde la perspectiva epigenética, esta distinción pierde sentido: los factores ambientales forman parte del sistema causal del desarrollo, no como interferencias, sino como condiciones constitutivas. Por ejemplo, la temperatura o las concentraciones químicas del entorno pueden cambiar radicalmente la expresión génica, y por lo tanto, el resultado morfológico del organismo. El desarrollo es, en este sentido, un proceso abierto, dependiente del contexto.</w:t>
      </w:r>
    </w:p>
    <w:p w14:paraId="46A83A1D" w14:textId="0464025D" w:rsidR="00A00694" w:rsidRPr="00152739" w:rsidRDefault="00A00694" w:rsidP="00B657A0">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 xml:space="preserve">Esta concepción encuentra su formulación más sistemática en la Teoría de los Sistemas de Desarrollo (TSD), trabajada por Lorenzo y Longa en su </w:t>
      </w:r>
      <w:r w:rsidRPr="00152739">
        <w:rPr>
          <w:rFonts w:ascii="Times New Roman" w:eastAsia="Times New Roman" w:hAnsi="Times New Roman" w:cs="Times New Roman"/>
          <w:i/>
          <w:iCs/>
          <w:kern w:val="0"/>
          <w:lang w:eastAsia="es-MX"/>
          <w14:ligatures w14:val="none"/>
        </w:rPr>
        <w:t>Capítulo 7</w:t>
      </w:r>
      <w:r w:rsidRPr="00152739">
        <w:rPr>
          <w:rFonts w:ascii="Times New Roman" w:eastAsia="Times New Roman" w:hAnsi="Times New Roman" w:cs="Times New Roman"/>
          <w:kern w:val="0"/>
          <w:lang w:eastAsia="es-MX"/>
          <w14:ligatures w14:val="none"/>
        </w:rPr>
        <w:t>. Uno de sus principios centrales es la llamada “paridad causal”. Según este principio, ningún elemento del sistema</w:t>
      </w:r>
      <w:r w:rsidR="0052617F">
        <w:rPr>
          <w:rFonts w:ascii="Times New Roman" w:eastAsia="Times New Roman" w:hAnsi="Times New Roman" w:cs="Times New Roman"/>
          <w:kern w:val="0"/>
          <w:lang w:eastAsia="es-MX"/>
          <w14:ligatures w14:val="none"/>
        </w:rPr>
        <w:t>,</w:t>
      </w:r>
      <w:r w:rsidR="00B657A0">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ni los genes, ni las células, ni los factores ambientales posee un privilegio de mando. En lugar de un control jerárquico, la TSD propone un modelo de control distribuido, donde todos los componentes participan de manera equitativa en la generación del fenómeno biológico.</w:t>
      </w:r>
      <w:r w:rsidR="00B657A0">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 xml:space="preserve">Esta idea tiene implicaciones profundas. Por un lado, rechaza el determinismo genético, que atribuye a los genes un poder causal superior. Pero también rechaza cualquier forma de preformacionismo informacional, es decir, la idea de que la información completa </w:t>
      </w:r>
      <w:r w:rsidRPr="00152739">
        <w:rPr>
          <w:rFonts w:ascii="Times New Roman" w:eastAsia="Times New Roman" w:hAnsi="Times New Roman" w:cs="Times New Roman"/>
          <w:kern w:val="0"/>
          <w:lang w:eastAsia="es-MX"/>
          <w14:ligatures w14:val="none"/>
        </w:rPr>
        <w:lastRenderedPageBreak/>
        <w:t>del organismo está codificada en algún lugar</w:t>
      </w:r>
      <w:r w:rsidR="0052617F">
        <w:rPr>
          <w:rFonts w:ascii="Times New Roman" w:eastAsia="Times New Roman" w:hAnsi="Times New Roman" w:cs="Times New Roman"/>
          <w:kern w:val="0"/>
          <w:lang w:eastAsia="es-MX"/>
          <w14:ligatures w14:val="none"/>
        </w:rPr>
        <w:t>,</w:t>
      </w:r>
      <w:r w:rsidR="00B657A0">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ya sea el ADN, la célula o el entorno. Para la TSD, la información y la forma son propiedades emergentes del sistema, no contenidos preexistentes.</w:t>
      </w:r>
    </w:p>
    <w:p w14:paraId="281CAD17" w14:textId="71F2A99F" w:rsidR="00A00694" w:rsidRPr="00152739" w:rsidRDefault="00A00694" w:rsidP="00AE5B55">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Pensemos en una colonia de termitas que construye un montículo. No hay una “reina arquitecta” que posea el plano del nido: cada termita responde a señales locales, como la concentración de feromonas o la temperatura. Sin embargo, el resultado global es una estructura compleja, estable y funcional. Algo similar ocurre en el desarrollo embrionario: las células actúan localmente, pero el resultado es un organismo completo. El orden emerge sin necesidad de un diseñador central.</w:t>
      </w:r>
      <w:r w:rsidR="00AE5B55">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En este contexto, la biología pasa de una lógica de control a una lógica de colaboración. La agencia se reparte entre múltiples niveles: el gen, la célula, el tejido, el entorno. Como dice Martínez Arias, comprender la vida implica mirar “del gen al organismo”, y no al revés. La célula ya no es un simple intermediario, sino el lugar donde la vida se organiza, interpreta y se hace posible.</w:t>
      </w:r>
    </w:p>
    <w:p w14:paraId="4B7D970B" w14:textId="6ABA204C" w:rsidR="00FB020C" w:rsidRPr="009C7C80" w:rsidRDefault="00A00694" w:rsidP="009C7C80">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 xml:space="preserve">En conclusión, los paradigmas alternativos proponen una transformación profunda: reemplazar la imagen del genoma como plano maestro por la de una biología sin centro, basada en la interacción, la autoorganización y la emergencia. </w:t>
      </w:r>
    </w:p>
    <w:p w14:paraId="068AD30E" w14:textId="77777777" w:rsidR="00FB020C" w:rsidRPr="00152739" w:rsidRDefault="00FB020C" w:rsidP="003B59ED">
      <w:pPr>
        <w:pStyle w:val="Ttulo2"/>
        <w:jc w:val="center"/>
        <w:rPr>
          <w:rFonts w:eastAsia="Times New Roman"/>
          <w:lang w:eastAsia="es-MX"/>
        </w:rPr>
      </w:pPr>
      <w:r w:rsidRPr="00152739">
        <w:rPr>
          <w:rFonts w:eastAsia="Times New Roman"/>
          <w:lang w:eastAsia="es-MX"/>
        </w:rPr>
        <w:t>Parte 4: Cuestiones teóricas e ideológicas y síntesis final</w:t>
      </w:r>
    </w:p>
    <w:p w14:paraId="2E0D1E72" w14:textId="13618471" w:rsidR="00FB020C" w:rsidRPr="00152739" w:rsidRDefault="00FB020C" w:rsidP="00AE5B55">
      <w:pPr>
        <w:adjustRightInd w:val="0"/>
        <w:snapToGrid w:val="0"/>
        <w:spacing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Las discusiones científicas sobre el genoma no son neutrales ni meramente técnicas: implican formas de pensar la causalidad, la información y la agencia, pero también, más profundamente, formas de concebir lo humano y lo social. Por eso, el debate sobre el papel del genoma no solo pertenece a la biología, sino también a la filosofía de la ciencia. Los autores analizados</w:t>
      </w:r>
      <w:r w:rsidR="0052617F">
        <w:rPr>
          <w:rFonts w:ascii="Times New Roman" w:eastAsia="Times New Roman" w:hAnsi="Times New Roman" w:cs="Times New Roman"/>
          <w:kern w:val="0"/>
          <w:lang w:eastAsia="es-MX"/>
          <w14:ligatures w14:val="none"/>
        </w:rPr>
        <w:t>,</w:t>
      </w:r>
      <w:r w:rsidR="00BC0D92">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Evelyn Fox Keller, Alfonso Martínez Arias, Guillermo Lorenzo, Víctor M. Longa y Peter Godfrey-Smith</w:t>
      </w:r>
      <w:r w:rsidR="00BC0D92">
        <w:rPr>
          <w:rFonts w:ascii="Times New Roman" w:eastAsia="Times New Roman" w:hAnsi="Times New Roman" w:cs="Times New Roman"/>
          <w:kern w:val="0"/>
          <w:lang w:eastAsia="es-MX"/>
          <w14:ligatures w14:val="none"/>
        </w:rPr>
        <w:t>,</w:t>
      </w:r>
      <w:r w:rsidRPr="00152739">
        <w:rPr>
          <w:rFonts w:ascii="Times New Roman" w:eastAsia="Times New Roman" w:hAnsi="Times New Roman" w:cs="Times New Roman"/>
          <w:kern w:val="0"/>
          <w:lang w:eastAsia="es-MX"/>
          <w14:ligatures w14:val="none"/>
        </w:rPr>
        <w:t xml:space="preserve"> coinciden en que el modo en que interpretamos la función del ADN tiene implicaciones ideológicas, políticas y éticas.</w:t>
      </w:r>
    </w:p>
    <w:p w14:paraId="1CF4B20B" w14:textId="77777777" w:rsidR="00FB020C" w:rsidRPr="00152739" w:rsidRDefault="00FB020C"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Evelyn Fox Keller (2000) reconstruye históricamente el origen del debate “naturaleza vs. crianza” y muestra que su formulación original está vinculada al proyecto eugenésico de Francis Galton. Galton, motivado por las teorías evolutivas de Darwin, buscaba cuantificar la “herencia” de rasgos intelectuales y morales para promover la selección de individuos considerados más aptos. En este contexto, la idea de que los genes determinan nuestras capacidades no fue una consecuencia accidental, sino el punto de partida de un programa social: justificar jerarquías y desigualdades en nombre de la biología.</w:t>
      </w:r>
    </w:p>
    <w:p w14:paraId="423A68F3" w14:textId="77777777" w:rsidR="00FB020C" w:rsidRPr="00152739" w:rsidRDefault="00FB020C"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 xml:space="preserve">Para Keller, esta historia muestra que las categorías científicas nunca están completamente desligadas de las ideologías. El lenguaje de la herencia y la naturaleza se convirtió, en el siglo XX, en </w:t>
      </w:r>
      <w:r w:rsidRPr="00152739">
        <w:rPr>
          <w:rFonts w:ascii="Times New Roman" w:eastAsia="Times New Roman" w:hAnsi="Times New Roman" w:cs="Times New Roman"/>
          <w:kern w:val="0"/>
          <w:lang w:eastAsia="es-MX"/>
          <w14:ligatures w14:val="none"/>
        </w:rPr>
        <w:lastRenderedPageBreak/>
        <w:t>una forma de naturalizar las diferencias sociales. Por eso, critica tanto la ingenuidad tecnocientífica de los discursos que prometen “descifrar el libro de la vida” como la tendencia a atribuir a los genes la causa de comportamientos humanos complejos. En ambos casos, lo que se pierde es la noción de contexto: los genes no actúan en el vacío, y su significado depende de las interacciones en las que participan.</w:t>
      </w:r>
    </w:p>
    <w:p w14:paraId="005CC779" w14:textId="77777777" w:rsidR="00FB020C" w:rsidRPr="00152739" w:rsidRDefault="00FB020C"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En esta línea, Peter Godfrey-Smith también advierte que el determinismo genético refleja una metáfora del control profundamente arraigada en la cultura moderna. La idea de que el ADN “contiene” toda la información sobre el organismo responde al deseo humano de dominio y predicción. Sin embargo, la biología del desarrollo y la genética contemporánea muestran que los procesos vitales son mucho más plásticos, contingentes y distribuidos. En lugar de un centro de mando, hay una red de relaciones en constante cambio.</w:t>
      </w:r>
    </w:p>
    <w:p w14:paraId="4B9ABE03" w14:textId="77777777" w:rsidR="00FB020C" w:rsidRPr="00152739" w:rsidRDefault="00FB020C"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Frente a esta tradición reduccionista, los enfoques de Martínez Arias y de los teóricos de la Teoría de los Sistemas de Desarrollo (TSD) proponen un modelo holístico o sistémico. Mientras el reduccionismo busca explicar los fenómenos descomponiéndolos en sus partes (por ejemplo, atribuyendo un rasgo a un gen específico), el holismo entiende que las propiedades biológicas surgen de la organización y las interacciones entre múltiples niveles. Martínez Arias (2023) sostiene que la vida es una propiedad emergente de la interacción celular, y que el ADN, por sí mismo, es inerte: un texto que necesita ser interpretado por las células vivas para adquirir sentido.</w:t>
      </w:r>
    </w:p>
    <w:p w14:paraId="3E2A8892" w14:textId="3D97EE80" w:rsidR="00FB020C" w:rsidRPr="00152739" w:rsidRDefault="00FB020C" w:rsidP="00EB1177">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Esta noción remite directamente al concepto de información genética, uno de los más debatidos en la filosofía de la biología. Según Godfrey-Smith, es posible concebir la información como un contenido preexistente, algo que el ADN “posee” y transmite. Esta visión encaja con la idea del gen como “portador de mensaje”. Sin embargo, Martínez Arias y Keller prefieren una concepción emergente: la información no está en los genes como en un libro, sino que aparece en la interacción entre el ADN y el sistema celular.</w:t>
      </w:r>
    </w:p>
    <w:p w14:paraId="00C626A1" w14:textId="77777777" w:rsidR="00FB020C" w:rsidRPr="00152739" w:rsidRDefault="00FB020C"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Desde esta perspectiva, hablar del genoma como información no implica volver al determinismo, sino reconocer su papel dentro de una red de relaciones. El ADN almacena potencialidades, pero no las activa por sí solo. Es la célula, con su maquinaria molecular, sus condiciones ambientales y su historia evolutiva, la que interpreta esas secuencias. Este proceso de interpretación no es mecánico, sino dinámico y contextual. Así, la información genética se convierte en un proceso de comunicación más que en un depósito de instrucciones.</w:t>
      </w:r>
    </w:p>
    <w:p w14:paraId="2DC5BB12" w14:textId="77777777" w:rsidR="00FB020C" w:rsidRPr="00152739" w:rsidRDefault="00FB020C"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lastRenderedPageBreak/>
        <w:t>Esta forma de pensar tiene profundas implicaciones filosóficas. Supone pasar de una ontología de sustancias y causas lineales a una ontología de relaciones y procesos. La vida deja de ser una estructura determinada desde el inicio para convertirse en un devenir constante, en el que la forma y la función emergen simultáneamente. Keller (2002) lo expresa al decir que “la vida no se reduce a la lectura de un código, sino a la conversación continua entre el código y su entorno”.</w:t>
      </w:r>
    </w:p>
    <w:p w14:paraId="1CC62AC5" w14:textId="328687D0" w:rsidR="002A6F95" w:rsidRPr="00AE5B55" w:rsidRDefault="00FB020C" w:rsidP="00AE5B55">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Desde el punto de vista ideológico, este cambio de enfoque invita a abandonar la idea de un control absoluto sobre la naturaleza. Reconocer que los procesos biológicos son autoorganizados, contingentes y cooperativos implica repensar también nuestra relación con el conocimiento y el poder. La ciencia deja de ser el arte de dominar los mecanismos de la vida para convertirse en el arte de comprender sus interdependencias.</w:t>
      </w:r>
    </w:p>
    <w:p w14:paraId="2911B6F7" w14:textId="6F795531" w:rsidR="00FB020C" w:rsidRPr="00152739" w:rsidRDefault="00FB020C" w:rsidP="002A6F95">
      <w:pPr>
        <w:pStyle w:val="Ttulo2"/>
        <w:ind w:firstLine="567"/>
        <w:rPr>
          <w:rFonts w:eastAsia="Times New Roman"/>
          <w:lang w:eastAsia="es-MX"/>
        </w:rPr>
      </w:pPr>
      <w:r w:rsidRPr="00152739">
        <w:rPr>
          <w:rFonts w:eastAsia="Times New Roman"/>
          <w:lang w:eastAsia="es-MX"/>
        </w:rPr>
        <w:t>Síntesis y postura personal</w:t>
      </w:r>
    </w:p>
    <w:p w14:paraId="7E906A80" w14:textId="77777777" w:rsidR="00FB020C" w:rsidRPr="00152739" w:rsidRDefault="00FB020C" w:rsidP="00AE5B55">
      <w:pPr>
        <w:adjustRightInd w:val="0"/>
        <w:snapToGrid w:val="0"/>
        <w:spacing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A la luz de estas discusiones, considero que el papel del genoma en la explicación de la vida debe entenderse como fuente de información, pero no como causa determinante. El ADN constituye un recurso esencial: contiene secuencias que orientan y posibilitan la construcción de los organismos, pero no define por sí solo su destino. Su relevancia es innegable, pero su eficacia depende del contexto: de las interacciones celulares, de las condiciones ambientales y de los procesos históricos de desarrollo.</w:t>
      </w:r>
    </w:p>
    <w:p w14:paraId="5200E7BD" w14:textId="50A2952A" w:rsidR="00FB020C" w:rsidRPr="00152739" w:rsidRDefault="00FB020C" w:rsidP="00EA2DC3">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Pensar al genoma como el único factor causal equivale a analizar la partitura sin considerar la orquesta que la interpreta. La información genética no tiene valor fuera de la célula que la lee, del entorno que la modula y del organismo que la encarna. En ese sentido, coincido con Martínez Arias en que la agencia pertenece a la célula, no al gen; y con Keller, en que las metáforas que usamos</w:t>
      </w:r>
      <w:r w:rsidR="002A6F95">
        <w:rPr>
          <w:rFonts w:ascii="Times New Roman" w:eastAsia="Times New Roman" w:hAnsi="Times New Roman" w:cs="Times New Roman"/>
          <w:kern w:val="0"/>
          <w:lang w:eastAsia="es-MX"/>
          <w14:ligatures w14:val="none"/>
        </w:rPr>
        <w:t xml:space="preserve"> </w:t>
      </w:r>
      <w:r w:rsidRPr="00152739">
        <w:rPr>
          <w:rFonts w:ascii="Times New Roman" w:eastAsia="Times New Roman" w:hAnsi="Times New Roman" w:cs="Times New Roman"/>
          <w:kern w:val="0"/>
          <w:lang w:eastAsia="es-MX"/>
          <w14:ligatures w14:val="none"/>
        </w:rPr>
        <w:t>“programa”, “plano”, “manual de instrucciones” deben revisarse para reflejar mejor la naturaleza dialógica de los procesos biológicos.</w:t>
      </w:r>
    </w:p>
    <w:p w14:paraId="06D22FF2" w14:textId="3E33E436" w:rsidR="00DE4200" w:rsidRPr="00F848CE" w:rsidRDefault="00FB020C" w:rsidP="00F848CE">
      <w:pPr>
        <w:adjustRightInd w:val="0"/>
        <w:snapToGrid w:val="0"/>
        <w:spacing w:before="100" w:beforeAutospacing="1" w:after="100" w:afterAutospacing="1" w:line="360" w:lineRule="auto"/>
        <w:ind w:firstLine="709"/>
        <w:jc w:val="both"/>
        <w:rPr>
          <w:rFonts w:ascii="Times New Roman" w:eastAsia="Times New Roman" w:hAnsi="Times New Roman" w:cs="Times New Roman"/>
          <w:kern w:val="0"/>
          <w:lang w:eastAsia="es-MX"/>
          <w14:ligatures w14:val="none"/>
        </w:rPr>
      </w:pPr>
      <w:r w:rsidRPr="00152739">
        <w:rPr>
          <w:rFonts w:ascii="Times New Roman" w:eastAsia="Times New Roman" w:hAnsi="Times New Roman" w:cs="Times New Roman"/>
          <w:kern w:val="0"/>
          <w:lang w:eastAsia="es-MX"/>
          <w14:ligatures w14:val="none"/>
        </w:rPr>
        <w:t>En síntesis, el genoma es relevante pero no soberano. Es un lenguaje potencial que cobra sentido solo dentro del contexto viviente que lo interpreta. La vida no es el resultado de un texto genético preescrito, sino de una conversación permanente entre genes, células y entorno. Comprender esto no solo mejora nuestra ciencia, sino también nuestra visión del mundo</w:t>
      </w:r>
      <w:r w:rsidR="00F848CE">
        <w:rPr>
          <w:rFonts w:ascii="Times New Roman" w:eastAsia="Times New Roman" w:hAnsi="Times New Roman" w:cs="Times New Roman"/>
          <w:kern w:val="0"/>
          <w:lang w:eastAsia="es-MX"/>
          <w14:ligatures w14:val="none"/>
        </w:rPr>
        <w:t>.</w:t>
      </w:r>
    </w:p>
    <w:sectPr w:rsidR="00DE4200" w:rsidRPr="00F848CE" w:rsidSect="005A0F94">
      <w:headerReference w:type="default" r:id="rId7"/>
      <w:footerReference w:type="even"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2BF8" w14:textId="77777777" w:rsidR="00150DF1" w:rsidRDefault="00150DF1" w:rsidP="005A0F94">
      <w:pPr>
        <w:spacing w:after="0" w:line="240" w:lineRule="auto"/>
      </w:pPr>
      <w:r>
        <w:separator/>
      </w:r>
    </w:p>
  </w:endnote>
  <w:endnote w:type="continuationSeparator" w:id="0">
    <w:p w14:paraId="27967F9A" w14:textId="77777777" w:rsidR="00150DF1" w:rsidRDefault="00150DF1"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EndPr>
      <w:rPr>
        <w:rStyle w:val="Nmerodepgina"/>
      </w:rPr>
    </w:sdtEndPr>
    <w:sdtContent>
      <w:p w14:paraId="541595D9"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B227B53"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EndPr>
      <w:rPr>
        <w:rStyle w:val="Nmerodepgina"/>
      </w:rPr>
    </w:sdtEndPr>
    <w:sdtContent>
      <w:p w14:paraId="7D8CC942"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1D11EE34"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BA3E" w14:textId="77777777" w:rsidR="00150DF1" w:rsidRDefault="00150DF1" w:rsidP="005A0F94">
      <w:pPr>
        <w:spacing w:after="0" w:line="240" w:lineRule="auto"/>
      </w:pPr>
      <w:r>
        <w:separator/>
      </w:r>
    </w:p>
  </w:footnote>
  <w:footnote w:type="continuationSeparator" w:id="0">
    <w:p w14:paraId="2046B5D9" w14:textId="77777777" w:rsidR="00150DF1" w:rsidRDefault="00150DF1"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A396" w14:textId="2646B602" w:rsidR="004F377E" w:rsidRPr="00C9515D" w:rsidRDefault="00C9515D" w:rsidP="005A0F94">
    <w:pPr>
      <w:pStyle w:val="Encabezado"/>
      <w:pBdr>
        <w:bottom w:val="single" w:sz="4" w:space="1" w:color="auto"/>
      </w:pBdr>
      <w:rPr>
        <w:lang w:val="es-ES_tradnl"/>
      </w:rPr>
    </w:pPr>
    <w:r>
      <w:rPr>
        <w:lang w:val="es-ES_tradnl"/>
      </w:rPr>
      <w:t xml:space="preserve">Filosofía de la Biología y la Etología </w:t>
    </w:r>
    <w:r w:rsidR="004F377E">
      <w:rPr>
        <w:lang w:val="es-ES_tradnl"/>
      </w:rPr>
      <w:t>–</w:t>
    </w:r>
    <w:r>
      <w:rPr>
        <w:lang w:val="es-ES_tradnl"/>
      </w:rPr>
      <w:t xml:space="preserve"> </w:t>
    </w:r>
    <w:r w:rsidR="004F377E">
      <w:rPr>
        <w:lang w:val="es-ES_tradnl"/>
      </w:rPr>
      <w:t>2do Parcial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8BA"/>
    <w:multiLevelType w:val="multilevel"/>
    <w:tmpl w:val="0972C74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73874098">
    <w:abstractNumId w:val="3"/>
  </w:num>
  <w:num w:numId="2" w16cid:durableId="677388121">
    <w:abstractNumId w:val="1"/>
  </w:num>
  <w:num w:numId="3" w16cid:durableId="767776754">
    <w:abstractNumId w:val="2"/>
  </w:num>
  <w:num w:numId="4" w16cid:durableId="1543790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5D"/>
    <w:rsid w:val="000834AF"/>
    <w:rsid w:val="00086645"/>
    <w:rsid w:val="00150DF1"/>
    <w:rsid w:val="00152739"/>
    <w:rsid w:val="00157102"/>
    <w:rsid w:val="00193DF7"/>
    <w:rsid w:val="001F1D98"/>
    <w:rsid w:val="002A6F95"/>
    <w:rsid w:val="002B7647"/>
    <w:rsid w:val="00366F4E"/>
    <w:rsid w:val="0039139E"/>
    <w:rsid w:val="003B59ED"/>
    <w:rsid w:val="00425508"/>
    <w:rsid w:val="004339EC"/>
    <w:rsid w:val="004F377E"/>
    <w:rsid w:val="00501FB1"/>
    <w:rsid w:val="0052617F"/>
    <w:rsid w:val="00564123"/>
    <w:rsid w:val="005A0F94"/>
    <w:rsid w:val="005B27E6"/>
    <w:rsid w:val="005C4EC6"/>
    <w:rsid w:val="005E4967"/>
    <w:rsid w:val="00612D48"/>
    <w:rsid w:val="006A2104"/>
    <w:rsid w:val="00735F93"/>
    <w:rsid w:val="007A468D"/>
    <w:rsid w:val="008909B9"/>
    <w:rsid w:val="00923F42"/>
    <w:rsid w:val="009A6400"/>
    <w:rsid w:val="009C7C80"/>
    <w:rsid w:val="00A00694"/>
    <w:rsid w:val="00A04DA2"/>
    <w:rsid w:val="00A82B66"/>
    <w:rsid w:val="00AC2B98"/>
    <w:rsid w:val="00AE5B55"/>
    <w:rsid w:val="00B31511"/>
    <w:rsid w:val="00B657A0"/>
    <w:rsid w:val="00BA39DA"/>
    <w:rsid w:val="00BC0D92"/>
    <w:rsid w:val="00BD6F3E"/>
    <w:rsid w:val="00C67FC1"/>
    <w:rsid w:val="00C9515D"/>
    <w:rsid w:val="00CD1982"/>
    <w:rsid w:val="00CD6A8F"/>
    <w:rsid w:val="00D03C13"/>
    <w:rsid w:val="00D06E6E"/>
    <w:rsid w:val="00D07C88"/>
    <w:rsid w:val="00D5143C"/>
    <w:rsid w:val="00DE4200"/>
    <w:rsid w:val="00E06D1B"/>
    <w:rsid w:val="00EA2DC3"/>
    <w:rsid w:val="00EA3E91"/>
    <w:rsid w:val="00EB1177"/>
    <w:rsid w:val="00EC4DF9"/>
    <w:rsid w:val="00F56838"/>
    <w:rsid w:val="00F67638"/>
    <w:rsid w:val="00F848CE"/>
    <w:rsid w:val="00FB020C"/>
    <w:rsid w:val="00FC5FFE"/>
    <w:rsid w:val="00FD610C"/>
    <w:rsid w:val="00FD7B71"/>
    <w:rsid w:val="00FE475F"/>
    <w:rsid w:val="00FF27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B5ECF"/>
  <w15:chartTrackingRefBased/>
  <w15:docId w15:val="{53146B3C-AA7B-FE45-BCAD-1E1476B7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p2">
    <w:name w:val="p2"/>
    <w:basedOn w:val="Normal"/>
    <w:rsid w:val="00C9515D"/>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44</TotalTime>
  <Pages>10</Pages>
  <Words>3760</Words>
  <Characters>20686</Characters>
  <Application>Microsoft Office Word</Application>
  <DocSecurity>0</DocSecurity>
  <Lines>172</Lines>
  <Paragraphs>48</Paragraphs>
  <ScaleCrop>false</ScaleCrop>
  <Company/>
  <LinksUpToDate>false</LinksUpToDate>
  <CharactersWithSpaces>24398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52</cp:revision>
  <dcterms:created xsi:type="dcterms:W3CDTF">2025-10-21T12:09:00Z</dcterms:created>
  <dcterms:modified xsi:type="dcterms:W3CDTF">2025-11-19T16:19:00Z</dcterms:modified>
</cp:coreProperties>
</file>