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5905" w14:textId="77777777" w:rsidR="001D0E6A" w:rsidRDefault="001D0E6A" w:rsidP="00C85798">
      <w:pPr>
        <w:spacing w:line="480" w:lineRule="auto"/>
        <w:jc w:val="center"/>
        <w:rPr>
          <w:rFonts w:ascii="Times New Roman" w:hAnsi="Times New Roman" w:cs="Times New Roman"/>
          <w:sz w:val="36"/>
          <w:szCs w:val="36"/>
        </w:rPr>
      </w:pPr>
    </w:p>
    <w:p w14:paraId="73F5A13F" w14:textId="77777777" w:rsidR="001D0E6A" w:rsidRDefault="001D0E6A" w:rsidP="00C85798">
      <w:pPr>
        <w:spacing w:line="480" w:lineRule="auto"/>
        <w:jc w:val="center"/>
        <w:rPr>
          <w:rFonts w:ascii="Times New Roman" w:hAnsi="Times New Roman" w:cs="Times New Roman"/>
          <w:sz w:val="36"/>
          <w:szCs w:val="36"/>
        </w:rPr>
      </w:pPr>
    </w:p>
    <w:p w14:paraId="0462E9D0" w14:textId="336CE763" w:rsidR="00384E20" w:rsidRPr="000D0F61" w:rsidRDefault="00384E20" w:rsidP="00C85798">
      <w:pPr>
        <w:spacing w:line="480" w:lineRule="auto"/>
        <w:jc w:val="center"/>
        <w:rPr>
          <w:rFonts w:ascii="Times New Roman" w:hAnsi="Times New Roman" w:cs="Times New Roman"/>
          <w:sz w:val="36"/>
          <w:szCs w:val="36"/>
        </w:rPr>
      </w:pPr>
      <w:r w:rsidRPr="000D0F61">
        <w:rPr>
          <w:rFonts w:ascii="Times New Roman" w:hAnsi="Times New Roman" w:cs="Times New Roman"/>
          <w:sz w:val="36"/>
          <w:szCs w:val="36"/>
        </w:rPr>
        <w:t>Filosofía de Género</w:t>
      </w:r>
    </w:p>
    <w:p w14:paraId="055A5C15" w14:textId="6D691DDD" w:rsidR="00C85798" w:rsidRPr="00F83424" w:rsidRDefault="00C85798" w:rsidP="00C85798">
      <w:pPr>
        <w:spacing w:line="480" w:lineRule="auto"/>
        <w:jc w:val="center"/>
        <w:rPr>
          <w:rFonts w:ascii="Times New Roman" w:hAnsi="Times New Roman" w:cs="Times New Roman"/>
          <w:sz w:val="28"/>
          <w:szCs w:val="28"/>
        </w:rPr>
      </w:pPr>
      <w:r w:rsidRPr="00F83424">
        <w:rPr>
          <w:rFonts w:ascii="Times New Roman" w:hAnsi="Times New Roman" w:cs="Times New Roman"/>
          <w:sz w:val="28"/>
          <w:szCs w:val="28"/>
        </w:rPr>
        <w:t>Florencia Abbate</w:t>
      </w:r>
    </w:p>
    <w:p w14:paraId="255631BC" w14:textId="38A74DA4" w:rsidR="00233499" w:rsidRPr="00F83424" w:rsidRDefault="00C85798" w:rsidP="00C85798">
      <w:pPr>
        <w:spacing w:line="480" w:lineRule="auto"/>
        <w:jc w:val="center"/>
        <w:rPr>
          <w:rFonts w:ascii="Times New Roman" w:hAnsi="Times New Roman" w:cs="Times New Roman"/>
          <w:sz w:val="28"/>
          <w:szCs w:val="28"/>
        </w:rPr>
      </w:pPr>
      <w:r w:rsidRPr="00F83424">
        <w:rPr>
          <w:rFonts w:ascii="Times New Roman" w:hAnsi="Times New Roman" w:cs="Times New Roman"/>
          <w:sz w:val="28"/>
          <w:szCs w:val="28"/>
        </w:rPr>
        <w:t>Julieta Massacese</w:t>
      </w:r>
    </w:p>
    <w:p w14:paraId="2DFF2C65" w14:textId="77777777" w:rsidR="00C85798" w:rsidRPr="000D0F61" w:rsidRDefault="00C85798" w:rsidP="00C85798">
      <w:pPr>
        <w:spacing w:line="480" w:lineRule="auto"/>
        <w:jc w:val="center"/>
        <w:rPr>
          <w:rFonts w:ascii="Times New Roman" w:hAnsi="Times New Roman" w:cs="Times New Roman"/>
          <w:sz w:val="36"/>
          <w:szCs w:val="36"/>
        </w:rPr>
      </w:pPr>
      <w:r w:rsidRPr="000D0F61">
        <w:rPr>
          <w:rFonts w:ascii="Times New Roman" w:hAnsi="Times New Roman" w:cs="Times New Roman"/>
          <w:sz w:val="36"/>
          <w:szCs w:val="36"/>
        </w:rPr>
        <w:t>Universidad de Ciencias Sociales y Empresariales</w:t>
      </w:r>
    </w:p>
    <w:p w14:paraId="41DF6C94" w14:textId="500A8663" w:rsidR="00F83424" w:rsidRDefault="00F83424" w:rsidP="00397E13">
      <w:pPr>
        <w:spacing w:line="480" w:lineRule="auto"/>
        <w:jc w:val="center"/>
        <w:rPr>
          <w:rFonts w:ascii="Times New Roman" w:hAnsi="Times New Roman" w:cs="Times New Roman"/>
        </w:rPr>
      </w:pPr>
      <w:r>
        <w:rPr>
          <w:rFonts w:ascii="Times New Roman" w:hAnsi="Times New Roman" w:cs="Times New Roman"/>
        </w:rPr>
        <w:t>Parcial Domiciliario</w:t>
      </w:r>
      <w:r w:rsidR="00397E13">
        <w:rPr>
          <w:rFonts w:ascii="Times New Roman" w:hAnsi="Times New Roman" w:cs="Times New Roman"/>
        </w:rPr>
        <w:t xml:space="preserve"> - </w:t>
      </w:r>
      <w:r>
        <w:rPr>
          <w:rFonts w:ascii="Times New Roman" w:hAnsi="Times New Roman" w:cs="Times New Roman"/>
        </w:rPr>
        <w:t>Matias Salimbene</w:t>
      </w:r>
    </w:p>
    <w:p w14:paraId="67EA9912" w14:textId="77777777" w:rsidR="00C85798" w:rsidRDefault="00C85798" w:rsidP="00384E20">
      <w:pPr>
        <w:jc w:val="center"/>
        <w:rPr>
          <w:rFonts w:ascii="Times New Roman" w:hAnsi="Times New Roman" w:cs="Times New Roman"/>
        </w:rPr>
      </w:pPr>
    </w:p>
    <w:p w14:paraId="142D518D" w14:textId="71B1EFB6" w:rsidR="00F072A6" w:rsidRPr="008571D7" w:rsidRDefault="00F072A6" w:rsidP="00384E20">
      <w:pPr>
        <w:jc w:val="center"/>
        <w:rPr>
          <w:rFonts w:ascii="Times New Roman" w:hAnsi="Times New Roman" w:cs="Times New Roman"/>
        </w:rPr>
      </w:pPr>
      <w:r w:rsidRPr="008571D7">
        <w:rPr>
          <w:rFonts w:ascii="Times New Roman" w:hAnsi="Times New Roman" w:cs="Times New Roman"/>
        </w:rPr>
        <w:br w:type="page"/>
      </w:r>
    </w:p>
    <w:p w14:paraId="2D7D9B47" w14:textId="45DEECC0"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Consigna 4</w:t>
      </w:r>
      <w:r w:rsidR="001A7A00" w:rsidRPr="00403207">
        <w:rPr>
          <w:rFonts w:ascii="Times New Roman" w:hAnsi="Times New Roman" w:cs="Times New Roman"/>
          <w:b/>
          <w:bCs/>
        </w:rPr>
        <w:t>.</w:t>
      </w:r>
      <w:r w:rsidRPr="00F218C5">
        <w:rPr>
          <w:rFonts w:ascii="Times New Roman" w:hAnsi="Times New Roman" w:cs="Times New Roman"/>
          <w:b/>
          <w:bCs/>
        </w:rPr>
        <w:t xml:space="preserve"> La norma heterosexual en la cultura patriarcal</w:t>
      </w:r>
      <w:r w:rsidR="00403207" w:rsidRPr="00403207">
        <w:rPr>
          <w:rFonts w:ascii="Times New Roman" w:hAnsi="Times New Roman" w:cs="Times New Roman"/>
          <w:b/>
          <w:bCs/>
        </w:rPr>
        <w:t>.</w:t>
      </w:r>
      <w:r w:rsidRPr="00F218C5">
        <w:rPr>
          <w:rFonts w:ascii="Times New Roman" w:hAnsi="Times New Roman" w:cs="Times New Roman"/>
          <w:b/>
          <w:bCs/>
        </w:rPr>
        <w:t xml:space="preserve"> </w:t>
      </w:r>
    </w:p>
    <w:p w14:paraId="05B6C6A2"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El pensamiento feminista de las últimas décadas del siglo XX introdujo una ruptura decisiva en la comprensión de la diferencia sexual. A partir de autoras como Monique Wittig y Judith Butler, la reflexión filosófica feminista comenzó a cuestionar los fundamentos mismos de la distinción entre los sexos, mostrando que las categorías de “hombre” y “mujer” no son datos naturales, sino efectos de un régimen político, lingüístico y cultural. En ese marco, el concepto de norma heterosexual ocupa un lugar central, de regla implícita que estructura identidades y relaciones dentro de la cultura patriarcal, estableciendo qué formas de vida son reconocidas como legítimas y cuáles son excluidas o invisibilizadas.</w:t>
      </w:r>
    </w:p>
    <w:p w14:paraId="1B7BEE61" w14:textId="0D082E86"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El pensamiento heterosexual como régimen político (Wittig)</w:t>
      </w:r>
    </w:p>
    <w:p w14:paraId="75B27A9C" w14:textId="7B3E4616" w:rsidR="00F218C5" w:rsidRPr="00F218C5" w:rsidRDefault="00F218C5" w:rsidP="007212A7">
      <w:pPr>
        <w:spacing w:line="360" w:lineRule="auto"/>
        <w:ind w:firstLine="284"/>
        <w:jc w:val="both"/>
        <w:rPr>
          <w:rFonts w:ascii="Times New Roman" w:hAnsi="Times New Roman" w:cs="Times New Roman"/>
        </w:rPr>
      </w:pPr>
      <w:r w:rsidRPr="00F218C5">
        <w:rPr>
          <w:rFonts w:ascii="Times New Roman" w:hAnsi="Times New Roman" w:cs="Times New Roman"/>
        </w:rPr>
        <w:t>En su ensayo “La categoría de sexo” incluido en El pensamiento heterosexual y otros ensayos (1980), Monique Wittig desarrolla una crítica radical a la naturalización de las diferencias sexuales. La autora sostiene que el sistema patriarcal no sólo oprime a las mujeres mediante instituciones concretas, sino que produce a las mujeres como una clase social subordinada a los hombres. Para Wittig, “mujer” no designa una identidad ontológica ni una realidad biológica, sino una posición política dentro de una relación de dominación.</w:t>
      </w:r>
      <w:r w:rsidR="00C8036F">
        <w:rPr>
          <w:rFonts w:ascii="Times New Roman" w:hAnsi="Times New Roman" w:cs="Times New Roman"/>
        </w:rPr>
        <w:t xml:space="preserve"> E</w:t>
      </w:r>
      <w:r w:rsidRPr="00F218C5">
        <w:rPr>
          <w:rFonts w:ascii="Times New Roman" w:hAnsi="Times New Roman" w:cs="Times New Roman"/>
        </w:rPr>
        <w:t xml:space="preserve">l sexo no es un hecho previo, sino una construcción ideológica que organiza la opresión. </w:t>
      </w:r>
      <w:r w:rsidR="007212A7">
        <w:rPr>
          <w:rFonts w:ascii="Times New Roman" w:hAnsi="Times New Roman" w:cs="Times New Roman"/>
        </w:rPr>
        <w:t xml:space="preserve">Wittig señala que </w:t>
      </w:r>
      <w:r w:rsidRPr="00F218C5">
        <w:rPr>
          <w:rFonts w:ascii="Times New Roman" w:hAnsi="Times New Roman" w:cs="Times New Roman"/>
        </w:rPr>
        <w:t>“no hay ningún sexo. Sólo hay un sexo que es oprimido y otro que oprime. Es la opresión la que crea el sexo, y no al revés.”</w:t>
      </w:r>
      <w:r w:rsidR="007212A7">
        <w:rPr>
          <w:rFonts w:ascii="Times New Roman" w:hAnsi="Times New Roman" w:cs="Times New Roman"/>
        </w:rPr>
        <w:t xml:space="preserve"> </w:t>
      </w:r>
      <w:r w:rsidRPr="00F218C5">
        <w:rPr>
          <w:rFonts w:ascii="Times New Roman" w:hAnsi="Times New Roman" w:cs="Times New Roman"/>
        </w:rPr>
        <w:t>(Wittig, 1982/1976, p. 22)</w:t>
      </w:r>
    </w:p>
    <w:p w14:paraId="6179340E" w14:textId="7FF37F1E" w:rsidR="00F218C5" w:rsidRPr="00F218C5" w:rsidRDefault="00F218C5" w:rsidP="009D35C2">
      <w:pPr>
        <w:spacing w:line="360" w:lineRule="auto"/>
        <w:ind w:firstLine="284"/>
        <w:jc w:val="both"/>
        <w:rPr>
          <w:rFonts w:ascii="Times New Roman" w:hAnsi="Times New Roman" w:cs="Times New Roman"/>
        </w:rPr>
      </w:pPr>
      <w:r w:rsidRPr="00F218C5">
        <w:rPr>
          <w:rFonts w:ascii="Times New Roman" w:hAnsi="Times New Roman" w:cs="Times New Roman"/>
        </w:rPr>
        <w:t>Wittig denomina a este sistema el pensamiento heterosexual, una forma de estructurar el mundo a través de la diferencia binaria entre los sexos. Tal pensamiento establece como norma que todo sujeto debe pertenecer a una de las dos categorías mutuamente excluyentes: hombre o mujer. Y que la atracción entre ambos es la forma natural y universal del deseo. La heterosexualidad, por lo tanto, no es sólo una orientación sexual, sino el principio organizador de la sociedad, una institución política que garantiza la reproducción del patriarcado. En esa dirección, Wittig muestra cómo la heterosexualidad funciona como régimen económico y político:</w:t>
      </w:r>
      <w:r w:rsidR="009D35C2">
        <w:rPr>
          <w:rFonts w:ascii="Times New Roman" w:hAnsi="Times New Roman" w:cs="Times New Roman"/>
        </w:rPr>
        <w:t xml:space="preserve"> </w:t>
      </w:r>
      <w:r w:rsidRPr="00F218C5">
        <w:rPr>
          <w:rFonts w:ascii="Times New Roman" w:hAnsi="Times New Roman" w:cs="Times New Roman"/>
        </w:rPr>
        <w:t>“la categoría de sexo es el producto de la sociedad heterosexual que impone a las mujeres la obligación absoluta de reproducir ‘la especie’”</w:t>
      </w:r>
      <w:r w:rsidR="009D35C2">
        <w:rPr>
          <w:rFonts w:ascii="Times New Roman" w:hAnsi="Times New Roman" w:cs="Times New Roman"/>
        </w:rPr>
        <w:t xml:space="preserve"> </w:t>
      </w:r>
      <w:r w:rsidRPr="00F218C5">
        <w:rPr>
          <w:rFonts w:ascii="Times New Roman" w:hAnsi="Times New Roman" w:cs="Times New Roman"/>
        </w:rPr>
        <w:t>(Wittig, 1982/1976, p. 26)</w:t>
      </w:r>
    </w:p>
    <w:p w14:paraId="76D5F6BE"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En esta lógica, la diferencia sexual funciona como el soporte de toda la organización social. La autora advierte que las categorías de “masculino” y “femenino” no remiten a una diferencia natural entre cuerpos, sino a una diferencia de poder: los hombres representan el sujeto universal, mientras que las mujeres quedan definidas como “el Otro”. De allí que Wittig afirme que “las mujeres no existen” en sentido propio: existen sólo como la categoría relacional que el pensamiento heterosexual necesita para mantener su orden simbólico. De esta manera el sexo no es una base biológica sobre la que se construye la cultura, sino un efecto de la cultura patriarcal misma.</w:t>
      </w:r>
    </w:p>
    <w:p w14:paraId="6C9C787E" w14:textId="0475241D"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La categoría “lesbiana” como ruptura política</w:t>
      </w:r>
    </w:p>
    <w:p w14:paraId="5BC046F5" w14:textId="2CBF75FF" w:rsidR="00F218C5" w:rsidRPr="00F218C5" w:rsidRDefault="00F218C5" w:rsidP="00820A75">
      <w:pPr>
        <w:spacing w:line="360" w:lineRule="auto"/>
        <w:ind w:firstLine="284"/>
        <w:jc w:val="both"/>
        <w:rPr>
          <w:rFonts w:ascii="Times New Roman" w:hAnsi="Times New Roman" w:cs="Times New Roman"/>
        </w:rPr>
      </w:pPr>
      <w:r w:rsidRPr="00F218C5">
        <w:rPr>
          <w:rFonts w:ascii="Times New Roman" w:hAnsi="Times New Roman" w:cs="Times New Roman"/>
        </w:rPr>
        <w:t>En ese marco, la figura de la lesbiana adquiere en Wittig un significado político y filosófico muy relevante. En oposición a la lectura que la entiende simplemente como una identidad sexual o un tipo particular de deseo, Wittig propone que la lesbiana constituye una categoría política de desidentificación con la estructura heterosexual. La lesbiana no es una mujer, porque el “mujer” existe sólo en relación con el hombre. Ella misma lo señala en No se nace mujer:</w:t>
      </w:r>
      <w:r w:rsidR="00820A75">
        <w:rPr>
          <w:rFonts w:ascii="Times New Roman" w:hAnsi="Times New Roman" w:cs="Times New Roman"/>
        </w:rPr>
        <w:t xml:space="preserve"> </w:t>
      </w:r>
      <w:r w:rsidRPr="00F218C5">
        <w:rPr>
          <w:rFonts w:ascii="Times New Roman" w:hAnsi="Times New Roman" w:cs="Times New Roman"/>
        </w:rPr>
        <w:t>“no sólo no existe el grupo natural ‘mujeres’ (nosotras las lesbianas somos la prueba de ello)”</w:t>
      </w:r>
      <w:r w:rsidR="00820A75">
        <w:rPr>
          <w:rFonts w:ascii="Times New Roman" w:hAnsi="Times New Roman" w:cs="Times New Roman"/>
        </w:rPr>
        <w:t xml:space="preserve"> </w:t>
      </w:r>
      <w:r w:rsidRPr="00F218C5">
        <w:rPr>
          <w:rFonts w:ascii="Times New Roman" w:hAnsi="Times New Roman" w:cs="Times New Roman"/>
        </w:rPr>
        <w:t>(Wittig, 1981, p. 3</w:t>
      </w:r>
      <w:r w:rsidR="00820A75">
        <w:rPr>
          <w:rFonts w:ascii="Times New Roman" w:hAnsi="Times New Roman" w:cs="Times New Roman"/>
        </w:rPr>
        <w:t>2</w:t>
      </w:r>
      <w:r w:rsidRPr="00F218C5">
        <w:rPr>
          <w:rFonts w:ascii="Times New Roman" w:hAnsi="Times New Roman" w:cs="Times New Roman"/>
        </w:rPr>
        <w:t>)</w:t>
      </w:r>
      <w:r w:rsidR="00820A75">
        <w:rPr>
          <w:rFonts w:ascii="Times New Roman" w:hAnsi="Times New Roman" w:cs="Times New Roman"/>
        </w:rPr>
        <w:t>.</w:t>
      </w:r>
    </w:p>
    <w:p w14:paraId="136C4584"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Ser lesbiana implica sustraerse al contrato heterosexual que define los géneros y sus jerarquías. La lesbiana encarna una forma de existencia que escapa a la lógica binaria del sexo, porque rompe la relación de dependencia que el sistema establece entre los dos polos del binomio hombre/mujer. Por eso, Wittig sostiene que las lesbianas constituyen una minoría política universal, no por pertenecer a un grupo identitario particular, sino porque su posición desmantela la universalidad ficticia del sujeto masculino.</w:t>
      </w:r>
    </w:p>
    <w:p w14:paraId="758EC20E"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A diferencia de ciertos feminismos de la segunda ola que mantenían la categoría “mujer” como base de unidad política, Wittig considera que esa categoría está contaminada por la ideología heterosexual y no puede servir como fundamento emancipador. Su propuesta es abolir las categorías de “hombre” y “mujer” en tanto construcciones políticas de la opresión. Esta crítica radical influirá profundamente en los desarrollos posteriores de la teoría queer.</w:t>
      </w:r>
    </w:p>
    <w:p w14:paraId="1E46C7DF" w14:textId="343549B2"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Butler: la performatividad del género y la matriz heterosexual</w:t>
      </w:r>
    </w:p>
    <w:p w14:paraId="56FC2D9A" w14:textId="0EE5B83D"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A partir de las ideas de Wittig, Judith Butler reconfigura la discusión en términos de lenguaje, performatividad y poder. En su ensayo “Actos performativos y constitución del género” y en su libro Deshacer el género, Butler argumenta que el género no es una identidad estable ni una expresión interior de una esencia, sino un acto performativo, es decir, una práctica reiterada que produce la apariencia de estabilidad, una repetición estilizada de actos.</w:t>
      </w:r>
    </w:p>
    <w:p w14:paraId="1C4BA500" w14:textId="33FA7B90" w:rsidR="00F218C5" w:rsidRPr="00F218C5" w:rsidRDefault="00F218C5" w:rsidP="00820A75">
      <w:pPr>
        <w:spacing w:line="360" w:lineRule="auto"/>
        <w:ind w:firstLine="284"/>
        <w:jc w:val="both"/>
        <w:rPr>
          <w:rFonts w:ascii="Times New Roman" w:hAnsi="Times New Roman" w:cs="Times New Roman"/>
        </w:rPr>
      </w:pPr>
      <w:r w:rsidRPr="00F218C5">
        <w:rPr>
          <w:rFonts w:ascii="Times New Roman" w:hAnsi="Times New Roman" w:cs="Times New Roman"/>
        </w:rPr>
        <w:t>La norma heterosexual, en este marco, es el conjunto de regulaciones que determina cuáles combinaciones de sexo, género y deseo son inteligibles socialmente. Butler denomina a este entramado la “matriz heterosexual”, un sistema cultural que vincula el sexo biológico, el género social y el deseo sexual en una secuencia coherente. Ella misma advierte que esta supuesta coherencia sólo aparece si se acepta un marco normativo específico:</w:t>
      </w:r>
      <w:r w:rsidR="00820A75">
        <w:rPr>
          <w:rFonts w:ascii="Times New Roman" w:hAnsi="Times New Roman" w:cs="Times New Roman"/>
        </w:rPr>
        <w:t xml:space="preserve"> </w:t>
      </w:r>
      <w:r w:rsidRPr="00F218C5">
        <w:rPr>
          <w:rFonts w:ascii="Times New Roman" w:hAnsi="Times New Roman" w:cs="Times New Roman"/>
        </w:rPr>
        <w:t>“Esto sólo se podría deducir si utilizáramos una matriz exclusivamente heterosexual para comprender el deseo.”</w:t>
      </w:r>
      <w:r w:rsidR="00820A75">
        <w:rPr>
          <w:rFonts w:ascii="Times New Roman" w:hAnsi="Times New Roman" w:cs="Times New Roman"/>
        </w:rPr>
        <w:t xml:space="preserve"> </w:t>
      </w:r>
      <w:r w:rsidRPr="00F218C5">
        <w:rPr>
          <w:rFonts w:ascii="Times New Roman" w:hAnsi="Times New Roman" w:cs="Times New Roman"/>
        </w:rPr>
        <w:t xml:space="preserve">(Butler, 2004, p. </w:t>
      </w:r>
      <w:r w:rsidR="003D0C38">
        <w:rPr>
          <w:rFonts w:ascii="Times New Roman" w:hAnsi="Times New Roman" w:cs="Times New Roman"/>
        </w:rPr>
        <w:t>119</w:t>
      </w:r>
      <w:r w:rsidRPr="00F218C5">
        <w:rPr>
          <w:rFonts w:ascii="Times New Roman" w:hAnsi="Times New Roman" w:cs="Times New Roman"/>
        </w:rPr>
        <w:t>)</w:t>
      </w:r>
    </w:p>
    <w:p w14:paraId="302B5356" w14:textId="62120AA5" w:rsidR="00F218C5" w:rsidRPr="00F218C5" w:rsidRDefault="00F218C5" w:rsidP="003C7402">
      <w:pPr>
        <w:spacing w:line="360" w:lineRule="auto"/>
        <w:ind w:firstLine="284"/>
        <w:jc w:val="both"/>
        <w:rPr>
          <w:rFonts w:ascii="Times New Roman" w:hAnsi="Times New Roman" w:cs="Times New Roman"/>
        </w:rPr>
      </w:pPr>
      <w:r w:rsidRPr="00F218C5">
        <w:rPr>
          <w:rFonts w:ascii="Times New Roman" w:hAnsi="Times New Roman" w:cs="Times New Roman"/>
        </w:rPr>
        <w:t>Butler coincide con Wittig en que el sexo mismo es una construcción discursiva, producida a través de prácticas normativas que materializan los cuerpos de determinadas maneras. En este sentido, sostiene que</w:t>
      </w:r>
      <w:r w:rsidR="003C7402">
        <w:rPr>
          <w:rFonts w:ascii="Times New Roman" w:hAnsi="Times New Roman" w:cs="Times New Roman"/>
        </w:rPr>
        <w:t xml:space="preserve"> </w:t>
      </w:r>
      <w:r w:rsidRPr="00F218C5">
        <w:rPr>
          <w:rFonts w:ascii="Times New Roman" w:hAnsi="Times New Roman" w:cs="Times New Roman"/>
        </w:rPr>
        <w:t>“la realidad del género misma está producida como un efecto de la actuación de género.”</w:t>
      </w:r>
      <w:r w:rsidR="003C7402">
        <w:rPr>
          <w:rFonts w:ascii="Times New Roman" w:hAnsi="Times New Roman" w:cs="Times New Roman"/>
        </w:rPr>
        <w:t xml:space="preserve"> </w:t>
      </w:r>
      <w:r w:rsidRPr="00F218C5">
        <w:rPr>
          <w:rFonts w:ascii="Times New Roman" w:hAnsi="Times New Roman" w:cs="Times New Roman"/>
        </w:rPr>
        <w:t>(Butler, 2004, p. 30</w:t>
      </w:r>
      <w:r w:rsidR="00044201">
        <w:rPr>
          <w:rFonts w:ascii="Times New Roman" w:hAnsi="Times New Roman" w:cs="Times New Roman"/>
        </w:rPr>
        <w:t>8</w:t>
      </w:r>
      <w:r w:rsidRPr="00F218C5">
        <w:rPr>
          <w:rFonts w:ascii="Times New Roman" w:hAnsi="Times New Roman" w:cs="Times New Roman"/>
        </w:rPr>
        <w:t>)</w:t>
      </w:r>
    </w:p>
    <w:p w14:paraId="00D40A87"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Esto implica que incluso la diferencia corporal se constituye en un proceso de significación, mediante el cual los cuerpos son leídos, clasificados y regulados por la norma heterosexual.</w:t>
      </w:r>
    </w:p>
    <w:p w14:paraId="0342F93B" w14:textId="0989AAF4"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La crítica a la naturalización del cuerpo</w:t>
      </w:r>
    </w:p>
    <w:p w14:paraId="4E42E42E" w14:textId="3FB90430" w:rsidR="00F218C5" w:rsidRPr="00F218C5" w:rsidRDefault="00F218C5" w:rsidP="00A37328">
      <w:pPr>
        <w:spacing w:line="360" w:lineRule="auto"/>
        <w:ind w:firstLine="284"/>
        <w:jc w:val="both"/>
        <w:rPr>
          <w:rFonts w:ascii="Times New Roman" w:hAnsi="Times New Roman" w:cs="Times New Roman"/>
        </w:rPr>
      </w:pPr>
      <w:r w:rsidRPr="00F218C5">
        <w:rPr>
          <w:rFonts w:ascii="Times New Roman" w:hAnsi="Times New Roman" w:cs="Times New Roman"/>
        </w:rPr>
        <w:t>Tanto Wittig como Butler cuestionan la tendencia a concebir el cuerpo como una base natural sobre la que se construyen los significados sociales. Para Wittig, el cuerpo femenino es producido como tal por el sistema heterosexual, que lo define en función de la reproducción y el servicio sexual al varón. En No se nace mujer, señala cómo ese proceso llega a moldear la materialidad misma:</w:t>
      </w:r>
      <w:r w:rsidR="00A37328">
        <w:rPr>
          <w:rFonts w:ascii="Times New Roman" w:hAnsi="Times New Roman" w:cs="Times New Roman"/>
        </w:rPr>
        <w:t xml:space="preserve"> </w:t>
      </w:r>
      <w:r w:rsidRPr="00F218C5">
        <w:rPr>
          <w:rFonts w:ascii="Times New Roman" w:hAnsi="Times New Roman" w:cs="Times New Roman"/>
        </w:rPr>
        <w:t>“nuestro cuerpo deformado es lo que ellos llaman ‘natural’”</w:t>
      </w:r>
      <w:r w:rsidR="00A37328">
        <w:rPr>
          <w:rFonts w:ascii="Times New Roman" w:hAnsi="Times New Roman" w:cs="Times New Roman"/>
        </w:rPr>
        <w:t xml:space="preserve"> </w:t>
      </w:r>
      <w:r w:rsidRPr="00F218C5">
        <w:rPr>
          <w:rFonts w:ascii="Times New Roman" w:hAnsi="Times New Roman" w:cs="Times New Roman"/>
        </w:rPr>
        <w:t>(Wittig, 1981, p. 3</w:t>
      </w:r>
      <w:r w:rsidR="00A95499">
        <w:rPr>
          <w:rFonts w:ascii="Times New Roman" w:hAnsi="Times New Roman" w:cs="Times New Roman"/>
        </w:rPr>
        <w:t>2</w:t>
      </w:r>
      <w:r w:rsidRPr="00F218C5">
        <w:rPr>
          <w:rFonts w:ascii="Times New Roman" w:hAnsi="Times New Roman" w:cs="Times New Roman"/>
        </w:rPr>
        <w:t>)</w:t>
      </w:r>
    </w:p>
    <w:p w14:paraId="4F2A4A9A"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Butler profundiza esta crítica mostrando que la materialidad misma del cuerpo está atravesada por el poder: los discursos normativos no se limitan a interpretar el cuerpo, sino que lo configuran. El cuerpo “sexuado” no es un punto de partida previo al género, sino un efecto de su performatividad regulada.</w:t>
      </w:r>
    </w:p>
    <w:p w14:paraId="65640ADC" w14:textId="63728295"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Estrategias de subversión: abolición y parodia</w:t>
      </w:r>
    </w:p>
    <w:p w14:paraId="36D97975"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Si bien Wittig y Butler comparten el diagnóstico sobre la función política de la heterosexualidad, difieren en sus estrategias de resistencia. Wittig propone una abolición de las categorías de sexo, una ruptura radical con el lenguaje que las sostiene. Su horizonte es una sociedad posgénero, donde la humanidad deje de organizarse a partir de diferencias sexuales jerárquicas.</w:t>
      </w:r>
    </w:p>
    <w:p w14:paraId="09686305" w14:textId="1D27E57D" w:rsidR="00F218C5" w:rsidRPr="00F218C5" w:rsidRDefault="00F218C5" w:rsidP="00A95499">
      <w:pPr>
        <w:spacing w:line="360" w:lineRule="auto"/>
        <w:ind w:firstLine="284"/>
        <w:jc w:val="both"/>
        <w:rPr>
          <w:rFonts w:ascii="Times New Roman" w:hAnsi="Times New Roman" w:cs="Times New Roman"/>
        </w:rPr>
      </w:pPr>
      <w:r w:rsidRPr="00F218C5">
        <w:rPr>
          <w:rFonts w:ascii="Times New Roman" w:hAnsi="Times New Roman" w:cs="Times New Roman"/>
        </w:rPr>
        <w:t>Butler, en cambio, considera que no es posible sustraerse completamente al lenguaje ni abolir las categorías que nos constituyen; su apuesta es subvertirlas desde dentro. En este sentido, recupera prácticas que exponen la ficción del género. Un ejemplo central es el drag, que según ella</w:t>
      </w:r>
      <w:r w:rsidR="00A95499">
        <w:rPr>
          <w:rFonts w:ascii="Times New Roman" w:hAnsi="Times New Roman" w:cs="Times New Roman"/>
        </w:rPr>
        <w:t xml:space="preserve"> </w:t>
      </w:r>
      <w:r w:rsidRPr="00F218C5">
        <w:rPr>
          <w:rFonts w:ascii="Times New Roman" w:hAnsi="Times New Roman" w:cs="Times New Roman"/>
        </w:rPr>
        <w:t>“alegoriza las formas espectaculares y llenas de consecuencias mediante las cuales la realidad se reproduce y se contesta.”</w:t>
      </w:r>
      <w:r w:rsidR="00A95499">
        <w:rPr>
          <w:rFonts w:ascii="Times New Roman" w:hAnsi="Times New Roman" w:cs="Times New Roman"/>
        </w:rPr>
        <w:t xml:space="preserve"> </w:t>
      </w:r>
      <w:r w:rsidRPr="00F218C5">
        <w:rPr>
          <w:rFonts w:ascii="Times New Roman" w:hAnsi="Times New Roman" w:cs="Times New Roman"/>
        </w:rPr>
        <w:t>(Butler, 2004, p. 30</w:t>
      </w:r>
      <w:r w:rsidR="00F948C9">
        <w:rPr>
          <w:rFonts w:ascii="Times New Roman" w:hAnsi="Times New Roman" w:cs="Times New Roman"/>
        </w:rPr>
        <w:t>8</w:t>
      </w:r>
      <w:r w:rsidRPr="00F218C5">
        <w:rPr>
          <w:rFonts w:ascii="Times New Roman" w:hAnsi="Times New Roman" w:cs="Times New Roman"/>
        </w:rPr>
        <w:t>)</w:t>
      </w:r>
      <w:r w:rsidR="00A95499">
        <w:rPr>
          <w:rFonts w:ascii="Times New Roman" w:hAnsi="Times New Roman" w:cs="Times New Roman"/>
        </w:rPr>
        <w:t>.</w:t>
      </w:r>
    </w:p>
    <w:p w14:paraId="41EB1075" w14:textId="77777777" w:rsid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Para Butler, los actos de género son siempre repetitivos, pero esa repetición nunca es perfecta. En la medida en que toda performance implica cierto grado de desviación, existe un margen de parodia y resignificación.</w:t>
      </w:r>
    </w:p>
    <w:p w14:paraId="617EB6C3" w14:textId="77777777" w:rsidR="000D0F61" w:rsidRDefault="000D0F61" w:rsidP="00241569">
      <w:pPr>
        <w:spacing w:line="360" w:lineRule="auto"/>
        <w:ind w:firstLine="284"/>
        <w:jc w:val="both"/>
        <w:rPr>
          <w:rFonts w:ascii="Times New Roman" w:hAnsi="Times New Roman" w:cs="Times New Roman"/>
        </w:rPr>
      </w:pPr>
    </w:p>
    <w:p w14:paraId="1E0CD152" w14:textId="77777777" w:rsidR="000D0F61" w:rsidRPr="00F218C5" w:rsidRDefault="000D0F61" w:rsidP="00241569">
      <w:pPr>
        <w:spacing w:line="360" w:lineRule="auto"/>
        <w:ind w:firstLine="284"/>
        <w:jc w:val="both"/>
        <w:rPr>
          <w:rFonts w:ascii="Times New Roman" w:hAnsi="Times New Roman" w:cs="Times New Roman"/>
        </w:rPr>
      </w:pPr>
    </w:p>
    <w:p w14:paraId="343489F6" w14:textId="09597B95"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La norma heterosexual como régimen de reconocimiento</w:t>
      </w:r>
    </w:p>
    <w:p w14:paraId="72510C37" w14:textId="14525470" w:rsidR="00F218C5" w:rsidRPr="00F218C5" w:rsidRDefault="00F218C5" w:rsidP="00F948C9">
      <w:pPr>
        <w:spacing w:line="360" w:lineRule="auto"/>
        <w:ind w:firstLine="284"/>
        <w:jc w:val="both"/>
        <w:rPr>
          <w:rFonts w:ascii="Times New Roman" w:hAnsi="Times New Roman" w:cs="Times New Roman"/>
        </w:rPr>
      </w:pPr>
      <w:r w:rsidRPr="00F218C5">
        <w:rPr>
          <w:rFonts w:ascii="Times New Roman" w:hAnsi="Times New Roman" w:cs="Times New Roman"/>
        </w:rPr>
        <w:t>Un aspecto que Butler desarrolla con mayor énfasis es la relación entre la norma heterosexual y el reconocimiento social. En Deshacer el género, sostiene que la norma determina quién cuenta como sujeto inteligible: sólo quienes encarnan una identidad coherente con la matriz heterosexual son reconocidos como personas plenas. Las vidas que no se ajustan a esa norma aparecen como vidas “no reales” o “no vivibles”. Butler lo formula con claridad cuando analiza la experiencia de la ininteligibilidad:</w:t>
      </w:r>
      <w:r w:rsidR="00F948C9">
        <w:rPr>
          <w:rFonts w:ascii="Times New Roman" w:hAnsi="Times New Roman" w:cs="Times New Roman"/>
        </w:rPr>
        <w:t xml:space="preserve"> </w:t>
      </w:r>
      <w:r w:rsidRPr="00F218C5">
        <w:rPr>
          <w:rFonts w:ascii="Times New Roman" w:hAnsi="Times New Roman" w:cs="Times New Roman"/>
        </w:rPr>
        <w:t>“Para ser oprimido se debe primero ser inteligible. Darse cuenta de que se es fundamentalmente ininteligible […] es darse cuenta de que todavía no se ha logrado el acceso a lo humano.”</w:t>
      </w:r>
      <w:r w:rsidR="00F948C9">
        <w:rPr>
          <w:rFonts w:ascii="Times New Roman" w:hAnsi="Times New Roman" w:cs="Times New Roman"/>
        </w:rPr>
        <w:t xml:space="preserve"> </w:t>
      </w:r>
      <w:r w:rsidRPr="00F218C5">
        <w:rPr>
          <w:rFonts w:ascii="Times New Roman" w:hAnsi="Times New Roman" w:cs="Times New Roman"/>
        </w:rPr>
        <w:t>(Butler, 2004, p. 308)</w:t>
      </w:r>
    </w:p>
    <w:p w14:paraId="20CC194C" w14:textId="77777777" w:rsidR="00F218C5" w:rsidRPr="00F218C5" w:rsidRDefault="00F218C5" w:rsidP="00241569">
      <w:pPr>
        <w:spacing w:line="360" w:lineRule="auto"/>
        <w:ind w:firstLine="284"/>
        <w:jc w:val="both"/>
        <w:rPr>
          <w:rFonts w:ascii="Times New Roman" w:hAnsi="Times New Roman" w:cs="Times New Roman"/>
        </w:rPr>
      </w:pPr>
      <w:r w:rsidRPr="00F218C5">
        <w:rPr>
          <w:rFonts w:ascii="Times New Roman" w:hAnsi="Times New Roman" w:cs="Times New Roman"/>
        </w:rPr>
        <w:t>De allí que la crítica a la norma heterosexual tenga una dimensión ética y política: ampliar el campo del reconocimiento es ampliar el campo de lo humano.</w:t>
      </w:r>
    </w:p>
    <w:p w14:paraId="1DD4E3CF" w14:textId="21611481" w:rsidR="00F218C5" w:rsidRPr="00F218C5" w:rsidRDefault="00F218C5" w:rsidP="00241569">
      <w:pPr>
        <w:spacing w:line="360" w:lineRule="auto"/>
        <w:ind w:firstLine="284"/>
        <w:jc w:val="both"/>
        <w:rPr>
          <w:rFonts w:ascii="Times New Roman" w:hAnsi="Times New Roman" w:cs="Times New Roman"/>
          <w:b/>
          <w:bCs/>
        </w:rPr>
      </w:pPr>
      <w:r w:rsidRPr="00F218C5">
        <w:rPr>
          <w:rFonts w:ascii="Times New Roman" w:hAnsi="Times New Roman" w:cs="Times New Roman"/>
          <w:b/>
          <w:bCs/>
        </w:rPr>
        <w:t>Conclusión: más allá de la diferencia sexual</w:t>
      </w:r>
    </w:p>
    <w:p w14:paraId="65C6CBA8" w14:textId="27446210" w:rsidR="00C83850" w:rsidRPr="00C83850" w:rsidRDefault="00352B32" w:rsidP="00D46EC9">
      <w:pPr>
        <w:spacing w:line="360" w:lineRule="auto"/>
        <w:ind w:firstLine="709"/>
        <w:jc w:val="both"/>
        <w:rPr>
          <w:rFonts w:ascii="Times New Roman" w:hAnsi="Times New Roman" w:cs="Times New Roman"/>
        </w:rPr>
      </w:pPr>
      <w:r w:rsidRPr="00352B32">
        <w:rPr>
          <w:rFonts w:ascii="Times New Roman" w:hAnsi="Times New Roman" w:cs="Times New Roman"/>
        </w:rPr>
        <w:t>En conjunto, el análisis de Wittig y Butler muestra que la heterosexualidad, en las sociedades patriarcales, no es simplemente una práctica sexual, sino una estructura normativa que organiza los cuerpos, el deseo y las identidades. Cuestionarla implica desarmar los supuestos que sostienen el binario sexual y las jerarquías que de él se desprenden. Mientras Wittig propone una ruptura radical con las categorías de sexo que sostienen la opresión, Butler muestra que el género puede abrirse a nuevas posibilidades mediante la resignificación y la subversión de los actos que lo producen. Desde ambas perspectivas, la crítica feminista se vuelve una tarea de desmontaje de las normas que regulan nuestra vida cotidiana y de apertura hacia formas de existencia menos rígidas, más abiertas y más habitables. En este sentido, deshacer el género no es destruirlo, sino ampliar el espacio de lo posible.</w:t>
      </w:r>
    </w:p>
    <w:p w14:paraId="42E2DCC1" w14:textId="77777777" w:rsidR="001976C8" w:rsidRDefault="001976C8">
      <w:pPr>
        <w:rPr>
          <w:rFonts w:ascii="Times New Roman" w:hAnsi="Times New Roman" w:cs="Times New Roman"/>
        </w:rPr>
      </w:pPr>
      <w:r>
        <w:rPr>
          <w:rFonts w:ascii="Times New Roman" w:hAnsi="Times New Roman" w:cs="Times New Roman"/>
        </w:rPr>
        <w:br w:type="page"/>
      </w:r>
    </w:p>
    <w:p w14:paraId="065017BE" w14:textId="75014B15" w:rsidR="00033E4F" w:rsidRPr="00033E4F" w:rsidRDefault="00033E4F" w:rsidP="00033E4F">
      <w:pPr>
        <w:spacing w:before="100" w:beforeAutospacing="1" w:after="0" w:line="360" w:lineRule="auto"/>
        <w:ind w:firstLine="284"/>
        <w:jc w:val="both"/>
        <w:rPr>
          <w:rFonts w:ascii="Times New Roman" w:eastAsia="Times New Roman" w:hAnsi="Times New Roman" w:cs="Times New Roman"/>
          <w:b/>
          <w:bCs/>
          <w:kern w:val="0"/>
          <w:lang w:eastAsia="es-MX"/>
          <w14:ligatures w14:val="none"/>
        </w:rPr>
      </w:pPr>
      <w:r w:rsidRPr="00033E4F">
        <w:rPr>
          <w:rFonts w:ascii="Times New Roman" w:eastAsia="Times New Roman" w:hAnsi="Times New Roman" w:cs="Times New Roman"/>
          <w:b/>
          <w:bCs/>
          <w:kern w:val="0"/>
          <w:lang w:eastAsia="es-MX"/>
          <w14:ligatures w14:val="none"/>
        </w:rPr>
        <w:t>Consigna 5. El problema del reconocimiento en el pensamiento feminista.</w:t>
      </w:r>
    </w:p>
    <w:p w14:paraId="6B3BA61F" w14:textId="56BE42A5" w:rsidR="00C75FA5" w:rsidRPr="00C75FA5" w:rsidRDefault="00C75FA5" w:rsidP="00C75FA5">
      <w:pPr>
        <w:spacing w:line="360" w:lineRule="auto"/>
        <w:ind w:firstLine="284"/>
        <w:jc w:val="both"/>
        <w:outlineLvl w:val="1"/>
        <w:rPr>
          <w:rFonts w:ascii="Times New Roman" w:eastAsia="Times New Roman" w:hAnsi="Times New Roman" w:cs="Times New Roman"/>
          <w:kern w:val="0"/>
          <w:lang w:eastAsia="es-MX"/>
          <w14:ligatures w14:val="none"/>
        </w:rPr>
      </w:pPr>
      <w:r w:rsidRPr="00C75FA5">
        <w:rPr>
          <w:rFonts w:ascii="Times New Roman" w:eastAsia="Times New Roman" w:hAnsi="Times New Roman" w:cs="Times New Roman"/>
          <w:kern w:val="0"/>
          <w:lang w:eastAsia="es-MX"/>
          <w14:ligatures w14:val="none"/>
        </w:rPr>
        <w:t>El problema del reconocimiento ha sido una cuestión clave en la teoría social y política moderna,</w:t>
      </w:r>
      <w:r w:rsidR="00310876">
        <w:rPr>
          <w:rFonts w:ascii="Times New Roman" w:eastAsia="Times New Roman" w:hAnsi="Times New Roman" w:cs="Times New Roman"/>
          <w:kern w:val="0"/>
          <w:lang w:eastAsia="es-MX"/>
          <w14:ligatures w14:val="none"/>
        </w:rPr>
        <w:t xml:space="preserve"> d</w:t>
      </w:r>
      <w:r w:rsidRPr="00C75FA5">
        <w:rPr>
          <w:rFonts w:ascii="Times New Roman" w:eastAsia="Times New Roman" w:hAnsi="Times New Roman" w:cs="Times New Roman"/>
          <w:kern w:val="0"/>
          <w:lang w:eastAsia="es-MX"/>
          <w14:ligatures w14:val="none"/>
        </w:rPr>
        <w:t>entro del feminismo, el tema adquiere un giro particular</w:t>
      </w:r>
      <w:r w:rsidR="00310876">
        <w:rPr>
          <w:rFonts w:ascii="Times New Roman" w:eastAsia="Times New Roman" w:hAnsi="Times New Roman" w:cs="Times New Roman"/>
          <w:kern w:val="0"/>
          <w:lang w:eastAsia="es-MX"/>
          <w14:ligatures w14:val="none"/>
        </w:rPr>
        <w:t>.</w:t>
      </w:r>
      <w:r w:rsidRPr="00C75FA5">
        <w:rPr>
          <w:rFonts w:ascii="Times New Roman" w:eastAsia="Times New Roman" w:hAnsi="Times New Roman" w:cs="Times New Roman"/>
          <w:kern w:val="0"/>
          <w:lang w:eastAsia="es-MX"/>
          <w14:ligatures w14:val="none"/>
        </w:rPr>
        <w:t xml:space="preserve"> </w:t>
      </w:r>
      <w:r w:rsidR="00310876">
        <w:rPr>
          <w:rFonts w:ascii="Times New Roman" w:eastAsia="Times New Roman" w:hAnsi="Times New Roman" w:cs="Times New Roman"/>
          <w:kern w:val="0"/>
          <w:lang w:eastAsia="es-MX"/>
          <w14:ligatures w14:val="none"/>
        </w:rPr>
        <w:t>No</w:t>
      </w:r>
      <w:r w:rsidRPr="00C75FA5">
        <w:rPr>
          <w:rFonts w:ascii="Times New Roman" w:eastAsia="Times New Roman" w:hAnsi="Times New Roman" w:cs="Times New Roman"/>
          <w:kern w:val="0"/>
          <w:lang w:eastAsia="es-MX"/>
          <w14:ligatures w14:val="none"/>
        </w:rPr>
        <w:t xml:space="preserve"> se trata sólo de si las mujeres son reconocidas como sujetos, sino de revisar quién puede ser considerado sujeto dentro del mismo feminismo. Autoras como Simone de Beauvoir, Monique Wittig y Judith Butler abordan esta cuestión desde distintos ángulos, pero todas coinciden en que el reconocimiento implica siempre una lucha por visibilidad, por autonomía y por transformar los marcos simbólicos que determinan quién cuenta y quién queda afuera.</w:t>
      </w:r>
    </w:p>
    <w:p w14:paraId="6A60D62A" w14:textId="0CE8FA1C" w:rsidR="00C75FA5" w:rsidRPr="00C75FA5" w:rsidRDefault="00310876" w:rsidP="00C75FA5">
      <w:pPr>
        <w:spacing w:line="360" w:lineRule="auto"/>
        <w:ind w:firstLine="284"/>
        <w:jc w:val="both"/>
        <w:outlineLvl w:val="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w:t>
      </w:r>
      <w:r w:rsidR="00C75FA5" w:rsidRPr="00C75FA5">
        <w:rPr>
          <w:rFonts w:ascii="Times New Roman" w:eastAsia="Times New Roman" w:hAnsi="Times New Roman" w:cs="Times New Roman"/>
          <w:kern w:val="0"/>
          <w:lang w:eastAsia="es-MX"/>
          <w14:ligatures w14:val="none"/>
        </w:rPr>
        <w:t xml:space="preserve"> importante señalar que la cuestión del reconocimiento ya se había puesto en juego de manera explícita durante la Revolución Francesa. Como muestra Abbate, las mujeres de 1789 actuaron como sujeto político colectivo y reclamaron igualdad frente a una ciudadanía que pretendía excluirlas. En su lectura histórica, “las mujeres se expresaron como sujeto político colectivo y lucharon por ser reconocidas como libres e iguales en la nueva sociedad que estaba en construcción” (Abbate, p. 26). Este antecedente confirma que el problema del reconocimiento en el feminismo no surge solo en el plano conceptual, sino en una práctica política concreta que buscaba aparecer en el espacio público y disputar quién cuenta como parte del “pueblo”.</w:t>
      </w:r>
    </w:p>
    <w:p w14:paraId="7A1519D4" w14:textId="77777777" w:rsidR="0057642F" w:rsidRDefault="00C75FA5" w:rsidP="00C75FA5">
      <w:pPr>
        <w:spacing w:line="360" w:lineRule="auto"/>
        <w:ind w:firstLine="284"/>
        <w:jc w:val="both"/>
        <w:outlineLvl w:val="1"/>
        <w:rPr>
          <w:rFonts w:ascii="Times New Roman" w:eastAsia="Times New Roman" w:hAnsi="Times New Roman" w:cs="Times New Roman"/>
          <w:kern w:val="0"/>
          <w:lang w:eastAsia="es-MX"/>
          <w14:ligatures w14:val="none"/>
        </w:rPr>
      </w:pPr>
      <w:r w:rsidRPr="00C75FA5">
        <w:rPr>
          <w:rFonts w:ascii="Times New Roman" w:eastAsia="Times New Roman" w:hAnsi="Times New Roman" w:cs="Times New Roman"/>
          <w:kern w:val="0"/>
          <w:lang w:eastAsia="es-MX"/>
          <w14:ligatures w14:val="none"/>
        </w:rPr>
        <w:t>El recorrido que va desde El segundo sexo hasta La categoría de sexo de Wittig y Deshacer el género de Butler muestra una evolución dentro del feminismo: de reclamar igualdad dentro de las categorías existentes a cuestionar el modo en que esas categorías están construidas. El reconocimiento, entonces, también se vuelve una reflexión sobre los límites del sujeto moderno y sobre cómo pensar un feminismo que no dependa de identidades fijas.</w:t>
      </w:r>
    </w:p>
    <w:p w14:paraId="7D1CE7C1" w14:textId="13702515" w:rsidR="00EF033E" w:rsidRPr="00EF033E" w:rsidRDefault="007E0BDF" w:rsidP="00EF033E">
      <w:pPr>
        <w:spacing w:line="360" w:lineRule="auto"/>
        <w:ind w:firstLine="284"/>
        <w:jc w:val="both"/>
        <w:outlineLvl w:val="1"/>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kern w:val="0"/>
          <w:lang w:eastAsia="es-MX"/>
          <w14:ligatures w14:val="none"/>
        </w:rPr>
        <w:t xml:space="preserve">Antecedente en </w:t>
      </w:r>
      <w:r w:rsidR="00EF033E" w:rsidRPr="00EF033E">
        <w:rPr>
          <w:rFonts w:ascii="Times New Roman" w:eastAsia="Times New Roman" w:hAnsi="Times New Roman" w:cs="Times New Roman"/>
          <w:b/>
          <w:bCs/>
          <w:kern w:val="0"/>
          <w:lang w:eastAsia="es-MX"/>
          <w14:ligatures w14:val="none"/>
        </w:rPr>
        <w:t>Rousseau: la negación del reconocimiento bajo la forma de la “naturaleza”</w:t>
      </w:r>
    </w:p>
    <w:p w14:paraId="1F1955C6" w14:textId="388CB0C9" w:rsidR="00EF033E" w:rsidRPr="00EF033E" w:rsidRDefault="00EF033E" w:rsidP="00EF033E">
      <w:pPr>
        <w:spacing w:line="360" w:lineRule="auto"/>
        <w:ind w:firstLine="284"/>
        <w:jc w:val="both"/>
        <w:outlineLvl w:val="1"/>
        <w:rPr>
          <w:rFonts w:ascii="Times New Roman" w:eastAsia="Times New Roman" w:hAnsi="Times New Roman" w:cs="Times New Roman"/>
          <w:kern w:val="0"/>
          <w:lang w:eastAsia="es-MX"/>
          <w14:ligatures w14:val="none"/>
        </w:rPr>
      </w:pPr>
      <w:r w:rsidRPr="00EF033E">
        <w:rPr>
          <w:rFonts w:ascii="Times New Roman" w:eastAsia="Times New Roman" w:hAnsi="Times New Roman" w:cs="Times New Roman"/>
          <w:kern w:val="0"/>
          <w:lang w:eastAsia="es-MX"/>
          <w14:ligatures w14:val="none"/>
        </w:rPr>
        <w:t xml:space="preserve">La lectura de Rousseau permite ver cómo la falta de reconocimiento de las mujeres no sólo es histórica, sino también teórica. En </w:t>
      </w:r>
      <w:r w:rsidRPr="00EF033E">
        <w:rPr>
          <w:rFonts w:ascii="Times New Roman" w:eastAsia="Times New Roman" w:hAnsi="Times New Roman" w:cs="Times New Roman"/>
          <w:i/>
          <w:iCs/>
          <w:kern w:val="0"/>
          <w:lang w:eastAsia="es-MX"/>
          <w14:ligatures w14:val="none"/>
        </w:rPr>
        <w:t>Emilio</w:t>
      </w:r>
      <w:r w:rsidRPr="00EF033E">
        <w:rPr>
          <w:rFonts w:ascii="Times New Roman" w:eastAsia="Times New Roman" w:hAnsi="Times New Roman" w:cs="Times New Roman"/>
          <w:kern w:val="0"/>
          <w:lang w:eastAsia="es-MX"/>
          <w14:ligatures w14:val="none"/>
        </w:rPr>
        <w:t xml:space="preserve">, Rousseau define a la mujer desde un modelo de complementariedad que en realidad es jerárquico: “la mujer […] está hecha para agradar al hombre, para ser subyugada” (Rousseau, </w:t>
      </w:r>
      <w:r w:rsidRPr="00EF033E">
        <w:rPr>
          <w:rFonts w:ascii="Times New Roman" w:eastAsia="Times New Roman" w:hAnsi="Times New Roman" w:cs="Times New Roman"/>
          <w:i/>
          <w:iCs/>
          <w:kern w:val="0"/>
          <w:lang w:eastAsia="es-MX"/>
          <w14:ligatures w14:val="none"/>
        </w:rPr>
        <w:t>Emilio</w:t>
      </w:r>
      <w:r w:rsidRPr="00EF033E">
        <w:rPr>
          <w:rFonts w:ascii="Times New Roman" w:eastAsia="Times New Roman" w:hAnsi="Times New Roman" w:cs="Times New Roman"/>
          <w:kern w:val="0"/>
          <w:lang w:eastAsia="es-MX"/>
          <w14:ligatures w14:val="none"/>
        </w:rPr>
        <w:t>, p. 249). Esta afirmación no sólo la coloca en una posición de inferioridad moral y política, sino que la constituye como sujeto derivado, cuya identidad depende del deseo y la autoridad del varón. La mujer, sostiene Rousseau, debe ser “pasiva y débil” mientras que el hombre debe ser “activo y fuerte” (p. 249), lo cual fija una diferencia sexual que no admite reciprocidad. Desde el punto de vista del reconocimiento, esto implica que la mujer no puede aparecer como sujeto autónomo, porque su posición está definida de antemano por un orden que la naturaliza como subordinada. En este sentido, Rousseau se vuelve un punto de contraste fundamental: aquello que él presenta como ley natural es lo que el feminismo</w:t>
      </w:r>
      <w:r w:rsidR="007E0BDF">
        <w:rPr>
          <w:rFonts w:ascii="Times New Roman" w:eastAsia="Times New Roman" w:hAnsi="Times New Roman" w:cs="Times New Roman"/>
          <w:kern w:val="0"/>
          <w:lang w:eastAsia="es-MX"/>
          <w14:ligatures w14:val="none"/>
        </w:rPr>
        <w:t xml:space="preserve">, </w:t>
      </w:r>
      <w:r w:rsidRPr="00EF033E">
        <w:rPr>
          <w:rFonts w:ascii="Times New Roman" w:eastAsia="Times New Roman" w:hAnsi="Times New Roman" w:cs="Times New Roman"/>
          <w:kern w:val="0"/>
          <w:lang w:eastAsia="es-MX"/>
          <w14:ligatures w14:val="none"/>
        </w:rPr>
        <w:t>desde Beauvoir hasta Butler</w:t>
      </w:r>
      <w:r w:rsidR="007E0BDF">
        <w:rPr>
          <w:rFonts w:ascii="Times New Roman" w:eastAsia="Times New Roman" w:hAnsi="Times New Roman" w:cs="Times New Roman"/>
          <w:kern w:val="0"/>
          <w:lang w:eastAsia="es-MX"/>
          <w14:ligatures w14:val="none"/>
        </w:rPr>
        <w:t>,</w:t>
      </w:r>
      <w:r w:rsidRPr="00EF033E">
        <w:rPr>
          <w:rFonts w:ascii="Times New Roman" w:eastAsia="Times New Roman" w:hAnsi="Times New Roman" w:cs="Times New Roman"/>
          <w:kern w:val="0"/>
          <w:lang w:eastAsia="es-MX"/>
          <w14:ligatures w14:val="none"/>
        </w:rPr>
        <w:t xml:space="preserve"> va a mostrar como una construcción política que impide la aparición del sujeto femenino.</w:t>
      </w:r>
    </w:p>
    <w:p w14:paraId="4F07DF74" w14:textId="274E18AB" w:rsidR="00E961A4" w:rsidRPr="000C5759" w:rsidRDefault="000C5759" w:rsidP="00C75FA5">
      <w:pPr>
        <w:spacing w:line="360" w:lineRule="auto"/>
        <w:ind w:firstLine="284"/>
        <w:jc w:val="both"/>
        <w:outlineLvl w:val="1"/>
        <w:rPr>
          <w:rFonts w:ascii="Times New Roman" w:eastAsia="Times New Roman" w:hAnsi="Times New Roman" w:cs="Times New Roman"/>
          <w:b/>
          <w:bCs/>
          <w:kern w:val="0"/>
          <w:lang w:eastAsia="es-MX"/>
          <w14:ligatures w14:val="none"/>
        </w:rPr>
      </w:pPr>
      <w:r w:rsidRPr="000C5759">
        <w:rPr>
          <w:rFonts w:ascii="Times New Roman" w:eastAsia="Times New Roman" w:hAnsi="Times New Roman" w:cs="Times New Roman"/>
          <w:b/>
          <w:bCs/>
          <w:kern w:val="0"/>
          <w:lang w:eastAsia="es-MX"/>
          <w14:ligatures w14:val="none"/>
        </w:rPr>
        <w:t>Simone de Beauvoir: la mujer como el Otro</w:t>
      </w:r>
    </w:p>
    <w:p w14:paraId="38ADC5A3" w14:textId="3BED227D" w:rsidR="0057642F" w:rsidRPr="0057642F" w:rsidRDefault="0057642F" w:rsidP="0057642F">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r w:rsidRPr="0057642F">
        <w:rPr>
          <w:rFonts w:ascii="Times New Roman" w:eastAsia="Times New Roman" w:hAnsi="Times New Roman" w:cs="Times New Roman"/>
          <w:kern w:val="0"/>
          <w:lang w:eastAsia="es-MX"/>
          <w14:ligatures w14:val="none"/>
        </w:rPr>
        <w:t>Beauvoir analiza la condición femenina de manera que permite ver cómo el reconocimiento está directamente afectado por el lugar que la maternidad ocupa en la sociedad. La autora describe que la mujer encerrada en el hogar “no puede fundamentar su existencia; no tiene medios para afirmarse en su singularidad, y por consiguiente esta singularidad no se le reconoce” (Beauvoir, p. 682).</w:t>
      </w:r>
    </w:p>
    <w:p w14:paraId="370140B4" w14:textId="77777777" w:rsidR="0057642F" w:rsidRDefault="0057642F" w:rsidP="0057642F">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r w:rsidRPr="0057642F">
        <w:rPr>
          <w:rFonts w:ascii="Times New Roman" w:eastAsia="Times New Roman" w:hAnsi="Times New Roman" w:cs="Times New Roman"/>
          <w:kern w:val="0"/>
          <w:lang w:eastAsia="es-MX"/>
          <w14:ligatures w14:val="none"/>
        </w:rPr>
        <w:t>En esta lectura, la mujer permanece atrapada en roles que no permiten que su subjetividad sea reconocida como tal. La falta de reconocimiento no es sólo interpersonal: es un problema estructural. Las instituciones, los valores y el lenguaje colaboran en que la mujer no aparezca como sujeto autónomo, sino como una función: madre, esposa, cuidadora. Beauvoir ya insinúa que la opresión femenina tiene que ver con la imposibilidad de afirmarse como sujeto frente a un orden simbólico que la define por otros.</w:t>
      </w:r>
    </w:p>
    <w:p w14:paraId="6B78F804" w14:textId="34E45798" w:rsidR="000C5759" w:rsidRPr="000C5759" w:rsidRDefault="000C5759" w:rsidP="0057642F">
      <w:pPr>
        <w:spacing w:before="100" w:beforeAutospacing="1" w:after="100" w:afterAutospacing="1" w:line="360" w:lineRule="auto"/>
        <w:ind w:firstLine="284"/>
        <w:jc w:val="both"/>
        <w:outlineLvl w:val="1"/>
        <w:rPr>
          <w:rFonts w:ascii="Times New Roman" w:eastAsia="Times New Roman" w:hAnsi="Times New Roman" w:cs="Times New Roman"/>
          <w:b/>
          <w:bCs/>
          <w:kern w:val="0"/>
          <w:lang w:eastAsia="es-MX"/>
          <w14:ligatures w14:val="none"/>
        </w:rPr>
      </w:pPr>
      <w:r w:rsidRPr="000C5759">
        <w:rPr>
          <w:rFonts w:ascii="Times New Roman" w:eastAsia="Times New Roman" w:hAnsi="Times New Roman" w:cs="Times New Roman"/>
          <w:b/>
          <w:bCs/>
          <w:kern w:val="0"/>
          <w:lang w:eastAsia="es-MX"/>
          <w14:ligatures w14:val="none"/>
        </w:rPr>
        <w:t>Monique Wittig: el reconocimiento y la crítica a “la mujer”</w:t>
      </w:r>
    </w:p>
    <w:p w14:paraId="1221A21E" w14:textId="77777777" w:rsidR="008E1042" w:rsidRDefault="000C5759" w:rsidP="008E1042">
      <w:pPr>
        <w:spacing w:after="100" w:afterAutospacing="1" w:line="360" w:lineRule="auto"/>
        <w:ind w:firstLine="284"/>
        <w:jc w:val="both"/>
        <w:rPr>
          <w:rFonts w:ascii="Times New Roman" w:eastAsia="Times New Roman" w:hAnsi="Times New Roman" w:cs="Times New Roman"/>
          <w:kern w:val="0"/>
          <w:lang w:eastAsia="es-MX"/>
          <w14:ligatures w14:val="none"/>
        </w:rPr>
      </w:pPr>
      <w:r w:rsidRPr="000C5759">
        <w:rPr>
          <w:rFonts w:ascii="Times New Roman" w:eastAsia="Times New Roman" w:hAnsi="Times New Roman" w:cs="Times New Roman"/>
          <w:kern w:val="0"/>
          <w:lang w:eastAsia="es-MX"/>
          <w14:ligatures w14:val="none"/>
        </w:rPr>
        <w:t>Wittig va mucho más lejos: para ella, no se trata de que las mujeres no sean reconocidas como sujetos, sino de que la categoría “mujer” es en sí misma el producto de un régimen político, el pensamiento heterosexual. No se trata de pedir reconocimiento desde dentro de la categoría, porque la categoría misma está construida para oprimir.</w:t>
      </w:r>
      <w:r w:rsidR="003A1573">
        <w:rPr>
          <w:rFonts w:ascii="Times New Roman" w:eastAsia="Times New Roman" w:hAnsi="Times New Roman" w:cs="Times New Roman"/>
          <w:kern w:val="0"/>
          <w:lang w:eastAsia="es-MX"/>
          <w14:ligatures w14:val="none"/>
        </w:rPr>
        <w:t xml:space="preserve"> </w:t>
      </w:r>
      <w:r w:rsidRPr="000C5759">
        <w:rPr>
          <w:rFonts w:ascii="Times New Roman" w:eastAsia="Times New Roman" w:hAnsi="Times New Roman" w:cs="Times New Roman"/>
          <w:kern w:val="0"/>
          <w:lang w:eastAsia="es-MX"/>
          <w14:ligatures w14:val="none"/>
        </w:rPr>
        <w:t>Wittig lo expresa abiertamente al describir cómo la categoría de sexo organiza la dominación:</w:t>
      </w:r>
      <w:r w:rsidR="00A70E26">
        <w:rPr>
          <w:rFonts w:ascii="Times New Roman" w:eastAsia="Times New Roman" w:hAnsi="Times New Roman" w:cs="Times New Roman"/>
          <w:kern w:val="0"/>
          <w:lang w:eastAsia="es-MX"/>
          <w14:ligatures w14:val="none"/>
        </w:rPr>
        <w:t xml:space="preserve"> </w:t>
      </w:r>
      <w:r w:rsidRPr="000C5759">
        <w:rPr>
          <w:rFonts w:ascii="Times New Roman" w:eastAsia="Times New Roman" w:hAnsi="Times New Roman" w:cs="Times New Roman"/>
          <w:kern w:val="0"/>
          <w:lang w:eastAsia="es-MX"/>
          <w14:ligatures w14:val="none"/>
        </w:rPr>
        <w:t xml:space="preserve">“La categoría de sexo es una categoría totalitaria […] Posee nuestros espíritus de tal manera que no podemos pensar fuera de ella” (Wittig, </w:t>
      </w:r>
      <w:r w:rsidRPr="000C5759">
        <w:rPr>
          <w:rFonts w:ascii="Times New Roman" w:eastAsia="Times New Roman" w:hAnsi="Times New Roman" w:cs="Times New Roman"/>
          <w:i/>
          <w:iCs/>
          <w:kern w:val="0"/>
          <w:lang w:eastAsia="es-MX"/>
          <w14:ligatures w14:val="none"/>
        </w:rPr>
        <w:t>La categoría de sexo</w:t>
      </w:r>
      <w:r w:rsidRPr="000C5759">
        <w:rPr>
          <w:rFonts w:ascii="Times New Roman" w:eastAsia="Times New Roman" w:hAnsi="Times New Roman" w:cs="Times New Roman"/>
          <w:kern w:val="0"/>
          <w:lang w:eastAsia="es-MX"/>
          <w14:ligatures w14:val="none"/>
        </w:rPr>
        <w:t>, p. 28).</w:t>
      </w:r>
    </w:p>
    <w:p w14:paraId="7BF401D5" w14:textId="77777777" w:rsidR="008E1042" w:rsidRDefault="000C5759" w:rsidP="008E1042">
      <w:pPr>
        <w:spacing w:after="100" w:afterAutospacing="1" w:line="360" w:lineRule="auto"/>
        <w:ind w:firstLine="284"/>
        <w:jc w:val="both"/>
        <w:rPr>
          <w:rFonts w:ascii="Times New Roman" w:eastAsia="Times New Roman" w:hAnsi="Times New Roman" w:cs="Times New Roman"/>
          <w:kern w:val="0"/>
          <w:lang w:eastAsia="es-MX"/>
          <w14:ligatures w14:val="none"/>
        </w:rPr>
      </w:pPr>
      <w:r w:rsidRPr="000C5759">
        <w:rPr>
          <w:rFonts w:ascii="Times New Roman" w:eastAsia="Times New Roman" w:hAnsi="Times New Roman" w:cs="Times New Roman"/>
          <w:kern w:val="0"/>
          <w:lang w:eastAsia="es-MX"/>
          <w14:ligatures w14:val="none"/>
        </w:rPr>
        <w:t>Para Wittig, entonces, pedir reconocimiento como “mujer” es aceptar el marco conceptual que garantiza la subordinación. Por eso afirma que “las lesbianas no son mujeres”: no porque niegue la corporalidad o la identidad concreta, sino porque la lesbiana rompe la relación obligatoria que define políticamente la diferencia sexual. El reconocimiento no puede venir del sistema heterosexual: debe surgir de la abolición de las categorías que lo sostienen.</w:t>
      </w:r>
    </w:p>
    <w:p w14:paraId="2D0ABE10" w14:textId="77777777" w:rsidR="008E1042" w:rsidRPr="008E1042" w:rsidRDefault="000C5759" w:rsidP="008E1042">
      <w:pPr>
        <w:spacing w:after="100" w:afterAutospacing="1" w:line="360" w:lineRule="auto"/>
        <w:ind w:firstLine="284"/>
        <w:jc w:val="both"/>
        <w:rPr>
          <w:rFonts w:ascii="Times New Roman" w:eastAsia="Times New Roman" w:hAnsi="Times New Roman" w:cs="Times New Roman"/>
          <w:b/>
          <w:bCs/>
          <w:kern w:val="0"/>
          <w:lang w:eastAsia="es-MX"/>
          <w14:ligatures w14:val="none"/>
        </w:rPr>
      </w:pPr>
      <w:r w:rsidRPr="000C5759">
        <w:rPr>
          <w:rFonts w:ascii="Times New Roman" w:eastAsia="Times New Roman" w:hAnsi="Times New Roman" w:cs="Times New Roman"/>
          <w:b/>
          <w:bCs/>
          <w:kern w:val="0"/>
          <w:lang w:eastAsia="es-MX"/>
          <w14:ligatures w14:val="none"/>
        </w:rPr>
        <w:t>Judith Butler: reconocimiento e inteligibilidad</w:t>
      </w:r>
    </w:p>
    <w:p w14:paraId="6D07CCBB" w14:textId="77777777" w:rsidR="00B058F0" w:rsidRDefault="000C5759" w:rsidP="00AB5F32">
      <w:pPr>
        <w:spacing w:after="100" w:afterAutospacing="1" w:line="360" w:lineRule="auto"/>
        <w:ind w:firstLine="284"/>
        <w:jc w:val="both"/>
        <w:rPr>
          <w:rFonts w:ascii="Times New Roman" w:eastAsia="Times New Roman" w:hAnsi="Times New Roman" w:cs="Times New Roman"/>
          <w:kern w:val="0"/>
          <w:lang w:eastAsia="es-MX"/>
          <w14:ligatures w14:val="none"/>
        </w:rPr>
      </w:pPr>
      <w:r w:rsidRPr="000C5759">
        <w:rPr>
          <w:rFonts w:ascii="Times New Roman" w:eastAsia="Times New Roman" w:hAnsi="Times New Roman" w:cs="Times New Roman"/>
          <w:kern w:val="0"/>
          <w:lang w:eastAsia="es-MX"/>
          <w14:ligatures w14:val="none"/>
        </w:rPr>
        <w:t xml:space="preserve">Butler retoma la cuestión del reconocimiento pero desde una perspectiva postestructuralista. En </w:t>
      </w:r>
      <w:r w:rsidRPr="000C5759">
        <w:rPr>
          <w:rFonts w:ascii="Times New Roman" w:eastAsia="Times New Roman" w:hAnsi="Times New Roman" w:cs="Times New Roman"/>
          <w:i/>
          <w:iCs/>
          <w:kern w:val="0"/>
          <w:lang w:eastAsia="es-MX"/>
          <w14:ligatures w14:val="none"/>
        </w:rPr>
        <w:t>Deshacer el género</w:t>
      </w:r>
      <w:r w:rsidRPr="000C5759">
        <w:rPr>
          <w:rFonts w:ascii="Times New Roman" w:eastAsia="Times New Roman" w:hAnsi="Times New Roman" w:cs="Times New Roman"/>
          <w:kern w:val="0"/>
          <w:lang w:eastAsia="es-MX"/>
          <w14:ligatures w14:val="none"/>
        </w:rPr>
        <w:t xml:space="preserve"> muestra cómo las normas sociales establecen qué vidas son reconocibles y cuáles no. El reconocimiento no es neutro: es un dispositivo de poder que decide quién entra en el campo de lo humano. Butler lo dice claramente:</w:t>
      </w:r>
      <w:r w:rsidR="008E1042">
        <w:rPr>
          <w:rFonts w:ascii="Times New Roman" w:eastAsia="Times New Roman" w:hAnsi="Times New Roman" w:cs="Times New Roman"/>
          <w:kern w:val="0"/>
          <w:lang w:eastAsia="es-MX"/>
          <w14:ligatures w14:val="none"/>
        </w:rPr>
        <w:t xml:space="preserve"> </w:t>
      </w:r>
      <w:r w:rsidRPr="000C5759">
        <w:rPr>
          <w:rFonts w:ascii="Times New Roman" w:eastAsia="Times New Roman" w:hAnsi="Times New Roman" w:cs="Times New Roman"/>
          <w:kern w:val="0"/>
          <w:lang w:eastAsia="es-MX"/>
          <w14:ligatures w14:val="none"/>
        </w:rPr>
        <w:t>“</w:t>
      </w:r>
      <w:r w:rsidR="00A568E8">
        <w:rPr>
          <w:rFonts w:ascii="Times New Roman" w:eastAsia="Times New Roman" w:hAnsi="Times New Roman" w:cs="Times New Roman"/>
          <w:kern w:val="0"/>
          <w:lang w:eastAsia="es-MX"/>
          <w14:ligatures w14:val="none"/>
        </w:rPr>
        <w:t>A</w:t>
      </w:r>
      <w:r w:rsidRPr="000C5759">
        <w:rPr>
          <w:rFonts w:ascii="Times New Roman" w:eastAsia="Times New Roman" w:hAnsi="Times New Roman" w:cs="Times New Roman"/>
          <w:kern w:val="0"/>
          <w:lang w:eastAsia="es-MX"/>
          <w14:ligatures w14:val="none"/>
        </w:rPr>
        <w:t xml:space="preserve">lgunos humanos </w:t>
      </w:r>
      <w:r w:rsidR="00A568E8">
        <w:rPr>
          <w:rFonts w:ascii="Times New Roman" w:eastAsia="Times New Roman" w:hAnsi="Times New Roman" w:cs="Times New Roman"/>
          <w:kern w:val="0"/>
          <w:lang w:eastAsia="es-MX"/>
          <w14:ligatures w14:val="none"/>
        </w:rPr>
        <w:t xml:space="preserve">son reconocidos como menos que humanos y dicha forma de </w:t>
      </w:r>
      <w:r w:rsidR="00AB5F32">
        <w:rPr>
          <w:rFonts w:ascii="Times New Roman" w:eastAsia="Times New Roman" w:hAnsi="Times New Roman" w:cs="Times New Roman"/>
          <w:kern w:val="0"/>
          <w:lang w:eastAsia="es-MX"/>
          <w14:ligatures w14:val="none"/>
        </w:rPr>
        <w:t xml:space="preserve">reconocimiento con enmiendas no conduce a una vida viable”. </w:t>
      </w:r>
      <w:r w:rsidRPr="000C5759">
        <w:rPr>
          <w:rFonts w:ascii="Times New Roman" w:eastAsia="Times New Roman" w:hAnsi="Times New Roman" w:cs="Times New Roman"/>
          <w:kern w:val="0"/>
          <w:lang w:eastAsia="es-MX"/>
          <w14:ligatures w14:val="none"/>
        </w:rPr>
        <w:t xml:space="preserve">(Butler, </w:t>
      </w:r>
      <w:r w:rsidRPr="000C5759">
        <w:rPr>
          <w:rFonts w:ascii="Times New Roman" w:eastAsia="Times New Roman" w:hAnsi="Times New Roman" w:cs="Times New Roman"/>
          <w:i/>
          <w:iCs/>
          <w:kern w:val="0"/>
          <w:lang w:eastAsia="es-MX"/>
          <w14:ligatures w14:val="none"/>
        </w:rPr>
        <w:t>Deshacer el género</w:t>
      </w:r>
      <w:r w:rsidRPr="000C5759">
        <w:rPr>
          <w:rFonts w:ascii="Times New Roman" w:eastAsia="Times New Roman" w:hAnsi="Times New Roman" w:cs="Times New Roman"/>
          <w:kern w:val="0"/>
          <w:lang w:eastAsia="es-MX"/>
          <w14:ligatures w14:val="none"/>
        </w:rPr>
        <w:t>, p. 1</w:t>
      </w:r>
      <w:r w:rsidR="00AB5F32">
        <w:rPr>
          <w:rFonts w:ascii="Times New Roman" w:eastAsia="Times New Roman" w:hAnsi="Times New Roman" w:cs="Times New Roman"/>
          <w:kern w:val="0"/>
          <w:lang w:eastAsia="es-MX"/>
          <w14:ligatures w14:val="none"/>
        </w:rPr>
        <w:t>4-15</w:t>
      </w:r>
      <w:r w:rsidRPr="000C5759">
        <w:rPr>
          <w:rFonts w:ascii="Times New Roman" w:eastAsia="Times New Roman" w:hAnsi="Times New Roman" w:cs="Times New Roman"/>
          <w:kern w:val="0"/>
          <w:lang w:eastAsia="es-MX"/>
          <w14:ligatures w14:val="none"/>
        </w:rPr>
        <w:t>).</w:t>
      </w:r>
      <w:r w:rsidR="00AB5F32">
        <w:rPr>
          <w:rFonts w:ascii="Times New Roman" w:eastAsia="Times New Roman" w:hAnsi="Times New Roman" w:cs="Times New Roman"/>
          <w:kern w:val="0"/>
          <w:lang w:eastAsia="es-MX"/>
          <w14:ligatures w14:val="none"/>
        </w:rPr>
        <w:t xml:space="preserve"> </w:t>
      </w:r>
    </w:p>
    <w:p w14:paraId="2D33254B" w14:textId="099961B3" w:rsidR="000C5759" w:rsidRPr="000C5759" w:rsidRDefault="000C5759" w:rsidP="00AB5F32">
      <w:pPr>
        <w:spacing w:after="100" w:afterAutospacing="1" w:line="360" w:lineRule="auto"/>
        <w:ind w:firstLine="284"/>
        <w:jc w:val="both"/>
        <w:rPr>
          <w:rFonts w:ascii="Times New Roman" w:eastAsia="Times New Roman" w:hAnsi="Times New Roman" w:cs="Times New Roman"/>
          <w:kern w:val="0"/>
          <w:lang w:eastAsia="es-MX"/>
          <w14:ligatures w14:val="none"/>
        </w:rPr>
      </w:pPr>
      <w:r w:rsidRPr="000C5759">
        <w:rPr>
          <w:rFonts w:ascii="Times New Roman" w:eastAsia="Times New Roman" w:hAnsi="Times New Roman" w:cs="Times New Roman"/>
          <w:kern w:val="0"/>
          <w:lang w:eastAsia="es-MX"/>
          <w14:ligatures w14:val="none"/>
        </w:rPr>
        <w:t>Para Butler, ser reconocido significa poder existir socialmente. El género, entendido como norma, define las condiciones de posibilidad del reconocimiento. Quienes no encajan</w:t>
      </w:r>
      <w:r w:rsidR="00B058F0">
        <w:rPr>
          <w:rFonts w:ascii="Times New Roman" w:eastAsia="Times New Roman" w:hAnsi="Times New Roman" w:cs="Times New Roman"/>
          <w:kern w:val="0"/>
          <w:lang w:eastAsia="es-MX"/>
          <w14:ligatures w14:val="none"/>
        </w:rPr>
        <w:t xml:space="preserve">, </w:t>
      </w:r>
      <w:r w:rsidRPr="000C5759">
        <w:rPr>
          <w:rFonts w:ascii="Times New Roman" w:eastAsia="Times New Roman" w:hAnsi="Times New Roman" w:cs="Times New Roman"/>
          <w:kern w:val="0"/>
          <w:lang w:eastAsia="es-MX"/>
          <w14:ligatures w14:val="none"/>
        </w:rPr>
        <w:t>vidas trans, queer, no binarias</w:t>
      </w:r>
      <w:r w:rsidR="00B058F0">
        <w:rPr>
          <w:rFonts w:ascii="Times New Roman" w:eastAsia="Times New Roman" w:hAnsi="Times New Roman" w:cs="Times New Roman"/>
          <w:kern w:val="0"/>
          <w:lang w:eastAsia="es-MX"/>
          <w14:ligatures w14:val="none"/>
        </w:rPr>
        <w:t>,</w:t>
      </w:r>
      <w:r w:rsidRPr="000C5759">
        <w:rPr>
          <w:rFonts w:ascii="Times New Roman" w:eastAsia="Times New Roman" w:hAnsi="Times New Roman" w:cs="Times New Roman"/>
          <w:kern w:val="0"/>
          <w:lang w:eastAsia="es-MX"/>
          <w14:ligatures w14:val="none"/>
        </w:rPr>
        <w:t xml:space="preserve"> quedan fuera de la inteligibilidad social. De este modo, el reconocimiento se vuelve una lucha por ampliar los límites de lo humano.</w:t>
      </w:r>
    </w:p>
    <w:p w14:paraId="613A9F96" w14:textId="43A5655A" w:rsidR="000C5759" w:rsidRPr="000C5759" w:rsidRDefault="000C5759" w:rsidP="00033E4F">
      <w:pPr>
        <w:spacing w:before="100" w:beforeAutospacing="1" w:after="100" w:afterAutospacing="1" w:line="360" w:lineRule="auto"/>
        <w:ind w:firstLine="284"/>
        <w:jc w:val="both"/>
        <w:outlineLvl w:val="1"/>
        <w:rPr>
          <w:rFonts w:ascii="Times New Roman" w:eastAsia="Times New Roman" w:hAnsi="Times New Roman" w:cs="Times New Roman"/>
          <w:b/>
          <w:bCs/>
          <w:kern w:val="0"/>
          <w:lang w:eastAsia="es-MX"/>
          <w14:ligatures w14:val="none"/>
        </w:rPr>
      </w:pPr>
      <w:r w:rsidRPr="000C5759">
        <w:rPr>
          <w:rFonts w:ascii="Times New Roman" w:eastAsia="Times New Roman" w:hAnsi="Times New Roman" w:cs="Times New Roman"/>
          <w:b/>
          <w:bCs/>
          <w:kern w:val="0"/>
          <w:lang w:eastAsia="es-MX"/>
          <w14:ligatures w14:val="none"/>
        </w:rPr>
        <w:t>Tensiones entre reconocimiento e identidad</w:t>
      </w:r>
    </w:p>
    <w:p w14:paraId="55112C1E" w14:textId="77777777" w:rsidR="004815FA" w:rsidRPr="004815FA" w:rsidRDefault="004815FA" w:rsidP="004815FA">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r w:rsidRPr="004815FA">
        <w:rPr>
          <w:rFonts w:ascii="Times New Roman" w:eastAsia="Times New Roman" w:hAnsi="Times New Roman" w:cs="Times New Roman"/>
          <w:kern w:val="0"/>
          <w:lang w:eastAsia="es-MX"/>
          <w14:ligatures w14:val="none"/>
        </w:rPr>
        <w:t>La teoría feminista se encuentra con una tensión difícil de resolver: para reclamar reconocimiento, muchas veces hay que apoyarse en identidades (“mujeres”, “lesbianas”, “sujetos queer”), pero esas mismas identidades pueden reproducir el marco que produjo la opresión. Wittig y Butler coinciden en que hay un riesgo en pedir reconocimiento desde categorías que son parte del sistema. Sin embargo, la falta total de reconocimiento también implica una violencia simbólica.</w:t>
      </w:r>
    </w:p>
    <w:p w14:paraId="5298749C" w14:textId="77777777" w:rsidR="004815FA" w:rsidRPr="004815FA" w:rsidRDefault="004815FA" w:rsidP="004815FA">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r w:rsidRPr="004815FA">
        <w:rPr>
          <w:rFonts w:ascii="Times New Roman" w:eastAsia="Times New Roman" w:hAnsi="Times New Roman" w:cs="Times New Roman"/>
          <w:kern w:val="0"/>
          <w:lang w:eastAsia="es-MX"/>
          <w14:ligatures w14:val="none"/>
        </w:rPr>
        <w:t>Acá la lectura histórica de Abbate vuelve a ser útil. La Petición de las Damas de 1789 muestra que las mujeres sabían perfectamente que el reconocimiento depende del marco político que define quién cuenta como ciudadano: “¿nosotras seremos las únicas para las que siempre existirá la Edad de Hierro […] mientras los franceses son un pueblo libre?” (Abbate, p. 26). Este reclamo temprano confirma que la exclusión del reconocimiento no es solo teórica, sino una experiencia histórica concreta: incluso cuando las mujeres actuaron como sujeto político colectivo, siguieron siendo invisibilizadas por un orden que no las reconocía como tales.</w:t>
      </w:r>
    </w:p>
    <w:p w14:paraId="4D67604D" w14:textId="15AEA96F" w:rsidR="004815FA" w:rsidRPr="004815FA" w:rsidRDefault="004815FA" w:rsidP="004815FA">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r w:rsidRPr="004815FA">
        <w:rPr>
          <w:rFonts w:ascii="Times New Roman" w:eastAsia="Times New Roman" w:hAnsi="Times New Roman" w:cs="Times New Roman"/>
          <w:kern w:val="0"/>
          <w:lang w:eastAsia="es-MX"/>
          <w14:ligatures w14:val="none"/>
        </w:rPr>
        <w:t>En esta línea, Lauretis expande la discusión mostrando que el reconocimiento no se juega únicamente en la política formal, sino también en el terreno de la representación. Con su concepto de “tecnologías de género”, sostiene que el género es “un conjunto de efectos producidos en los cuerpos, los comportamientos y las relaciones sociales” (Lauretis, p. 8). Es decir, las posiciones de sujeto no existen antes del reconocimiento: son producidas. Por eso, la exclusión que describe Abbate no depende solo de la ley, sino de las tecnologías culturales que hacen que ciertas vidas sean visibles y otras no. Además, Lauretis muestra que las mujeres ocupan un lugar paradójico, “al mismo tiempo dentro y fuera del género” (p. 16), lo que profundiza la tensión entre identificarse con una categoría para reclamar derechos y cuestionar al mismo tiempo las estructuras que producen esa categoría.</w:t>
      </w:r>
    </w:p>
    <w:p w14:paraId="11E64DA1" w14:textId="77777777" w:rsidR="004815FA" w:rsidRPr="004815FA" w:rsidRDefault="004815FA" w:rsidP="004815FA">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p>
    <w:p w14:paraId="149C144A" w14:textId="77777777" w:rsidR="00217E76" w:rsidRDefault="004815FA" w:rsidP="004815FA">
      <w:pPr>
        <w:spacing w:before="100" w:beforeAutospacing="1" w:after="100" w:afterAutospacing="1" w:line="360" w:lineRule="auto"/>
        <w:ind w:firstLine="284"/>
        <w:jc w:val="both"/>
        <w:outlineLvl w:val="1"/>
        <w:rPr>
          <w:rFonts w:ascii="Times New Roman" w:eastAsia="Times New Roman" w:hAnsi="Times New Roman" w:cs="Times New Roman"/>
          <w:kern w:val="0"/>
          <w:lang w:eastAsia="es-MX"/>
          <w14:ligatures w14:val="none"/>
        </w:rPr>
      </w:pPr>
      <w:r w:rsidRPr="004815FA">
        <w:rPr>
          <w:rFonts w:ascii="Times New Roman" w:eastAsia="Times New Roman" w:hAnsi="Times New Roman" w:cs="Times New Roman"/>
          <w:kern w:val="0"/>
          <w:lang w:eastAsia="es-MX"/>
          <w14:ligatures w14:val="none"/>
        </w:rPr>
        <w:t>Butler propone una política doble: por un lado, luchar por el reconocimiento de las vidas marginadas; por otro, cuestionar las normas que hacen posible ese reconocimiento. Wittig, en cambio, insiste en que la emancipación total sólo puede darse si se desmantela la diferencia sexual como principio organizador. La lectura de Abbate y Lauretis complementa estas perspectivas mostrando que el reconocimiento no es solo afirmarse dentro del orden existente, sino también intervenir en las representaciones y en las tecnologías que producen los sujetos mismos. En todos los casos, el reconocimiento aparece como un proceso conflictivo, en el que la identidad es al mismo tiempo herramienta política y efecto del poder.</w:t>
      </w:r>
    </w:p>
    <w:p w14:paraId="4C4CE099" w14:textId="5697B232" w:rsidR="000C5759" w:rsidRPr="000C5759" w:rsidRDefault="000C5759" w:rsidP="004815FA">
      <w:pPr>
        <w:spacing w:before="100" w:beforeAutospacing="1" w:after="100" w:afterAutospacing="1" w:line="360" w:lineRule="auto"/>
        <w:ind w:firstLine="284"/>
        <w:jc w:val="both"/>
        <w:outlineLvl w:val="1"/>
        <w:rPr>
          <w:rFonts w:ascii="Times New Roman" w:eastAsia="Times New Roman" w:hAnsi="Times New Roman" w:cs="Times New Roman"/>
          <w:b/>
          <w:bCs/>
          <w:kern w:val="0"/>
          <w:lang w:eastAsia="es-MX"/>
          <w14:ligatures w14:val="none"/>
        </w:rPr>
      </w:pPr>
      <w:r w:rsidRPr="000C5759">
        <w:rPr>
          <w:rFonts w:ascii="Times New Roman" w:eastAsia="Times New Roman" w:hAnsi="Times New Roman" w:cs="Times New Roman"/>
          <w:b/>
          <w:bCs/>
          <w:kern w:val="0"/>
          <w:lang w:eastAsia="es-MX"/>
          <w14:ligatures w14:val="none"/>
        </w:rPr>
        <w:t>Conclusión: repensar el sujeto del feminismo</w:t>
      </w:r>
    </w:p>
    <w:p w14:paraId="5677215C" w14:textId="021DBDF8" w:rsidR="000C5759" w:rsidRPr="000C5759" w:rsidRDefault="000C5759" w:rsidP="00EF00F9">
      <w:pPr>
        <w:spacing w:before="100" w:beforeAutospacing="1" w:after="100" w:afterAutospacing="1" w:line="360" w:lineRule="auto"/>
        <w:ind w:firstLine="284"/>
        <w:jc w:val="both"/>
        <w:rPr>
          <w:rFonts w:ascii="Times New Roman" w:eastAsia="Times New Roman" w:hAnsi="Times New Roman" w:cs="Times New Roman"/>
          <w:kern w:val="0"/>
          <w:lang w:eastAsia="es-MX"/>
          <w14:ligatures w14:val="none"/>
        </w:rPr>
      </w:pPr>
      <w:r w:rsidRPr="000C5759">
        <w:rPr>
          <w:rFonts w:ascii="Times New Roman" w:eastAsia="Times New Roman" w:hAnsi="Times New Roman" w:cs="Times New Roman"/>
          <w:kern w:val="0"/>
          <w:lang w:eastAsia="es-MX"/>
          <w14:ligatures w14:val="none"/>
        </w:rPr>
        <w:t>El problema del reconocimiento, desde Beauvoir hasta Butler, revela un movimiento teórico que va desde denunciar la desigualdad hasta cuestionar los marcos mismos que producen la desigualdad. Beauvoir muestra que la mujer, definida como Otro, queda sin reconocimiento propio; Wittig demuestra que esa alteridad es un efecto político del régimen heterosexual; y Butler expone cómo las normas de reconocimiento determinan quién puede existir socialmente.</w:t>
      </w:r>
    </w:p>
    <w:p w14:paraId="3347B7B7" w14:textId="77777777" w:rsidR="000C5759" w:rsidRPr="000C5759" w:rsidRDefault="000C5759" w:rsidP="00033E4F">
      <w:pPr>
        <w:spacing w:before="100" w:beforeAutospacing="1" w:after="100" w:afterAutospacing="1" w:line="360" w:lineRule="auto"/>
        <w:ind w:firstLine="284"/>
        <w:jc w:val="both"/>
        <w:rPr>
          <w:rFonts w:ascii="Times New Roman" w:eastAsia="Times New Roman" w:hAnsi="Times New Roman" w:cs="Times New Roman"/>
          <w:kern w:val="0"/>
          <w:lang w:eastAsia="es-MX"/>
          <w14:ligatures w14:val="none"/>
        </w:rPr>
      </w:pPr>
      <w:r w:rsidRPr="000C5759">
        <w:rPr>
          <w:rFonts w:ascii="Times New Roman" w:eastAsia="Times New Roman" w:hAnsi="Times New Roman" w:cs="Times New Roman"/>
          <w:kern w:val="0"/>
          <w:lang w:eastAsia="es-MX"/>
          <w14:ligatures w14:val="none"/>
        </w:rPr>
        <w:t>Pensar el reconocimiento hoy implica aceptar que el sujeto del feminismo no es una identidad fija, sino una construcción en disputa. El feminismo ya no puede apoyarse en la categoría “mujer” como si fuera homogénea; tiene que cuestionar las categorías mismas de sexo, género y humanidad. En ese sentido, el reconocimiento no es un destino, sino un proceso: abrir espacio para formas de vida que todavía no tienen nombre.</w:t>
      </w:r>
    </w:p>
    <w:p w14:paraId="1655B37A" w14:textId="77777777" w:rsidR="007E6C37" w:rsidRPr="00033E4F" w:rsidRDefault="007E6C37" w:rsidP="00033E4F">
      <w:pPr>
        <w:spacing w:line="360" w:lineRule="auto"/>
        <w:ind w:firstLine="284"/>
        <w:jc w:val="both"/>
        <w:rPr>
          <w:rFonts w:ascii="Times New Roman" w:hAnsi="Times New Roman" w:cs="Times New Roman"/>
          <w:b/>
          <w:bCs/>
        </w:rPr>
      </w:pPr>
      <w:r w:rsidRPr="00033E4F">
        <w:rPr>
          <w:rFonts w:ascii="Times New Roman" w:hAnsi="Times New Roman" w:cs="Times New Roman"/>
          <w:b/>
          <w:bCs/>
        </w:rPr>
        <w:br w:type="page"/>
      </w:r>
    </w:p>
    <w:p w14:paraId="172B5F03" w14:textId="07EC7BCA" w:rsidR="00C83850" w:rsidRPr="00C83850" w:rsidRDefault="00C83850" w:rsidP="00D46EC9">
      <w:pPr>
        <w:spacing w:line="360" w:lineRule="auto"/>
        <w:ind w:firstLine="709"/>
        <w:jc w:val="both"/>
        <w:rPr>
          <w:rFonts w:ascii="Times New Roman" w:hAnsi="Times New Roman" w:cs="Times New Roman"/>
          <w:b/>
          <w:bCs/>
        </w:rPr>
      </w:pPr>
      <w:r w:rsidRPr="00C83850">
        <w:rPr>
          <w:rFonts w:ascii="Times New Roman" w:hAnsi="Times New Roman" w:cs="Times New Roman"/>
          <w:b/>
          <w:bCs/>
        </w:rPr>
        <w:t>Bibliografía utilizada</w:t>
      </w:r>
    </w:p>
    <w:p w14:paraId="5E52589E" w14:textId="77777777" w:rsidR="009263A7" w:rsidRPr="009263A7" w:rsidRDefault="009263A7" w:rsidP="009263A7">
      <w:pPr>
        <w:spacing w:before="100" w:beforeAutospacing="1" w:after="100" w:afterAutospacing="1" w:line="240" w:lineRule="auto"/>
        <w:outlineLvl w:val="1"/>
        <w:rPr>
          <w:rFonts w:ascii="Times New Roman" w:eastAsia="Times New Roman" w:hAnsi="Times New Roman" w:cs="Times New Roman"/>
          <w:b/>
          <w:bCs/>
          <w:kern w:val="0"/>
          <w:lang w:eastAsia="es-MX"/>
          <w14:ligatures w14:val="none"/>
        </w:rPr>
      </w:pPr>
      <w:r w:rsidRPr="009263A7">
        <w:rPr>
          <w:rFonts w:ascii="Times New Roman" w:eastAsia="Times New Roman" w:hAnsi="Times New Roman" w:cs="Times New Roman"/>
          <w:b/>
          <w:bCs/>
          <w:kern w:val="0"/>
          <w:lang w:eastAsia="es-MX"/>
          <w14:ligatures w14:val="none"/>
        </w:rPr>
        <w:t>Abbate</w:t>
      </w:r>
    </w:p>
    <w:p w14:paraId="6956C70A" w14:textId="77777777" w:rsidR="009263A7" w:rsidRPr="009263A7" w:rsidRDefault="009263A7"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Abbate, M. (2019). </w:t>
      </w:r>
      <w:r w:rsidRPr="009263A7">
        <w:rPr>
          <w:rFonts w:ascii="Times New Roman" w:eastAsia="Times New Roman" w:hAnsi="Times New Roman" w:cs="Times New Roman"/>
          <w:i/>
          <w:iCs/>
          <w:kern w:val="0"/>
          <w:lang w:eastAsia="es-MX"/>
          <w14:ligatures w14:val="none"/>
        </w:rPr>
        <w:t>Las revolucionarias de 1789</w:t>
      </w:r>
      <w:r w:rsidRPr="009263A7">
        <w:rPr>
          <w:rFonts w:ascii="Times New Roman" w:eastAsia="Times New Roman" w:hAnsi="Times New Roman" w:cs="Times New Roman"/>
          <w:kern w:val="0"/>
          <w:lang w:eastAsia="es-MX"/>
          <w14:ligatures w14:val="none"/>
        </w:rPr>
        <w:t xml:space="preserve">. Buenos Aires: Ediciones </w:t>
      </w:r>
      <w:proofErr w:type="spellStart"/>
      <w:r w:rsidRPr="009263A7">
        <w:rPr>
          <w:rFonts w:ascii="Times New Roman" w:eastAsia="Times New Roman" w:hAnsi="Times New Roman" w:cs="Times New Roman"/>
          <w:kern w:val="0"/>
          <w:lang w:eastAsia="es-MX"/>
          <w14:ligatures w14:val="none"/>
        </w:rPr>
        <w:t>RyR</w:t>
      </w:r>
      <w:proofErr w:type="spellEnd"/>
      <w:r w:rsidRPr="009263A7">
        <w:rPr>
          <w:rFonts w:ascii="Times New Roman" w:eastAsia="Times New Roman" w:hAnsi="Times New Roman" w:cs="Times New Roman"/>
          <w:kern w:val="0"/>
          <w:lang w:eastAsia="es-MX"/>
          <w14:ligatures w14:val="none"/>
        </w:rPr>
        <w:t>.</w:t>
      </w:r>
    </w:p>
    <w:p w14:paraId="5338FDDB" w14:textId="77777777" w:rsidR="009263A7" w:rsidRPr="009263A7" w:rsidRDefault="009263A7" w:rsidP="009263A7">
      <w:pPr>
        <w:spacing w:before="100" w:beforeAutospacing="1" w:after="100" w:afterAutospacing="1" w:line="240" w:lineRule="auto"/>
        <w:outlineLvl w:val="1"/>
        <w:rPr>
          <w:rFonts w:ascii="Times New Roman" w:eastAsia="Times New Roman" w:hAnsi="Times New Roman" w:cs="Times New Roman"/>
          <w:b/>
          <w:bCs/>
          <w:kern w:val="0"/>
          <w:lang w:eastAsia="es-MX"/>
          <w14:ligatures w14:val="none"/>
        </w:rPr>
      </w:pPr>
      <w:r w:rsidRPr="009263A7">
        <w:rPr>
          <w:rFonts w:ascii="Times New Roman" w:eastAsia="Times New Roman" w:hAnsi="Times New Roman" w:cs="Times New Roman"/>
          <w:b/>
          <w:bCs/>
          <w:kern w:val="0"/>
          <w:lang w:eastAsia="es-MX"/>
          <w14:ligatures w14:val="none"/>
        </w:rPr>
        <w:t>Beauvoir</w:t>
      </w:r>
    </w:p>
    <w:p w14:paraId="71492B74" w14:textId="77777777" w:rsidR="009263A7" w:rsidRPr="009263A7" w:rsidRDefault="009263A7"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De Beauvoir, S. (2005). </w:t>
      </w:r>
      <w:r w:rsidRPr="009263A7">
        <w:rPr>
          <w:rFonts w:ascii="Times New Roman" w:eastAsia="Times New Roman" w:hAnsi="Times New Roman" w:cs="Times New Roman"/>
          <w:i/>
          <w:iCs/>
          <w:kern w:val="0"/>
          <w:lang w:eastAsia="es-MX"/>
          <w14:ligatures w14:val="none"/>
        </w:rPr>
        <w:t>La madre</w:t>
      </w:r>
      <w:r w:rsidRPr="009263A7">
        <w:rPr>
          <w:rFonts w:ascii="Times New Roman" w:eastAsia="Times New Roman" w:hAnsi="Times New Roman" w:cs="Times New Roman"/>
          <w:kern w:val="0"/>
          <w:lang w:eastAsia="es-MX"/>
          <w14:ligatures w14:val="none"/>
        </w:rPr>
        <w:t xml:space="preserve">. En </w:t>
      </w:r>
      <w:r w:rsidRPr="009263A7">
        <w:rPr>
          <w:rFonts w:ascii="Times New Roman" w:eastAsia="Times New Roman" w:hAnsi="Times New Roman" w:cs="Times New Roman"/>
          <w:i/>
          <w:iCs/>
          <w:kern w:val="0"/>
          <w:lang w:eastAsia="es-MX"/>
          <w14:ligatures w14:val="none"/>
        </w:rPr>
        <w:t>El segundo sexo. Volumen II: La experiencia vivida</w:t>
      </w:r>
      <w:r w:rsidRPr="009263A7">
        <w:rPr>
          <w:rFonts w:ascii="Times New Roman" w:eastAsia="Times New Roman" w:hAnsi="Times New Roman" w:cs="Times New Roman"/>
          <w:kern w:val="0"/>
          <w:lang w:eastAsia="es-MX"/>
          <w14:ligatures w14:val="none"/>
        </w:rPr>
        <w:t xml:space="preserve"> (trad. A. P. Urruzola, pp. 673–701 aprox.). Madrid: Cátedra.</w:t>
      </w:r>
    </w:p>
    <w:p w14:paraId="177ED9F4" w14:textId="77777777" w:rsidR="009263A7" w:rsidRPr="009263A7" w:rsidRDefault="009263A7" w:rsidP="009263A7">
      <w:pPr>
        <w:spacing w:before="100" w:beforeAutospacing="1" w:after="100" w:afterAutospacing="1" w:line="240" w:lineRule="auto"/>
        <w:outlineLvl w:val="1"/>
        <w:rPr>
          <w:rFonts w:ascii="Times New Roman" w:eastAsia="Times New Roman" w:hAnsi="Times New Roman" w:cs="Times New Roman"/>
          <w:b/>
          <w:bCs/>
          <w:kern w:val="0"/>
          <w:lang w:eastAsia="es-MX"/>
          <w14:ligatures w14:val="none"/>
        </w:rPr>
      </w:pPr>
      <w:r w:rsidRPr="009263A7">
        <w:rPr>
          <w:rFonts w:ascii="Times New Roman" w:eastAsia="Times New Roman" w:hAnsi="Times New Roman" w:cs="Times New Roman"/>
          <w:b/>
          <w:bCs/>
          <w:kern w:val="0"/>
          <w:lang w:eastAsia="es-MX"/>
          <w14:ligatures w14:val="none"/>
        </w:rPr>
        <w:t>Butler</w:t>
      </w:r>
    </w:p>
    <w:p w14:paraId="088919C5" w14:textId="7EF02947" w:rsidR="00F072A6" w:rsidRDefault="00F072A6"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r w:rsidRPr="00F072A6">
        <w:rPr>
          <w:rFonts w:ascii="Times New Roman" w:eastAsia="Times New Roman" w:hAnsi="Times New Roman" w:cs="Times New Roman"/>
          <w:kern w:val="0"/>
          <w:lang w:eastAsia="es-MX"/>
          <w14:ligatures w14:val="none"/>
        </w:rPr>
        <w:t>Butler, J. (2004). Actos performativos y constitución del género: un ensayo sobre fenomenología y teoría feminista. En C. Figari (Comp.), Antología: Cuerpo, género y performatividad. México: Universidad Nacional Autónoma de México.</w:t>
      </w:r>
    </w:p>
    <w:p w14:paraId="64D6838D" w14:textId="77777777" w:rsidR="005D461A" w:rsidRPr="00F072A6" w:rsidRDefault="005D461A" w:rsidP="005D461A">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Butler, J. (2004). </w:t>
      </w:r>
      <w:r w:rsidRPr="009263A7">
        <w:rPr>
          <w:rFonts w:ascii="Times New Roman" w:eastAsia="Times New Roman" w:hAnsi="Times New Roman" w:cs="Times New Roman"/>
          <w:i/>
          <w:iCs/>
          <w:kern w:val="0"/>
          <w:lang w:eastAsia="es-MX"/>
          <w14:ligatures w14:val="none"/>
        </w:rPr>
        <w:t>Deshacer el género</w:t>
      </w:r>
      <w:r w:rsidRPr="009263A7">
        <w:rPr>
          <w:rFonts w:ascii="Times New Roman" w:eastAsia="Times New Roman" w:hAnsi="Times New Roman" w:cs="Times New Roman"/>
          <w:kern w:val="0"/>
          <w:lang w:eastAsia="es-MX"/>
          <w14:ligatures w14:val="none"/>
        </w:rPr>
        <w:t>. Barcelona: Paidós.</w:t>
      </w:r>
    </w:p>
    <w:p w14:paraId="44F4E873" w14:textId="77777777" w:rsidR="009263A7" w:rsidRPr="009263A7" w:rsidRDefault="009263A7" w:rsidP="009263A7">
      <w:pPr>
        <w:spacing w:before="100" w:beforeAutospacing="1" w:after="100" w:afterAutospacing="1" w:line="240" w:lineRule="auto"/>
        <w:outlineLvl w:val="1"/>
        <w:rPr>
          <w:rFonts w:ascii="Times New Roman" w:eastAsia="Times New Roman" w:hAnsi="Times New Roman" w:cs="Times New Roman"/>
          <w:b/>
          <w:bCs/>
          <w:kern w:val="0"/>
          <w:lang w:eastAsia="es-MX"/>
          <w14:ligatures w14:val="none"/>
        </w:rPr>
      </w:pPr>
      <w:r w:rsidRPr="009263A7">
        <w:rPr>
          <w:rFonts w:ascii="Times New Roman" w:eastAsia="Times New Roman" w:hAnsi="Times New Roman" w:cs="Times New Roman"/>
          <w:b/>
          <w:bCs/>
          <w:kern w:val="0"/>
          <w:lang w:eastAsia="es-MX"/>
          <w14:ligatures w14:val="none"/>
        </w:rPr>
        <w:t>Lauretis</w:t>
      </w:r>
    </w:p>
    <w:p w14:paraId="77B6C896" w14:textId="77777777" w:rsidR="009263A7" w:rsidRPr="009263A7" w:rsidRDefault="009263A7"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Lauretis, T. de (1996). </w:t>
      </w:r>
      <w:r w:rsidRPr="009263A7">
        <w:rPr>
          <w:rFonts w:ascii="Times New Roman" w:eastAsia="Times New Roman" w:hAnsi="Times New Roman" w:cs="Times New Roman"/>
          <w:i/>
          <w:iCs/>
          <w:kern w:val="0"/>
          <w:lang w:eastAsia="es-MX"/>
          <w14:ligatures w14:val="none"/>
        </w:rPr>
        <w:t>La tecnología de género</w:t>
      </w:r>
      <w:r w:rsidRPr="009263A7">
        <w:rPr>
          <w:rFonts w:ascii="Times New Roman" w:eastAsia="Times New Roman" w:hAnsi="Times New Roman" w:cs="Times New Roman"/>
          <w:kern w:val="0"/>
          <w:lang w:eastAsia="es-MX"/>
          <w14:ligatures w14:val="none"/>
        </w:rPr>
        <w:t xml:space="preserve">. En </w:t>
      </w:r>
      <w:r w:rsidRPr="009263A7">
        <w:rPr>
          <w:rFonts w:ascii="Times New Roman" w:eastAsia="Times New Roman" w:hAnsi="Times New Roman" w:cs="Times New Roman"/>
          <w:i/>
          <w:iCs/>
          <w:kern w:val="0"/>
          <w:lang w:eastAsia="es-MX"/>
          <w14:ligatures w14:val="none"/>
        </w:rPr>
        <w:t>Diferencias: etapas de un camino a través del feminismo</w:t>
      </w:r>
      <w:r w:rsidRPr="009263A7">
        <w:rPr>
          <w:rFonts w:ascii="Times New Roman" w:eastAsia="Times New Roman" w:hAnsi="Times New Roman" w:cs="Times New Roman"/>
          <w:kern w:val="0"/>
          <w:lang w:eastAsia="es-MX"/>
          <w14:ligatures w14:val="none"/>
        </w:rPr>
        <w:t xml:space="preserve"> (pp. 1–34 aprox.). Madrid: Horas y HORAS.</w:t>
      </w:r>
    </w:p>
    <w:p w14:paraId="7B606982" w14:textId="77777777" w:rsidR="009263A7" w:rsidRPr="009263A7" w:rsidRDefault="009263A7" w:rsidP="009263A7">
      <w:pPr>
        <w:spacing w:before="100" w:beforeAutospacing="1" w:after="100" w:afterAutospacing="1" w:line="240" w:lineRule="auto"/>
        <w:outlineLvl w:val="1"/>
        <w:rPr>
          <w:rFonts w:ascii="Times New Roman" w:eastAsia="Times New Roman" w:hAnsi="Times New Roman" w:cs="Times New Roman"/>
          <w:b/>
          <w:bCs/>
          <w:kern w:val="0"/>
          <w:lang w:eastAsia="es-MX"/>
          <w14:ligatures w14:val="none"/>
        </w:rPr>
      </w:pPr>
      <w:r w:rsidRPr="009263A7">
        <w:rPr>
          <w:rFonts w:ascii="Times New Roman" w:eastAsia="Times New Roman" w:hAnsi="Times New Roman" w:cs="Times New Roman"/>
          <w:b/>
          <w:bCs/>
          <w:kern w:val="0"/>
          <w:lang w:eastAsia="es-MX"/>
          <w14:ligatures w14:val="none"/>
        </w:rPr>
        <w:t>Rousseau</w:t>
      </w:r>
    </w:p>
    <w:p w14:paraId="2A49BA62" w14:textId="77777777" w:rsidR="009263A7" w:rsidRPr="009263A7" w:rsidRDefault="009263A7"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Rousseau, J.-J. (1762/2004). </w:t>
      </w:r>
      <w:r w:rsidRPr="009263A7">
        <w:rPr>
          <w:rFonts w:ascii="Times New Roman" w:eastAsia="Times New Roman" w:hAnsi="Times New Roman" w:cs="Times New Roman"/>
          <w:i/>
          <w:iCs/>
          <w:kern w:val="0"/>
          <w:lang w:eastAsia="es-MX"/>
          <w14:ligatures w14:val="none"/>
        </w:rPr>
        <w:t>Emilio, o De la educación</w:t>
      </w:r>
      <w:r w:rsidRPr="009263A7">
        <w:rPr>
          <w:rFonts w:ascii="Times New Roman" w:eastAsia="Times New Roman" w:hAnsi="Times New Roman" w:cs="Times New Roman"/>
          <w:kern w:val="0"/>
          <w:lang w:eastAsia="es-MX"/>
          <w14:ligatures w14:val="none"/>
        </w:rPr>
        <w:t>. Madrid: Alianza Editorial.</w:t>
      </w:r>
    </w:p>
    <w:p w14:paraId="2959688C" w14:textId="77777777" w:rsidR="009263A7" w:rsidRPr="009263A7" w:rsidRDefault="009263A7" w:rsidP="009263A7">
      <w:pPr>
        <w:spacing w:before="100" w:beforeAutospacing="1" w:after="100" w:afterAutospacing="1" w:line="240" w:lineRule="auto"/>
        <w:outlineLvl w:val="1"/>
        <w:rPr>
          <w:rFonts w:ascii="Times New Roman" w:eastAsia="Times New Roman" w:hAnsi="Times New Roman" w:cs="Times New Roman"/>
          <w:b/>
          <w:bCs/>
          <w:kern w:val="0"/>
          <w:lang w:eastAsia="es-MX"/>
          <w14:ligatures w14:val="none"/>
        </w:rPr>
      </w:pPr>
      <w:r w:rsidRPr="009263A7">
        <w:rPr>
          <w:rFonts w:ascii="Times New Roman" w:eastAsia="Times New Roman" w:hAnsi="Times New Roman" w:cs="Times New Roman"/>
          <w:b/>
          <w:bCs/>
          <w:kern w:val="0"/>
          <w:lang w:eastAsia="es-MX"/>
          <w14:ligatures w14:val="none"/>
        </w:rPr>
        <w:t>Wittig</w:t>
      </w:r>
    </w:p>
    <w:p w14:paraId="57C62E57" w14:textId="77777777" w:rsidR="009263A7" w:rsidRDefault="009263A7"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Wittig, M. (1981). </w:t>
      </w:r>
      <w:r w:rsidRPr="009263A7">
        <w:rPr>
          <w:rFonts w:ascii="Times New Roman" w:eastAsia="Times New Roman" w:hAnsi="Times New Roman" w:cs="Times New Roman"/>
          <w:i/>
          <w:iCs/>
          <w:kern w:val="0"/>
          <w:lang w:eastAsia="es-MX"/>
          <w14:ligatures w14:val="none"/>
        </w:rPr>
        <w:t>No se nace mujer</w:t>
      </w:r>
      <w:r w:rsidRPr="009263A7">
        <w:rPr>
          <w:rFonts w:ascii="Times New Roman" w:eastAsia="Times New Roman" w:hAnsi="Times New Roman" w:cs="Times New Roman"/>
          <w:kern w:val="0"/>
          <w:lang w:eastAsia="es-MX"/>
          <w14:ligatures w14:val="none"/>
        </w:rPr>
        <w:t xml:space="preserve">. En </w:t>
      </w:r>
      <w:r w:rsidRPr="009263A7">
        <w:rPr>
          <w:rFonts w:ascii="Times New Roman" w:eastAsia="Times New Roman" w:hAnsi="Times New Roman" w:cs="Times New Roman"/>
          <w:i/>
          <w:iCs/>
          <w:kern w:val="0"/>
          <w:lang w:eastAsia="es-MX"/>
          <w14:ligatures w14:val="none"/>
        </w:rPr>
        <w:t>El pensamiento heterosexual y otros ensayos</w:t>
      </w:r>
      <w:r w:rsidRPr="009263A7">
        <w:rPr>
          <w:rFonts w:ascii="Times New Roman" w:eastAsia="Times New Roman" w:hAnsi="Times New Roman" w:cs="Times New Roman"/>
          <w:kern w:val="0"/>
          <w:lang w:eastAsia="es-MX"/>
          <w14:ligatures w14:val="none"/>
        </w:rPr>
        <w:t xml:space="preserve"> (pp. 31–42). Barcelona: Egales.</w:t>
      </w:r>
    </w:p>
    <w:p w14:paraId="734A7369" w14:textId="77777777" w:rsidR="00B93878" w:rsidRPr="009263A7" w:rsidRDefault="00B93878" w:rsidP="00B9387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263A7">
        <w:rPr>
          <w:rFonts w:ascii="Times New Roman" w:eastAsia="Times New Roman" w:hAnsi="Times New Roman" w:cs="Times New Roman"/>
          <w:kern w:val="0"/>
          <w:lang w:eastAsia="es-MX"/>
          <w14:ligatures w14:val="none"/>
        </w:rPr>
        <w:t xml:space="preserve">Wittig, M. (1982/1976). </w:t>
      </w:r>
      <w:r w:rsidRPr="009263A7">
        <w:rPr>
          <w:rFonts w:ascii="Times New Roman" w:eastAsia="Times New Roman" w:hAnsi="Times New Roman" w:cs="Times New Roman"/>
          <w:i/>
          <w:iCs/>
          <w:kern w:val="0"/>
          <w:lang w:eastAsia="es-MX"/>
          <w14:ligatures w14:val="none"/>
        </w:rPr>
        <w:t>La categoría de sexo</w:t>
      </w:r>
      <w:r w:rsidRPr="009263A7">
        <w:rPr>
          <w:rFonts w:ascii="Times New Roman" w:eastAsia="Times New Roman" w:hAnsi="Times New Roman" w:cs="Times New Roman"/>
          <w:kern w:val="0"/>
          <w:lang w:eastAsia="es-MX"/>
          <w14:ligatures w14:val="none"/>
        </w:rPr>
        <w:t xml:space="preserve">. En </w:t>
      </w:r>
      <w:r w:rsidRPr="009263A7">
        <w:rPr>
          <w:rFonts w:ascii="Times New Roman" w:eastAsia="Times New Roman" w:hAnsi="Times New Roman" w:cs="Times New Roman"/>
          <w:i/>
          <w:iCs/>
          <w:kern w:val="0"/>
          <w:lang w:eastAsia="es-MX"/>
          <w14:ligatures w14:val="none"/>
        </w:rPr>
        <w:t>El pensamiento heterosexual y otros ensayos</w:t>
      </w:r>
      <w:r w:rsidRPr="009263A7">
        <w:rPr>
          <w:rFonts w:ascii="Times New Roman" w:eastAsia="Times New Roman" w:hAnsi="Times New Roman" w:cs="Times New Roman"/>
          <w:kern w:val="0"/>
          <w:lang w:eastAsia="es-MX"/>
          <w14:ligatures w14:val="none"/>
        </w:rPr>
        <w:t xml:space="preserve"> (pp. 21–29). Barcelona: Egales.</w:t>
      </w:r>
    </w:p>
    <w:p w14:paraId="42488606" w14:textId="77777777" w:rsidR="00B93878" w:rsidRPr="009263A7" w:rsidRDefault="00B93878" w:rsidP="009263A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1E0E64C" w14:textId="77777777" w:rsidR="00DE4200" w:rsidRPr="005802BE" w:rsidRDefault="00DE4200" w:rsidP="00F072A6">
      <w:pPr>
        <w:spacing w:line="360" w:lineRule="auto"/>
        <w:jc w:val="both"/>
        <w:rPr>
          <w:rFonts w:ascii="Times New Roman" w:hAnsi="Times New Roman" w:cs="Times New Roman"/>
        </w:rPr>
      </w:pPr>
    </w:p>
    <w:sectPr w:rsidR="00DE4200" w:rsidRPr="005802BE" w:rsidSect="00C817F1">
      <w:footerReference w:type="even" r:id="rId7"/>
      <w:footerReference w:type="default" r:id="rId8"/>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0AE08" w14:textId="77777777" w:rsidR="00966EA7" w:rsidRDefault="00966EA7" w:rsidP="005A0F94">
      <w:pPr>
        <w:spacing w:after="0" w:line="240" w:lineRule="auto"/>
      </w:pPr>
      <w:r>
        <w:separator/>
      </w:r>
    </w:p>
  </w:endnote>
  <w:endnote w:type="continuationSeparator" w:id="0">
    <w:p w14:paraId="32E19BB0" w14:textId="77777777" w:rsidR="00966EA7" w:rsidRDefault="00966EA7"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6609136"/>
      <w:docPartObj>
        <w:docPartGallery w:val="Page Numbers (Bottom of Page)"/>
        <w:docPartUnique/>
      </w:docPartObj>
    </w:sdtPr>
    <w:sdtContent>
      <w:p w14:paraId="5AC551D0" w14:textId="77777777" w:rsidR="005A0F94" w:rsidRDefault="005A0F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E06DAE" w14:textId="77777777" w:rsidR="005A0F94" w:rsidRDefault="005A0F94" w:rsidP="005A0F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703148185"/>
      <w:docPartObj>
        <w:docPartGallery w:val="Page Numbers (Bottom of Page)"/>
        <w:docPartUnique/>
      </w:docPartObj>
    </w:sdtPr>
    <w:sdtContent>
      <w:p w14:paraId="43095BA2" w14:textId="77777777" w:rsidR="005A0F94" w:rsidRPr="005A0F94" w:rsidRDefault="005A0F94">
        <w:pPr>
          <w:pStyle w:val="Footer"/>
          <w:framePr w:wrap="none" w:vAnchor="text" w:hAnchor="margin" w:xAlign="right" w:y="1"/>
          <w:rPr>
            <w:rStyle w:val="PageNumber"/>
            <w:sz w:val="20"/>
            <w:szCs w:val="20"/>
          </w:rPr>
        </w:pPr>
        <w:r w:rsidRPr="005A0F94">
          <w:rPr>
            <w:rStyle w:val="PageNumber"/>
            <w:sz w:val="20"/>
            <w:szCs w:val="20"/>
          </w:rPr>
          <w:fldChar w:fldCharType="begin"/>
        </w:r>
        <w:r w:rsidRPr="005A0F94">
          <w:rPr>
            <w:rStyle w:val="PageNumber"/>
            <w:sz w:val="20"/>
            <w:szCs w:val="20"/>
          </w:rPr>
          <w:instrText xml:space="preserve"> PAGE </w:instrText>
        </w:r>
        <w:r w:rsidRPr="005A0F94">
          <w:rPr>
            <w:rStyle w:val="PageNumber"/>
            <w:sz w:val="20"/>
            <w:szCs w:val="20"/>
          </w:rPr>
          <w:fldChar w:fldCharType="separate"/>
        </w:r>
        <w:r w:rsidRPr="005A0F94">
          <w:rPr>
            <w:rStyle w:val="PageNumber"/>
            <w:noProof/>
            <w:sz w:val="20"/>
            <w:szCs w:val="20"/>
          </w:rPr>
          <w:t>1</w:t>
        </w:r>
        <w:r w:rsidRPr="005A0F94">
          <w:rPr>
            <w:rStyle w:val="PageNumber"/>
            <w:sz w:val="20"/>
            <w:szCs w:val="20"/>
          </w:rPr>
          <w:fldChar w:fldCharType="end"/>
        </w:r>
      </w:p>
    </w:sdtContent>
  </w:sdt>
  <w:p w14:paraId="590D32D6" w14:textId="77777777" w:rsidR="005A0F94" w:rsidRPr="005A0F94" w:rsidRDefault="005A0F94" w:rsidP="005A0F94">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677B" w14:textId="77777777" w:rsidR="00966EA7" w:rsidRDefault="00966EA7" w:rsidP="005A0F94">
      <w:pPr>
        <w:spacing w:after="0" w:line="240" w:lineRule="auto"/>
      </w:pPr>
      <w:r>
        <w:separator/>
      </w:r>
    </w:p>
  </w:footnote>
  <w:footnote w:type="continuationSeparator" w:id="0">
    <w:p w14:paraId="479B6CD6" w14:textId="77777777" w:rsidR="00966EA7" w:rsidRDefault="00966EA7" w:rsidP="005A0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C75142F"/>
    <w:multiLevelType w:val="multilevel"/>
    <w:tmpl w:val="09B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74F60"/>
    <w:multiLevelType w:val="multilevel"/>
    <w:tmpl w:val="C01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874098">
    <w:abstractNumId w:val="2"/>
  </w:num>
  <w:num w:numId="2" w16cid:durableId="677388121">
    <w:abstractNumId w:val="0"/>
  </w:num>
  <w:num w:numId="3" w16cid:durableId="767776754">
    <w:abstractNumId w:val="1"/>
  </w:num>
  <w:num w:numId="4" w16cid:durableId="1604151185">
    <w:abstractNumId w:val="3"/>
  </w:num>
  <w:num w:numId="5" w16cid:durableId="201944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2C"/>
    <w:rsid w:val="00027261"/>
    <w:rsid w:val="00033E4F"/>
    <w:rsid w:val="00044201"/>
    <w:rsid w:val="00056470"/>
    <w:rsid w:val="00086645"/>
    <w:rsid w:val="00097F92"/>
    <w:rsid w:val="000A2C73"/>
    <w:rsid w:val="000C5759"/>
    <w:rsid w:val="000D0F61"/>
    <w:rsid w:val="001006A3"/>
    <w:rsid w:val="00135AF5"/>
    <w:rsid w:val="001976C8"/>
    <w:rsid w:val="001A7A00"/>
    <w:rsid w:val="001B6E3A"/>
    <w:rsid w:val="001D0E6A"/>
    <w:rsid w:val="001F540C"/>
    <w:rsid w:val="00217E76"/>
    <w:rsid w:val="00233499"/>
    <w:rsid w:val="00241569"/>
    <w:rsid w:val="00290C0A"/>
    <w:rsid w:val="00310876"/>
    <w:rsid w:val="00352B32"/>
    <w:rsid w:val="00384E20"/>
    <w:rsid w:val="00397E13"/>
    <w:rsid w:val="003A1573"/>
    <w:rsid w:val="003A497F"/>
    <w:rsid w:val="003C7402"/>
    <w:rsid w:val="003D0C38"/>
    <w:rsid w:val="003F02B7"/>
    <w:rsid w:val="00403207"/>
    <w:rsid w:val="00462459"/>
    <w:rsid w:val="004815FA"/>
    <w:rsid w:val="004B1EF3"/>
    <w:rsid w:val="004E37BB"/>
    <w:rsid w:val="004F2122"/>
    <w:rsid w:val="00570539"/>
    <w:rsid w:val="0057642F"/>
    <w:rsid w:val="005802BE"/>
    <w:rsid w:val="00581A0B"/>
    <w:rsid w:val="0058527A"/>
    <w:rsid w:val="0059111E"/>
    <w:rsid w:val="005A0F94"/>
    <w:rsid w:val="005C4EC6"/>
    <w:rsid w:val="005D461A"/>
    <w:rsid w:val="00640590"/>
    <w:rsid w:val="006537FA"/>
    <w:rsid w:val="006577FC"/>
    <w:rsid w:val="007212A7"/>
    <w:rsid w:val="00747018"/>
    <w:rsid w:val="0076368D"/>
    <w:rsid w:val="007E0BDF"/>
    <w:rsid w:val="007E54E0"/>
    <w:rsid w:val="007E6C37"/>
    <w:rsid w:val="00820A75"/>
    <w:rsid w:val="00841ABB"/>
    <w:rsid w:val="0085446E"/>
    <w:rsid w:val="008571D7"/>
    <w:rsid w:val="0086050C"/>
    <w:rsid w:val="00866B2E"/>
    <w:rsid w:val="008B1076"/>
    <w:rsid w:val="008E1042"/>
    <w:rsid w:val="008F10B3"/>
    <w:rsid w:val="009263A7"/>
    <w:rsid w:val="00926C2C"/>
    <w:rsid w:val="00966EA7"/>
    <w:rsid w:val="00966FFF"/>
    <w:rsid w:val="00981216"/>
    <w:rsid w:val="00987D6C"/>
    <w:rsid w:val="009A6400"/>
    <w:rsid w:val="009D35C2"/>
    <w:rsid w:val="00A04DA2"/>
    <w:rsid w:val="00A13CC0"/>
    <w:rsid w:val="00A37328"/>
    <w:rsid w:val="00A41C59"/>
    <w:rsid w:val="00A568E8"/>
    <w:rsid w:val="00A70E26"/>
    <w:rsid w:val="00A80EFF"/>
    <w:rsid w:val="00A82B66"/>
    <w:rsid w:val="00A95499"/>
    <w:rsid w:val="00AA3130"/>
    <w:rsid w:val="00AB5F32"/>
    <w:rsid w:val="00B058F0"/>
    <w:rsid w:val="00B14B38"/>
    <w:rsid w:val="00B20B9E"/>
    <w:rsid w:val="00B52796"/>
    <w:rsid w:val="00B7432D"/>
    <w:rsid w:val="00B93878"/>
    <w:rsid w:val="00B95FFC"/>
    <w:rsid w:val="00BD44E4"/>
    <w:rsid w:val="00BD73ED"/>
    <w:rsid w:val="00C75FA5"/>
    <w:rsid w:val="00C8036F"/>
    <w:rsid w:val="00C817F1"/>
    <w:rsid w:val="00C83850"/>
    <w:rsid w:val="00C85798"/>
    <w:rsid w:val="00CF3CD4"/>
    <w:rsid w:val="00D06E6E"/>
    <w:rsid w:val="00D46EC9"/>
    <w:rsid w:val="00D930A9"/>
    <w:rsid w:val="00DE4200"/>
    <w:rsid w:val="00E17FB2"/>
    <w:rsid w:val="00E756AB"/>
    <w:rsid w:val="00E75887"/>
    <w:rsid w:val="00E85A9C"/>
    <w:rsid w:val="00E92ECB"/>
    <w:rsid w:val="00E961A4"/>
    <w:rsid w:val="00EA3521"/>
    <w:rsid w:val="00EF00F9"/>
    <w:rsid w:val="00EF033E"/>
    <w:rsid w:val="00F072A6"/>
    <w:rsid w:val="00F17DE4"/>
    <w:rsid w:val="00F218C5"/>
    <w:rsid w:val="00F273CC"/>
    <w:rsid w:val="00F54263"/>
    <w:rsid w:val="00F64F2C"/>
    <w:rsid w:val="00F83424"/>
    <w:rsid w:val="00F948C9"/>
    <w:rsid w:val="00F954A2"/>
    <w:rsid w:val="00FB60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CE41"/>
  <w15:chartTrackingRefBased/>
  <w15:docId w15:val="{BA423D18-6CBF-45DD-8DE9-24C4C28D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FFC"/>
  </w:style>
  <w:style w:type="paragraph" w:styleId="Heading1">
    <w:name w:val="heading 1"/>
    <w:basedOn w:val="Normal"/>
    <w:next w:val="Normal"/>
    <w:link w:val="Heading1Ch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F94"/>
    <w:rPr>
      <w:rFonts w:eastAsiaTheme="majorEastAsia" w:cstheme="majorBidi"/>
      <w:color w:val="272727" w:themeColor="text1" w:themeTint="D8"/>
    </w:rPr>
  </w:style>
  <w:style w:type="paragraph" w:styleId="Title">
    <w:name w:val="Title"/>
    <w:basedOn w:val="Normal"/>
    <w:next w:val="Normal"/>
    <w:link w:val="TitleCh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F94"/>
    <w:pPr>
      <w:spacing w:before="160"/>
      <w:jc w:val="center"/>
    </w:pPr>
    <w:rPr>
      <w:i/>
      <w:iCs/>
      <w:color w:val="404040" w:themeColor="text1" w:themeTint="BF"/>
    </w:rPr>
  </w:style>
  <w:style w:type="character" w:customStyle="1" w:styleId="QuoteChar">
    <w:name w:val="Quote Char"/>
    <w:basedOn w:val="DefaultParagraphFont"/>
    <w:link w:val="Quote"/>
    <w:uiPriority w:val="29"/>
    <w:rsid w:val="005A0F94"/>
    <w:rPr>
      <w:i/>
      <w:iCs/>
      <w:color w:val="404040" w:themeColor="text1" w:themeTint="BF"/>
    </w:rPr>
  </w:style>
  <w:style w:type="paragraph" w:styleId="ListParagraph">
    <w:name w:val="List Paragraph"/>
    <w:basedOn w:val="Normal"/>
    <w:uiPriority w:val="34"/>
    <w:qFormat/>
    <w:rsid w:val="005A0F94"/>
    <w:pPr>
      <w:ind w:left="720"/>
      <w:contextualSpacing/>
    </w:pPr>
  </w:style>
  <w:style w:type="character" w:styleId="IntenseEmphasis">
    <w:name w:val="Intense Emphasis"/>
    <w:basedOn w:val="DefaultParagraphFont"/>
    <w:uiPriority w:val="21"/>
    <w:qFormat/>
    <w:rsid w:val="005A0F94"/>
    <w:rPr>
      <w:i/>
      <w:iCs/>
      <w:color w:val="0F4761" w:themeColor="accent1" w:themeShade="BF"/>
    </w:rPr>
  </w:style>
  <w:style w:type="paragraph" w:styleId="IntenseQuote">
    <w:name w:val="Intense Quote"/>
    <w:basedOn w:val="Normal"/>
    <w:next w:val="Normal"/>
    <w:link w:val="IntenseQuoteCh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F94"/>
    <w:rPr>
      <w:i/>
      <w:iCs/>
      <w:color w:val="0F4761" w:themeColor="accent1" w:themeShade="BF"/>
    </w:rPr>
  </w:style>
  <w:style w:type="character" w:styleId="IntenseReference">
    <w:name w:val="Intense Reference"/>
    <w:basedOn w:val="DefaultParagraphFont"/>
    <w:uiPriority w:val="32"/>
    <w:qFormat/>
    <w:rsid w:val="005A0F94"/>
    <w:rPr>
      <w:b/>
      <w:bCs/>
      <w:smallCaps/>
      <w:color w:val="0F4761" w:themeColor="accent1" w:themeShade="BF"/>
      <w:spacing w:val="5"/>
    </w:rPr>
  </w:style>
  <w:style w:type="paragraph" w:styleId="Header">
    <w:name w:val="header"/>
    <w:basedOn w:val="Normal"/>
    <w:link w:val="HeaderChar"/>
    <w:uiPriority w:val="99"/>
    <w:unhideWhenUsed/>
    <w:rsid w:val="005A0F94"/>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F94"/>
  </w:style>
  <w:style w:type="paragraph" w:styleId="Footer">
    <w:name w:val="footer"/>
    <w:basedOn w:val="Normal"/>
    <w:link w:val="FooterChar"/>
    <w:uiPriority w:val="99"/>
    <w:unhideWhenUsed/>
    <w:rsid w:val="005A0F94"/>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F94"/>
  </w:style>
  <w:style w:type="character" w:styleId="PageNumber">
    <w:name w:val="page number"/>
    <w:basedOn w:val="DefaultParagraphFont"/>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DefaultParagraphFont"/>
    <w:rsid w:val="00086645"/>
  </w:style>
  <w:style w:type="character" w:customStyle="1" w:styleId="s2">
    <w:name w:val="s2"/>
    <w:basedOn w:val="DefaultParagraphFont"/>
    <w:rsid w:val="00086645"/>
  </w:style>
  <w:style w:type="character" w:customStyle="1" w:styleId="apple-converted-space">
    <w:name w:val="apple-converted-space"/>
    <w:basedOn w:val="DefaultParagraphFont"/>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DefaultParagraphFont"/>
    <w:rsid w:val="00086645"/>
  </w:style>
  <w:style w:type="paragraph" w:customStyle="1" w:styleId="p2">
    <w:name w:val="p2"/>
    <w:basedOn w:val="Normal"/>
    <w:rsid w:val="00F954A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4">
    <w:name w:val="p4"/>
    <w:basedOn w:val="Normal"/>
    <w:rsid w:val="000C5759"/>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alimbene\OneDrive%20-%20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76</TotalTime>
  <Pages>1</Pages>
  <Words>3134</Words>
  <Characters>17869</Characters>
  <Application>Microsoft Office Word</Application>
  <DocSecurity>4</DocSecurity>
  <Lines>148</Lines>
  <Paragraphs>41</Paragraphs>
  <ScaleCrop>false</ScaleCrop>
  <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Salimbene, Matias</dc:creator>
  <cp:keywords/>
  <dc:description/>
  <cp:lastModifiedBy>Matias Salimbene</cp:lastModifiedBy>
  <cp:revision>116</cp:revision>
  <dcterms:created xsi:type="dcterms:W3CDTF">2025-11-12T01:03:00Z</dcterms:created>
  <dcterms:modified xsi:type="dcterms:W3CDTF">2025-11-14T17:03:00Z</dcterms:modified>
</cp:coreProperties>
</file>