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Lecturas filosóficas sobre la tensión ley divina vs. ley humana en Antígona</w:t>
      </w:r>
    </w:p>
    <w:p>
      <w:pPr>
        <w:pStyle w:val="Heading2"/>
      </w:pPr>
      <w:r>
        <w:t>1. Georg Wilhelm Friedrich Hegel</w:t>
      </w:r>
    </w:p>
    <w:p>
      <w:r>
        <w:t>Obra: *Fenomenología del espíritu* (1807)</w:t>
        <w:br/>
        <w:br/>
        <w:t>Hegel interpreta la tragedia de Antígona como el ejemplo paradigmático del conflicto trágico. Para él, el choque no es entre el bien y el mal, sino entre dos deberes igualmente legítimos pero unilaterales:</w:t>
        <w:br/>
        <w:t>• Antígona representa la ley divina y familiar (lo ético-subjetivo).</w:t>
        <w:br/>
        <w:t>• Creonte representa la ley del Estado (lo ético-objetivo).</w:t>
        <w:br/>
        <w:br/>
        <w:t>La tragedia ocurre porque ambas partes afirman su verdad sin reconocer la del otro, lo que conduce a la destrucción de ambos polos.</w:t>
      </w:r>
    </w:p>
    <w:p>
      <w:pPr>
        <w:pStyle w:val="Heading2"/>
      </w:pPr>
      <w:r>
        <w:t>2. George Steiner</w:t>
      </w:r>
    </w:p>
    <w:p>
      <w:r>
        <w:t>Obra: *Antígonas* (1984)</w:t>
        <w:br/>
        <w:br/>
        <w:t>Steiner analiza cómo la figura de Antígona ha sido interpretada a lo largo de la historia. Ve en ella un símbolo del conflicto eterno entre lo sagrado y lo político, entre conciencia y autoridad. Antígona encarna la resistencia ética, religiosa o existencial frente al poder institucional. Su análisis abarca desde Sófocles hasta las reescrituras modernas, mostrando su relevancia persistente.</w:t>
      </w:r>
    </w:p>
    <w:p>
      <w:pPr>
        <w:pStyle w:val="Heading2"/>
      </w:pPr>
      <w:r>
        <w:t>3. Jacques Lacan</w:t>
      </w:r>
    </w:p>
    <w:p>
      <w:r>
        <w:t>Obra: *Seminario 7: La ética del psicoanálisis* (1959–60)</w:t>
        <w:br/>
        <w:br/>
        <w:t>Lacan lee a Antígona desde la ética del deseo. Para él, Antígona no actúa en nombre de una ley moral universal, sino de una posición subjetiva absoluta. Ella encarna la belleza y el horror de quien va hasta el final con su deseo. Su acto no es moral ni político, sino ético en un sentido radical: no cede ante el Otro, ni ante el poder.</w:t>
        <w:br/>
        <w:br/>
        <w:t>En esta lectura, la ley divina puede leerse como un nombre del deseo que no acepta transacción, en contraste con la ley del Estado que busca equilibrio social.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