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F61" w:rsidRPr="00BD4EB6" w:rsidRDefault="003B1943">
      <w:pPr>
        <w:rPr>
          <w:b/>
          <w:sz w:val="20"/>
          <w:szCs w:val="20"/>
        </w:rPr>
      </w:pPr>
      <w:r>
        <w:rPr>
          <w:b/>
          <w:sz w:val="20"/>
          <w:szCs w:val="20"/>
        </w:rPr>
        <w:t xml:space="preserve">                                                                    </w:t>
      </w:r>
      <w:proofErr w:type="gramStart"/>
      <w:r w:rsidR="00372F61" w:rsidRPr="00BD4EB6">
        <w:rPr>
          <w:b/>
          <w:sz w:val="20"/>
          <w:szCs w:val="20"/>
        </w:rPr>
        <w:t>Derrida ,</w:t>
      </w:r>
      <w:proofErr w:type="gramEnd"/>
      <w:r w:rsidR="00372F61" w:rsidRPr="00BD4EB6">
        <w:rPr>
          <w:b/>
          <w:sz w:val="20"/>
          <w:szCs w:val="20"/>
        </w:rPr>
        <w:t xml:space="preserve"> </w:t>
      </w:r>
      <w:r w:rsidR="00372F61" w:rsidRPr="00BD4EB6">
        <w:rPr>
          <w:b/>
          <w:i/>
          <w:sz w:val="20"/>
          <w:szCs w:val="20"/>
        </w:rPr>
        <w:t>Márgenes de la filosofía</w:t>
      </w:r>
      <w:r w:rsidR="00372F61" w:rsidRPr="00BD4EB6">
        <w:rPr>
          <w:b/>
          <w:sz w:val="20"/>
          <w:szCs w:val="20"/>
        </w:rPr>
        <w:t xml:space="preserve"> ,  pg.173.</w:t>
      </w:r>
    </w:p>
    <w:p w:rsidR="003B1943" w:rsidRDefault="003B1943">
      <w:pPr>
        <w:rPr>
          <w:sz w:val="20"/>
          <w:szCs w:val="20"/>
        </w:rPr>
      </w:pPr>
    </w:p>
    <w:p w:rsidR="003B1943" w:rsidRDefault="00372F61" w:rsidP="003B1943">
      <w:pPr>
        <w:ind w:firstLine="708"/>
        <w:rPr>
          <w:sz w:val="32"/>
          <w:szCs w:val="32"/>
        </w:rPr>
      </w:pPr>
      <w:r w:rsidRPr="003B1943">
        <w:rPr>
          <w:sz w:val="32"/>
          <w:szCs w:val="32"/>
        </w:rPr>
        <w:t xml:space="preserve">Una sacudida radical no puede venir más que de afuera. </w:t>
      </w:r>
    </w:p>
    <w:p w:rsidR="003B1943" w:rsidRDefault="003B1943" w:rsidP="003B1943">
      <w:pPr>
        <w:ind w:firstLine="708"/>
        <w:rPr>
          <w:b/>
          <w:sz w:val="32"/>
          <w:szCs w:val="32"/>
        </w:rPr>
      </w:pPr>
      <w:r>
        <w:rPr>
          <w:sz w:val="32"/>
          <w:szCs w:val="32"/>
        </w:rPr>
        <w:t xml:space="preserve">(…) </w:t>
      </w:r>
      <w:r w:rsidR="00372F61" w:rsidRPr="003B1943">
        <w:rPr>
          <w:sz w:val="32"/>
          <w:szCs w:val="32"/>
        </w:rPr>
        <w:t xml:space="preserve">Esta sacudida se desarrolla en la relación violenta del todo del Occidente con su otro, ya se trate de una relación lingüística (donde se plantea inmediatamente la pregunta de los límites de todo lo que reconduce a la cuestión del sentido del ser), o ya se trate de relaciones etnológicas, económicas, políticas, militares, etc. </w:t>
      </w:r>
      <w:r>
        <w:rPr>
          <w:sz w:val="32"/>
          <w:szCs w:val="32"/>
        </w:rPr>
        <w:t xml:space="preserve">(…) </w:t>
      </w:r>
      <w:r w:rsidR="00372F61" w:rsidRPr="003B1943">
        <w:rPr>
          <w:b/>
          <w:sz w:val="32"/>
          <w:szCs w:val="32"/>
        </w:rPr>
        <w:t xml:space="preserve">La fuerza y la eficacia del sistema, precisamente, transforman regularmente las transgresiones en «salidas falsas». </w:t>
      </w:r>
    </w:p>
    <w:p w:rsidR="00372F61" w:rsidRPr="003B1943" w:rsidRDefault="00372F61" w:rsidP="003B1943">
      <w:pPr>
        <w:ind w:firstLine="708"/>
        <w:rPr>
          <w:sz w:val="32"/>
          <w:szCs w:val="32"/>
        </w:rPr>
      </w:pPr>
      <w:r w:rsidRPr="003B1943">
        <w:rPr>
          <w:sz w:val="32"/>
          <w:szCs w:val="32"/>
        </w:rPr>
        <w:t xml:space="preserve">Teniendo en cuenta estos efectos de sistema, no tenemos, desde el adentro donde «estamos nosotros», más que </w:t>
      </w:r>
      <w:r w:rsidRPr="003B1943">
        <w:rPr>
          <w:b/>
          <w:sz w:val="32"/>
          <w:szCs w:val="32"/>
        </w:rPr>
        <w:t>la elección entre dos estrategias</w:t>
      </w:r>
      <w:r w:rsidRPr="003B1943">
        <w:rPr>
          <w:sz w:val="32"/>
          <w:szCs w:val="32"/>
        </w:rPr>
        <w:t xml:space="preserve">: </w:t>
      </w:r>
    </w:p>
    <w:p w:rsidR="00372F61" w:rsidRDefault="00372F61">
      <w:pPr>
        <w:rPr>
          <w:b/>
          <w:sz w:val="32"/>
          <w:szCs w:val="32"/>
        </w:rPr>
      </w:pPr>
    </w:p>
    <w:p w:rsidR="003B1943" w:rsidRPr="003B1943" w:rsidRDefault="003B1943">
      <w:pPr>
        <w:rPr>
          <w:b/>
          <w:sz w:val="32"/>
          <w:szCs w:val="32"/>
        </w:rPr>
      </w:pPr>
    </w:p>
    <w:p w:rsidR="00372F61" w:rsidRDefault="00372F61">
      <w:pPr>
        <w:rPr>
          <w:b/>
          <w:sz w:val="32"/>
          <w:szCs w:val="32"/>
        </w:rPr>
      </w:pPr>
      <w:r w:rsidRPr="003B1943">
        <w:rPr>
          <w:b/>
          <w:sz w:val="32"/>
          <w:szCs w:val="32"/>
        </w:rPr>
        <w:t xml:space="preserve">1) Intentar la salida y la deconstrucción sin cambiar de terreno, repitiendo lo implícito de los conceptos fundadores y de la problemática original, utilizando contra el edificio los instrumentos o las piedras disponibles en la casa, es decir, también en la lengua. El riesgo aquí es confirmar, consolidar, o relevar sin cesar en una profundidad siempre más segura aquello mismo que se pretende deconstruir. La explicitación </w:t>
      </w:r>
      <w:bookmarkStart w:id="0" w:name="_GoBack"/>
      <w:bookmarkEnd w:id="0"/>
      <w:r w:rsidR="000E50AC" w:rsidRPr="003B1943">
        <w:rPr>
          <w:b/>
          <w:sz w:val="32"/>
          <w:szCs w:val="32"/>
        </w:rPr>
        <w:t>con</w:t>
      </w:r>
      <w:r w:rsidR="000E50AC">
        <w:rPr>
          <w:b/>
          <w:sz w:val="32"/>
          <w:szCs w:val="32"/>
        </w:rPr>
        <w:t>ti</w:t>
      </w:r>
      <w:r w:rsidR="000E50AC" w:rsidRPr="003B1943">
        <w:rPr>
          <w:b/>
          <w:sz w:val="32"/>
          <w:szCs w:val="32"/>
        </w:rPr>
        <w:t>nua</w:t>
      </w:r>
      <w:r w:rsidRPr="003B1943">
        <w:rPr>
          <w:b/>
          <w:sz w:val="32"/>
          <w:szCs w:val="32"/>
        </w:rPr>
        <w:t xml:space="preserve"> hacia la apertura corre el riesgo de hundirse en el autismo del cierre. </w:t>
      </w:r>
    </w:p>
    <w:p w:rsidR="003B1943" w:rsidRPr="003B1943" w:rsidRDefault="003B1943">
      <w:pPr>
        <w:rPr>
          <w:b/>
          <w:sz w:val="32"/>
          <w:szCs w:val="32"/>
        </w:rPr>
      </w:pPr>
    </w:p>
    <w:p w:rsidR="00372F61" w:rsidRPr="003B1943" w:rsidRDefault="00372F61">
      <w:pPr>
        <w:rPr>
          <w:b/>
          <w:sz w:val="32"/>
          <w:szCs w:val="32"/>
        </w:rPr>
      </w:pPr>
    </w:p>
    <w:p w:rsidR="00372F61" w:rsidRPr="003B1943" w:rsidRDefault="00372F61">
      <w:pPr>
        <w:rPr>
          <w:sz w:val="32"/>
          <w:szCs w:val="32"/>
        </w:rPr>
      </w:pPr>
      <w:r w:rsidRPr="003B1943">
        <w:rPr>
          <w:b/>
          <w:sz w:val="32"/>
          <w:szCs w:val="32"/>
        </w:rPr>
        <w:t xml:space="preserve">2) Decidir cambiar de terreno, de manera discontinua e </w:t>
      </w:r>
      <w:proofErr w:type="spellStart"/>
      <w:r w:rsidRPr="003B1943">
        <w:rPr>
          <w:b/>
          <w:sz w:val="32"/>
          <w:szCs w:val="32"/>
        </w:rPr>
        <w:t>irruptiva</w:t>
      </w:r>
      <w:proofErr w:type="spellEnd"/>
      <w:r w:rsidRPr="003B1943">
        <w:rPr>
          <w:b/>
          <w:sz w:val="32"/>
          <w:szCs w:val="32"/>
        </w:rPr>
        <w:t>, instalándose brutalmente fuera y afirmando la ruptura y la diferencia absolutas</w:t>
      </w:r>
      <w:r w:rsidR="003B1943">
        <w:rPr>
          <w:b/>
          <w:sz w:val="32"/>
          <w:szCs w:val="32"/>
        </w:rPr>
        <w:t xml:space="preserve"> (…) </w:t>
      </w:r>
      <w:r w:rsidRPr="003B1943">
        <w:rPr>
          <w:b/>
          <w:sz w:val="32"/>
          <w:szCs w:val="32"/>
        </w:rPr>
        <w:t>habitando más ingenuamente, más estrechamente que nunca el adentro que se declara desertar, la simple práctica de la lengua reinstala sin cesar el «nuevo» terreno sobre el más viejo suelo. Se podría mostrar sobre ejemplos numerosos y precisos los efectos de una reinstalación semejante o de una ceguera como esa.</w:t>
      </w:r>
      <w:r w:rsidRPr="003B1943">
        <w:rPr>
          <w:sz w:val="32"/>
          <w:szCs w:val="32"/>
        </w:rPr>
        <w:t xml:space="preserve"> </w:t>
      </w:r>
    </w:p>
    <w:p w:rsidR="00372F61" w:rsidRDefault="00372F61">
      <w:pPr>
        <w:rPr>
          <w:sz w:val="32"/>
          <w:szCs w:val="32"/>
        </w:rPr>
      </w:pPr>
    </w:p>
    <w:p w:rsidR="003B1943" w:rsidRDefault="003B1943">
      <w:pPr>
        <w:rPr>
          <w:sz w:val="32"/>
          <w:szCs w:val="32"/>
        </w:rPr>
      </w:pPr>
    </w:p>
    <w:p w:rsidR="003B1943" w:rsidRPr="003B1943" w:rsidRDefault="003B1943">
      <w:pPr>
        <w:rPr>
          <w:sz w:val="32"/>
          <w:szCs w:val="32"/>
        </w:rPr>
      </w:pPr>
    </w:p>
    <w:p w:rsidR="003B1943" w:rsidRDefault="00372F61" w:rsidP="003B1943">
      <w:pPr>
        <w:ind w:firstLine="708"/>
        <w:rPr>
          <w:sz w:val="32"/>
          <w:szCs w:val="32"/>
        </w:rPr>
      </w:pPr>
      <w:r w:rsidRPr="003B1943">
        <w:rPr>
          <w:sz w:val="32"/>
          <w:szCs w:val="32"/>
        </w:rPr>
        <w:t xml:space="preserve">Es evidente que estos efectos no bastan para anular la necesidad de un «cambio de terreno». Es evidente también que entre </w:t>
      </w:r>
      <w:r w:rsidRPr="003B1943">
        <w:rPr>
          <w:b/>
          <w:sz w:val="32"/>
          <w:szCs w:val="32"/>
        </w:rPr>
        <w:t>estas dos formas de deconstrucción</w:t>
      </w:r>
      <w:r w:rsidRPr="003B1943">
        <w:rPr>
          <w:sz w:val="32"/>
          <w:szCs w:val="32"/>
        </w:rPr>
        <w:t xml:space="preserve"> la elección no puede ser simple y única. Una nueva escritura debe tejer y entrelazar los dos motivos. Lo que viene a decir de nuevo que es necesario hablar varias lenguas y producir varios textos a la vez. </w:t>
      </w:r>
    </w:p>
    <w:p w:rsidR="00372F61" w:rsidRPr="003B1943" w:rsidRDefault="00372F61" w:rsidP="003B1943">
      <w:pPr>
        <w:ind w:firstLine="708"/>
        <w:rPr>
          <w:sz w:val="32"/>
          <w:szCs w:val="32"/>
        </w:rPr>
      </w:pPr>
      <w:r w:rsidRPr="003B1943">
        <w:rPr>
          <w:sz w:val="32"/>
          <w:szCs w:val="32"/>
        </w:rPr>
        <w:t>Quería sobre todo señalar que el estilo de la primera deconstrucción es más bien el de las cuestiones heideggerianas, el otro es más bien el que domina en Francia actualment</w:t>
      </w:r>
      <w:r w:rsidR="003B1943">
        <w:rPr>
          <w:sz w:val="32"/>
          <w:szCs w:val="32"/>
        </w:rPr>
        <w:t xml:space="preserve">e (…) </w:t>
      </w:r>
      <w:r w:rsidRPr="003B1943">
        <w:rPr>
          <w:sz w:val="32"/>
          <w:szCs w:val="32"/>
        </w:rPr>
        <w:t>porque es de un cambio de estilo, lo decía Nietzsche, de lo que tenemos necesidad acaso; y si hay estilo, Nietzsche nos lo recordó, debe ser plural.</w:t>
      </w:r>
    </w:p>
    <w:p w:rsidR="00BD4EB6" w:rsidRPr="003B1943" w:rsidRDefault="00BD4EB6">
      <w:pPr>
        <w:rPr>
          <w:sz w:val="32"/>
          <w:szCs w:val="32"/>
        </w:rPr>
      </w:pPr>
    </w:p>
    <w:p w:rsidR="00BD4EB6" w:rsidRPr="003B1943" w:rsidRDefault="00BD4EB6">
      <w:pPr>
        <w:rPr>
          <w:sz w:val="32"/>
          <w:szCs w:val="32"/>
        </w:rPr>
      </w:pPr>
    </w:p>
    <w:sectPr w:rsidR="00BD4EB6" w:rsidRPr="003B1943" w:rsidSect="00BD4EB6">
      <w:pgSz w:w="11906" w:h="16838" w:code="9"/>
      <w:pgMar w:top="624" w:right="340" w:bottom="624"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drawingGridHorizontalSpacing w:val="100"/>
  <w:displayHorizontalDrawingGridEvery w:val="2"/>
  <w:displayVerticalDrawingGridEvery w:val="2"/>
  <w:characterSpacingControl w:val="doNotCompress"/>
  <w:compat>
    <w:compatSetting w:name="compatibilityMode" w:uri="http://schemas.microsoft.com/office/word" w:val="12"/>
  </w:compat>
  <w:rsids>
    <w:rsidRoot w:val="00372F61"/>
    <w:rsid w:val="00095C30"/>
    <w:rsid w:val="000D4891"/>
    <w:rsid w:val="000E50AC"/>
    <w:rsid w:val="0011266D"/>
    <w:rsid w:val="00295B65"/>
    <w:rsid w:val="00334CF1"/>
    <w:rsid w:val="00372F61"/>
    <w:rsid w:val="003B1943"/>
    <w:rsid w:val="005C0095"/>
    <w:rsid w:val="005F1987"/>
    <w:rsid w:val="00745A35"/>
    <w:rsid w:val="00765AD5"/>
    <w:rsid w:val="007C32C3"/>
    <w:rsid w:val="00893A3D"/>
    <w:rsid w:val="00AE297C"/>
    <w:rsid w:val="00B64FE1"/>
    <w:rsid w:val="00BD4EB6"/>
    <w:rsid w:val="00CA6DD9"/>
    <w:rsid w:val="00E240FA"/>
    <w:rsid w:val="00EF7985"/>
    <w:rsid w:val="00FF4E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2D4B"/>
  <w15:docId w15:val="{6065280B-5B4B-4E37-8C92-591DC834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s-E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66D"/>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19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364</Words>
  <Characters>2077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PC</dc:creator>
  <cp:keywords/>
  <dc:description/>
  <cp:lastModifiedBy>Luis</cp:lastModifiedBy>
  <cp:revision>4</cp:revision>
  <cp:lastPrinted>2015-11-06T17:44:00Z</cp:lastPrinted>
  <dcterms:created xsi:type="dcterms:W3CDTF">2015-11-04T23:14:00Z</dcterms:created>
  <dcterms:modified xsi:type="dcterms:W3CDTF">2025-11-18T21:33:00Z</dcterms:modified>
</cp:coreProperties>
</file>