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1EC86" w14:textId="77777777" w:rsidR="00541A99" w:rsidRPr="00155FAC" w:rsidRDefault="00541A99" w:rsidP="00541A99">
      <w:pPr>
        <w:autoSpaceDE w:val="0"/>
        <w:autoSpaceDN w:val="0"/>
        <w:adjustRightInd w:val="0"/>
        <w:spacing w:after="0" w:line="240" w:lineRule="auto"/>
        <w:jc w:val="both"/>
        <w:rPr>
          <w:rFonts w:cs="ArialNegrita"/>
          <w:b/>
          <w:sz w:val="26"/>
          <w:szCs w:val="26"/>
        </w:rPr>
      </w:pPr>
      <w:r w:rsidRPr="00155FAC">
        <w:rPr>
          <w:rFonts w:cs="ArialNegrita"/>
          <w:b/>
          <w:sz w:val="26"/>
          <w:szCs w:val="26"/>
        </w:rPr>
        <w:t xml:space="preserve">Unidad 2: Conceptos centrales o núcleo del sistema teórico </w:t>
      </w:r>
    </w:p>
    <w:p w14:paraId="74DBB455" w14:textId="77777777" w:rsidR="00541A99" w:rsidRPr="00155FAC" w:rsidRDefault="00541A99" w:rsidP="00541A99">
      <w:pPr>
        <w:autoSpaceDE w:val="0"/>
        <w:autoSpaceDN w:val="0"/>
        <w:adjustRightInd w:val="0"/>
        <w:spacing w:after="0" w:line="240" w:lineRule="auto"/>
        <w:jc w:val="both"/>
        <w:rPr>
          <w:rFonts w:cs="Helvetica"/>
          <w:sz w:val="26"/>
          <w:szCs w:val="26"/>
        </w:rPr>
      </w:pPr>
      <w:r w:rsidRPr="00155FAC">
        <w:rPr>
          <w:rFonts w:cs="ArialNegrita"/>
          <w:sz w:val="26"/>
          <w:szCs w:val="26"/>
        </w:rPr>
        <w:t xml:space="preserve">Las Tesis centrales de la Psicología Genética: </w:t>
      </w:r>
      <w:r w:rsidRPr="00155FAC">
        <w:rPr>
          <w:rFonts w:cs="ArialNormal"/>
          <w:sz w:val="26"/>
          <w:szCs w:val="26"/>
        </w:rPr>
        <w:t xml:space="preserve">La acción como constitutiva del conocimiento. El constructivismo y la conquista de la objetividad. </w:t>
      </w:r>
      <w:r w:rsidRPr="00155FAC">
        <w:rPr>
          <w:rFonts w:cs="Helvetica"/>
          <w:sz w:val="26"/>
          <w:szCs w:val="26"/>
        </w:rPr>
        <w:t>Los esquemas de acción y su diferenciación: la significación cognitiva. Los procesos funcionales básicos: asimilación, acomodación, adaptación y organización. Continuidad funcional y discontinuidad estructural.</w:t>
      </w:r>
      <w:r w:rsidRPr="00155FAC">
        <w:rPr>
          <w:rFonts w:cs="ArialNormal"/>
          <w:sz w:val="26"/>
          <w:szCs w:val="26"/>
        </w:rPr>
        <w:t xml:space="preserve"> Teoría de la equilibración</w:t>
      </w:r>
      <w:r w:rsidRPr="00155FAC">
        <w:rPr>
          <w:rFonts w:cs="Helvetica"/>
          <w:sz w:val="26"/>
          <w:szCs w:val="26"/>
        </w:rPr>
        <w:t xml:space="preserve"> como mecanismo explicativo del desarrollo. Esquemas representativos conceptuales, procedimentales y operatorios.</w:t>
      </w:r>
    </w:p>
    <w:p w14:paraId="2BA2110C" w14:textId="77777777" w:rsidR="00541A99" w:rsidRPr="00155FAC" w:rsidRDefault="00541A99" w:rsidP="00541A99">
      <w:pPr>
        <w:autoSpaceDE w:val="0"/>
        <w:autoSpaceDN w:val="0"/>
        <w:adjustRightInd w:val="0"/>
        <w:spacing w:after="0" w:line="240" w:lineRule="auto"/>
        <w:jc w:val="both"/>
        <w:rPr>
          <w:rFonts w:cs="ArialNormal"/>
          <w:sz w:val="26"/>
          <w:szCs w:val="26"/>
        </w:rPr>
      </w:pPr>
    </w:p>
    <w:p w14:paraId="0374D00E" w14:textId="77777777" w:rsidR="00541A99" w:rsidRPr="00372B41" w:rsidRDefault="00541A99" w:rsidP="00541A99">
      <w:pPr>
        <w:autoSpaceDE w:val="0"/>
        <w:autoSpaceDN w:val="0"/>
        <w:adjustRightInd w:val="0"/>
        <w:spacing w:after="0" w:line="240" w:lineRule="auto"/>
        <w:jc w:val="both"/>
        <w:rPr>
          <w:rFonts w:cs="Helvetica"/>
          <w:b/>
          <w:iCs/>
          <w:sz w:val="26"/>
          <w:szCs w:val="26"/>
        </w:rPr>
      </w:pPr>
      <w:r w:rsidRPr="00372B41">
        <w:rPr>
          <w:rFonts w:cs="Helvetica"/>
          <w:b/>
          <w:iCs/>
          <w:sz w:val="26"/>
          <w:szCs w:val="26"/>
        </w:rPr>
        <w:t xml:space="preserve">Bibliografía </w:t>
      </w:r>
    </w:p>
    <w:p w14:paraId="335E62A2" w14:textId="77777777" w:rsidR="00541A99" w:rsidRPr="00155FAC" w:rsidRDefault="00541A99" w:rsidP="00541A99">
      <w:pPr>
        <w:autoSpaceDE w:val="0"/>
        <w:autoSpaceDN w:val="0"/>
        <w:adjustRightInd w:val="0"/>
        <w:spacing w:after="0" w:line="240" w:lineRule="auto"/>
        <w:jc w:val="both"/>
        <w:rPr>
          <w:rFonts w:cs="ArialNormal"/>
          <w:sz w:val="26"/>
          <w:szCs w:val="26"/>
        </w:rPr>
      </w:pPr>
    </w:p>
    <w:p w14:paraId="46FAA782" w14:textId="6AA20029" w:rsidR="00541A99" w:rsidRPr="00155FAC" w:rsidRDefault="00541A99" w:rsidP="00541A99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Helvetica"/>
          <w:sz w:val="26"/>
          <w:szCs w:val="26"/>
        </w:rPr>
      </w:pPr>
      <w:r w:rsidRPr="00155FAC">
        <w:rPr>
          <w:rFonts w:cs="Helvetica"/>
          <w:sz w:val="26"/>
          <w:szCs w:val="26"/>
        </w:rPr>
        <w:t xml:space="preserve">CASTORINA, J. A. (2012). </w:t>
      </w:r>
      <w:r w:rsidRPr="00155FAC">
        <w:rPr>
          <w:rFonts w:cs="Helvetica-Oblique"/>
          <w:i/>
          <w:iCs/>
          <w:sz w:val="26"/>
          <w:szCs w:val="26"/>
        </w:rPr>
        <w:t>Psicología y Epistemología Genéticas</w:t>
      </w:r>
      <w:r w:rsidRPr="00155FAC">
        <w:rPr>
          <w:rFonts w:cs="Helvetica"/>
          <w:sz w:val="26"/>
          <w:szCs w:val="26"/>
        </w:rPr>
        <w:t xml:space="preserve">. Buenos Aires: Lugar. [Clase 2, </w:t>
      </w:r>
      <w:r w:rsidRPr="00155FAC">
        <w:rPr>
          <w:rFonts w:eastAsia="ArialMT" w:cs="ArialMT"/>
          <w:sz w:val="26"/>
          <w:szCs w:val="26"/>
        </w:rPr>
        <w:t>“Conocimiento y acción”, pp. 27</w:t>
      </w:r>
      <w:r w:rsidRPr="00155FAC">
        <w:rPr>
          <w:rFonts w:cs="Helvetica"/>
          <w:sz w:val="26"/>
          <w:szCs w:val="26"/>
        </w:rPr>
        <w:t>-47].</w:t>
      </w:r>
      <w:r w:rsidR="00B263B2">
        <w:rPr>
          <w:rFonts w:cs="Helvetica"/>
          <w:sz w:val="26"/>
          <w:szCs w:val="26"/>
        </w:rPr>
        <w:t xml:space="preserve"> </w:t>
      </w:r>
      <w:r w:rsidR="00304186">
        <w:rPr>
          <w:rFonts w:cs="Helvetica"/>
          <w:color w:val="FF0000"/>
          <w:sz w:val="26"/>
          <w:szCs w:val="26"/>
        </w:rPr>
        <w:t>ESTÁ JUNTO CON CAP 1 EN CARPETA UNIDAD 1</w:t>
      </w:r>
    </w:p>
    <w:p w14:paraId="18F90B15" w14:textId="77777777" w:rsidR="00541A99" w:rsidRPr="00155FAC" w:rsidRDefault="00541A99" w:rsidP="00541A99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Helvetica"/>
          <w:sz w:val="26"/>
          <w:szCs w:val="26"/>
        </w:rPr>
      </w:pPr>
      <w:r w:rsidRPr="00155FAC">
        <w:rPr>
          <w:rFonts w:cs="Helvetica"/>
          <w:sz w:val="26"/>
          <w:szCs w:val="26"/>
        </w:rPr>
        <w:t>FERREIRO, E.</w:t>
      </w:r>
      <w:r>
        <w:rPr>
          <w:rFonts w:cs="Helvetica"/>
          <w:sz w:val="26"/>
          <w:szCs w:val="26"/>
        </w:rPr>
        <w:t xml:space="preserve"> </w:t>
      </w:r>
      <w:r w:rsidRPr="00155FAC">
        <w:rPr>
          <w:rFonts w:cs="Helvetica"/>
          <w:sz w:val="26"/>
          <w:szCs w:val="26"/>
        </w:rPr>
        <w:t xml:space="preserve">&amp; GARCÍA, R. (1975). Presentación a la edición castellana. En J. PIAGET. </w:t>
      </w:r>
      <w:r w:rsidRPr="00155FAC">
        <w:rPr>
          <w:rFonts w:cs="Helvetica-Oblique"/>
          <w:i/>
          <w:iCs/>
          <w:sz w:val="26"/>
          <w:szCs w:val="26"/>
        </w:rPr>
        <w:t xml:space="preserve">Introducción a la Epistemología Genética, Tomo 1 </w:t>
      </w:r>
      <w:r w:rsidRPr="00155FAC">
        <w:rPr>
          <w:rFonts w:cs="Helvetica"/>
          <w:sz w:val="26"/>
          <w:szCs w:val="26"/>
        </w:rPr>
        <w:t>(pp. 9-23). Buenos Aires: Paidós [Parágrafo II, pp. 15-21].</w:t>
      </w:r>
    </w:p>
    <w:p w14:paraId="70BE8C04" w14:textId="77777777" w:rsidR="00CF653A" w:rsidRPr="00CA6729" w:rsidRDefault="00CF653A" w:rsidP="00CF653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ArialNormal"/>
          <w:sz w:val="26"/>
          <w:szCs w:val="26"/>
        </w:rPr>
      </w:pPr>
      <w:r w:rsidRPr="00CA6729">
        <w:rPr>
          <w:rFonts w:cs="ArialNormal"/>
          <w:sz w:val="26"/>
          <w:szCs w:val="26"/>
        </w:rPr>
        <w:t xml:space="preserve">Piaget, J. (1936/1994). </w:t>
      </w:r>
      <w:r w:rsidRPr="001649D6">
        <w:rPr>
          <w:rFonts w:cs="ArialCursiva"/>
          <w:i/>
          <w:iCs/>
          <w:sz w:val="26"/>
          <w:szCs w:val="26"/>
        </w:rPr>
        <w:t>El nacimiento de la inteligencia en el niño</w:t>
      </w:r>
      <w:r w:rsidRPr="00CA6729">
        <w:rPr>
          <w:rFonts w:cs="ArialNormal"/>
          <w:sz w:val="26"/>
          <w:szCs w:val="26"/>
        </w:rPr>
        <w:t>. Grijalbo: México.</w:t>
      </w:r>
      <w:r>
        <w:rPr>
          <w:rFonts w:cs="ArialNormal"/>
          <w:sz w:val="26"/>
          <w:szCs w:val="26"/>
        </w:rPr>
        <w:t xml:space="preserve"> </w:t>
      </w:r>
      <w:r w:rsidRPr="00CA6729">
        <w:rPr>
          <w:rFonts w:cs="ArialNormal"/>
          <w:sz w:val="26"/>
          <w:szCs w:val="26"/>
        </w:rPr>
        <w:t>[Introducción</w:t>
      </w:r>
      <w:r>
        <w:rPr>
          <w:rFonts w:cs="ArialNormal"/>
          <w:sz w:val="26"/>
          <w:szCs w:val="26"/>
        </w:rPr>
        <w:t>, págs. 12-28</w:t>
      </w:r>
      <w:r w:rsidRPr="00CA6729">
        <w:rPr>
          <w:rFonts w:cs="ArialNormal"/>
          <w:sz w:val="26"/>
          <w:szCs w:val="26"/>
        </w:rPr>
        <w:t>]</w:t>
      </w:r>
    </w:p>
    <w:p w14:paraId="19EC91BE" w14:textId="77777777" w:rsidR="00541A99" w:rsidRPr="00155FAC" w:rsidRDefault="00541A99" w:rsidP="00541A99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ArialNormal"/>
          <w:sz w:val="26"/>
          <w:szCs w:val="26"/>
        </w:rPr>
      </w:pPr>
      <w:r w:rsidRPr="00155FAC">
        <w:rPr>
          <w:rFonts w:cs="ArialNormal"/>
          <w:sz w:val="26"/>
          <w:szCs w:val="26"/>
        </w:rPr>
        <w:t xml:space="preserve">Piaget, J. (1967/1983). </w:t>
      </w:r>
      <w:r w:rsidRPr="006A0333">
        <w:rPr>
          <w:rFonts w:cs="ArialCursiva"/>
          <w:i/>
          <w:iCs/>
          <w:sz w:val="26"/>
          <w:szCs w:val="26"/>
        </w:rPr>
        <w:t>Biología y Conocimiento</w:t>
      </w:r>
      <w:r w:rsidRPr="00155FAC">
        <w:rPr>
          <w:rFonts w:cs="ArialCursiva"/>
          <w:sz w:val="26"/>
          <w:szCs w:val="26"/>
        </w:rPr>
        <w:t xml:space="preserve"> </w:t>
      </w:r>
      <w:r w:rsidRPr="00155FAC">
        <w:rPr>
          <w:rFonts w:cs="ArialNormal"/>
          <w:sz w:val="26"/>
          <w:szCs w:val="26"/>
        </w:rPr>
        <w:t>[Cap. 1. Planteamiento del problema]. México: Siglo XXI.</w:t>
      </w:r>
    </w:p>
    <w:p w14:paraId="239FDEE5" w14:textId="77777777" w:rsidR="00541A99" w:rsidRPr="00155FAC" w:rsidRDefault="00541A99" w:rsidP="00541A99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ArialNormal"/>
          <w:sz w:val="26"/>
          <w:szCs w:val="26"/>
        </w:rPr>
      </w:pPr>
      <w:r w:rsidRPr="00155FAC">
        <w:rPr>
          <w:rFonts w:cs="ArialNormal"/>
          <w:sz w:val="26"/>
          <w:szCs w:val="26"/>
        </w:rPr>
        <w:t xml:space="preserve">Piaget, J. (1975/1978). </w:t>
      </w:r>
      <w:r w:rsidRPr="00155FAC">
        <w:rPr>
          <w:rFonts w:cs="ArialCursiva"/>
          <w:sz w:val="26"/>
          <w:szCs w:val="26"/>
        </w:rPr>
        <w:t xml:space="preserve">La equilibración de las estructuras cognitivas. </w:t>
      </w:r>
      <w:r w:rsidRPr="00155FAC">
        <w:rPr>
          <w:rFonts w:cs="ArialNormal"/>
          <w:sz w:val="26"/>
          <w:szCs w:val="26"/>
        </w:rPr>
        <w:t xml:space="preserve">[Cap. 1. Planteamiento de los problemas e hipótesis explicativas]. México: Siglo XXI. </w:t>
      </w:r>
    </w:p>
    <w:p w14:paraId="37F55DC6" w14:textId="47041CAE" w:rsidR="00871C8D" w:rsidRPr="009300FE" w:rsidRDefault="00871C8D">
      <w:pPr>
        <w:rPr>
          <w:b/>
          <w:bCs/>
        </w:rPr>
      </w:pPr>
      <w:r w:rsidRPr="009300FE">
        <w:rPr>
          <w:b/>
          <w:bCs/>
        </w:rPr>
        <w:t>BIBLIO AMPLIATORIA</w:t>
      </w:r>
    </w:p>
    <w:p w14:paraId="36D0FE15" w14:textId="77777777" w:rsidR="00871C8D" w:rsidRDefault="00871C8D" w:rsidP="00871C8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ArialNormal"/>
          <w:sz w:val="26"/>
          <w:szCs w:val="26"/>
        </w:rPr>
      </w:pPr>
      <w:r w:rsidRPr="00155FAC">
        <w:rPr>
          <w:rFonts w:cs="ArialNormal"/>
          <w:sz w:val="26"/>
          <w:szCs w:val="26"/>
        </w:rPr>
        <w:t xml:space="preserve">Piaget, J. &amp; García, R. (1982). </w:t>
      </w:r>
      <w:r w:rsidRPr="00155FAC">
        <w:rPr>
          <w:rFonts w:cs="ArialCursiva"/>
          <w:sz w:val="26"/>
          <w:szCs w:val="26"/>
        </w:rPr>
        <w:t xml:space="preserve">Psicogénesis e historia de la ciencia. </w:t>
      </w:r>
      <w:r w:rsidRPr="00155FAC">
        <w:rPr>
          <w:rFonts w:cs="ArialNormal"/>
          <w:sz w:val="26"/>
          <w:szCs w:val="26"/>
        </w:rPr>
        <w:t>[Cap. IX Ciencia, Psicogénesis e ideología.]. México: Siglo XXI.</w:t>
      </w:r>
    </w:p>
    <w:p w14:paraId="1EC65010" w14:textId="77777777" w:rsidR="00C116AB" w:rsidRPr="001201FC" w:rsidRDefault="00C116AB" w:rsidP="00C116A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ArialNormal"/>
          <w:sz w:val="26"/>
          <w:szCs w:val="26"/>
        </w:rPr>
      </w:pPr>
      <w:r w:rsidRPr="001201FC">
        <w:rPr>
          <w:rFonts w:cs="ArialNormal"/>
          <w:sz w:val="26"/>
          <w:szCs w:val="26"/>
        </w:rPr>
        <w:t xml:space="preserve">Castorina, J. A. (1972). Biología y conocimiento de Jean Piaget. Tarea, 3, 73-90. En Memoria Académica. Disponible en  </w:t>
      </w:r>
      <w:hyperlink r:id="rId5" w:history="1">
        <w:r w:rsidRPr="001201FC">
          <w:rPr>
            <w:rStyle w:val="Hipervnculo"/>
            <w:rFonts w:cs="ArialNormal"/>
            <w:sz w:val="26"/>
            <w:szCs w:val="26"/>
          </w:rPr>
          <w:t>http://www.memoria.fahce.unlp.edu.ar/art_revistas/pr.1142/pr.1142.pdf</w:t>
        </w:r>
      </w:hyperlink>
      <w:r w:rsidRPr="001201FC">
        <w:rPr>
          <w:rFonts w:cs="ArialNormal"/>
          <w:sz w:val="26"/>
          <w:szCs w:val="26"/>
        </w:rPr>
        <w:t xml:space="preserve"> </w:t>
      </w:r>
    </w:p>
    <w:p w14:paraId="38FA4490" w14:textId="77777777" w:rsidR="00C116AB" w:rsidRPr="00CA6729" w:rsidRDefault="00C116AB" w:rsidP="00C116AB">
      <w:pPr>
        <w:autoSpaceDE w:val="0"/>
        <w:autoSpaceDN w:val="0"/>
        <w:adjustRightInd w:val="0"/>
        <w:spacing w:after="0" w:line="240" w:lineRule="auto"/>
        <w:jc w:val="both"/>
        <w:rPr>
          <w:rFonts w:cs="ArialNormal"/>
          <w:sz w:val="26"/>
          <w:szCs w:val="26"/>
        </w:rPr>
      </w:pPr>
    </w:p>
    <w:p w14:paraId="3342A525" w14:textId="77777777" w:rsidR="00C116AB" w:rsidRPr="00C116AB" w:rsidRDefault="00C116AB" w:rsidP="00C116AB">
      <w:pPr>
        <w:autoSpaceDE w:val="0"/>
        <w:autoSpaceDN w:val="0"/>
        <w:adjustRightInd w:val="0"/>
        <w:spacing w:after="0" w:line="240" w:lineRule="auto"/>
        <w:jc w:val="both"/>
        <w:rPr>
          <w:rFonts w:cs="ArialNormal"/>
          <w:sz w:val="26"/>
          <w:szCs w:val="26"/>
        </w:rPr>
      </w:pPr>
    </w:p>
    <w:p w14:paraId="30473535" w14:textId="77777777" w:rsidR="00871C8D" w:rsidRDefault="00871C8D"/>
    <w:sectPr w:rsidR="00871C8D" w:rsidSect="001457C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Negrita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Normal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-Obliqu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ArialCursiva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5A18F3"/>
    <w:multiLevelType w:val="hybridMultilevel"/>
    <w:tmpl w:val="D0004D40"/>
    <w:lvl w:ilvl="0" w:tplc="988E1D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728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A99"/>
    <w:rsid w:val="001457C5"/>
    <w:rsid w:val="00304186"/>
    <w:rsid w:val="00372B41"/>
    <w:rsid w:val="00541A99"/>
    <w:rsid w:val="006613D0"/>
    <w:rsid w:val="006A0333"/>
    <w:rsid w:val="00871C8D"/>
    <w:rsid w:val="009300FE"/>
    <w:rsid w:val="00B263B2"/>
    <w:rsid w:val="00C116AB"/>
    <w:rsid w:val="00CF653A"/>
    <w:rsid w:val="00D15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A7626"/>
  <w15:chartTrackingRefBased/>
  <w15:docId w15:val="{1B7B04AE-F349-4199-A9BC-6A9DD3AA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A99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41A9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116AB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116A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emoria.fahce.unlp.edu.ar/art_revistas/pr.1142/pr.1142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269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Victoria Zion</dc:creator>
  <cp:keywords/>
  <dc:description/>
  <cp:lastModifiedBy>María Victoria Zion</cp:lastModifiedBy>
  <cp:revision>12</cp:revision>
  <dcterms:created xsi:type="dcterms:W3CDTF">2023-07-02T23:58:00Z</dcterms:created>
  <dcterms:modified xsi:type="dcterms:W3CDTF">2024-03-09T20:59:00Z</dcterms:modified>
</cp:coreProperties>
</file>