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5AE185" w14:textId="77777777" w:rsidR="00945EC0" w:rsidRDefault="00945EC0" w:rsidP="00945EC0">
      <w:pPr>
        <w:autoSpaceDE w:val="0"/>
        <w:autoSpaceDN w:val="0"/>
        <w:adjustRightInd w:val="0"/>
        <w:spacing w:after="0" w:line="240" w:lineRule="auto"/>
        <w:jc w:val="both"/>
        <w:rPr>
          <w:rFonts w:cs="ArialNegrita"/>
          <w:b/>
          <w:sz w:val="26"/>
          <w:szCs w:val="26"/>
        </w:rPr>
      </w:pPr>
      <w:r>
        <w:rPr>
          <w:rFonts w:cs="ArialNegrita"/>
          <w:b/>
          <w:sz w:val="26"/>
          <w:szCs w:val="26"/>
        </w:rPr>
        <w:t xml:space="preserve">Unidad 6: Conceptos centrales de la perspectiva </w:t>
      </w:r>
      <w:proofErr w:type="gramStart"/>
      <w:r>
        <w:rPr>
          <w:rFonts w:cs="ArialNegrita"/>
          <w:b/>
          <w:sz w:val="26"/>
          <w:szCs w:val="26"/>
        </w:rPr>
        <w:t>socio-histórica</w:t>
      </w:r>
      <w:proofErr w:type="gramEnd"/>
      <w:r>
        <w:rPr>
          <w:rFonts w:cs="ArialNegrita"/>
          <w:b/>
          <w:sz w:val="26"/>
          <w:szCs w:val="26"/>
        </w:rPr>
        <w:t xml:space="preserve">. </w:t>
      </w:r>
    </w:p>
    <w:p w14:paraId="278A738D" w14:textId="77777777" w:rsidR="00945EC0" w:rsidRDefault="00945EC0" w:rsidP="00945EC0">
      <w:p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  <w:r>
        <w:rPr>
          <w:rFonts w:cs="ArialNormal"/>
          <w:sz w:val="26"/>
          <w:szCs w:val="26"/>
        </w:rPr>
        <w:t xml:space="preserve">El modelo genético de Vigotsky. Diferentes dominios para el estudio del desarrollo humano: filogenético, sociohistórico, ontogenético y </w:t>
      </w:r>
      <w:proofErr w:type="spellStart"/>
      <w:r>
        <w:rPr>
          <w:rFonts w:cs="ArialNormal"/>
          <w:sz w:val="26"/>
          <w:szCs w:val="26"/>
        </w:rPr>
        <w:t>microgenético</w:t>
      </w:r>
      <w:proofErr w:type="spellEnd"/>
      <w:r>
        <w:rPr>
          <w:rFonts w:cs="ArialNormal"/>
          <w:sz w:val="26"/>
          <w:szCs w:val="26"/>
        </w:rPr>
        <w:t>. El signo como mediador de la acción humana. Los procesos psicológicos elementales y superiores (rudimentarios y avanzados). La distinción entre las líneas natural y cultural del desarrollo de los procesos psicológicos. El proceso de internalización. La zona de desarrollo próximo.</w:t>
      </w:r>
    </w:p>
    <w:p w14:paraId="057F9F99" w14:textId="77777777" w:rsidR="00945EC0" w:rsidRDefault="00945EC0" w:rsidP="00945EC0">
      <w:p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</w:p>
    <w:p w14:paraId="0C1A6CFA" w14:textId="77777777" w:rsidR="00945EC0" w:rsidRPr="00AE4D66" w:rsidRDefault="00945EC0" w:rsidP="00945EC0">
      <w:pPr>
        <w:autoSpaceDE w:val="0"/>
        <w:autoSpaceDN w:val="0"/>
        <w:adjustRightInd w:val="0"/>
        <w:spacing w:after="0" w:line="240" w:lineRule="auto"/>
        <w:jc w:val="both"/>
        <w:rPr>
          <w:rFonts w:cs="Helvetica"/>
          <w:b/>
          <w:iCs/>
          <w:sz w:val="26"/>
          <w:szCs w:val="26"/>
        </w:rPr>
      </w:pPr>
      <w:r w:rsidRPr="00AE4D66">
        <w:rPr>
          <w:rFonts w:cs="Helvetica"/>
          <w:b/>
          <w:iCs/>
          <w:sz w:val="26"/>
          <w:szCs w:val="26"/>
        </w:rPr>
        <w:t xml:space="preserve">Bibliografía </w:t>
      </w:r>
    </w:p>
    <w:p w14:paraId="11728439" w14:textId="77777777" w:rsidR="00EF77AF" w:rsidRPr="005F7473" w:rsidRDefault="00EF77AF" w:rsidP="00EF77AF">
      <w:pPr>
        <w:pStyle w:val="Prrafodelista"/>
        <w:numPr>
          <w:ilvl w:val="0"/>
          <w:numId w:val="1"/>
        </w:numPr>
        <w:tabs>
          <w:tab w:val="left" w:pos="317"/>
        </w:tabs>
        <w:autoSpaceDE w:val="0"/>
        <w:autoSpaceDN w:val="0"/>
        <w:adjustRightInd w:val="0"/>
        <w:spacing w:after="0" w:line="240" w:lineRule="auto"/>
        <w:rPr>
          <w:rFonts w:cs="ArialNormal"/>
          <w:sz w:val="26"/>
          <w:szCs w:val="26"/>
        </w:rPr>
      </w:pPr>
      <w:proofErr w:type="spellStart"/>
      <w:r w:rsidRPr="005F7473">
        <w:rPr>
          <w:rFonts w:cs="ArialNormal"/>
          <w:sz w:val="26"/>
          <w:szCs w:val="26"/>
        </w:rPr>
        <w:t>Blanck</w:t>
      </w:r>
      <w:proofErr w:type="spellEnd"/>
      <w:r w:rsidRPr="005F7473">
        <w:rPr>
          <w:rFonts w:cs="ArialNormal"/>
          <w:sz w:val="26"/>
          <w:szCs w:val="26"/>
        </w:rPr>
        <w:t xml:space="preserve">, G. (1993)   Vygotsky: el hombre y su causa. En Moll, L.: Vygotsky y la Educación. Buenos Aires: </w:t>
      </w:r>
      <w:proofErr w:type="spellStart"/>
      <w:r w:rsidRPr="005F7473">
        <w:rPr>
          <w:rFonts w:cs="ArialNormal"/>
          <w:sz w:val="26"/>
          <w:szCs w:val="26"/>
        </w:rPr>
        <w:t>Aique</w:t>
      </w:r>
      <w:proofErr w:type="spellEnd"/>
      <w:r w:rsidRPr="005F7473">
        <w:rPr>
          <w:rFonts w:cs="ArialNormal"/>
          <w:sz w:val="26"/>
          <w:szCs w:val="26"/>
        </w:rPr>
        <w:t>.</w:t>
      </w:r>
    </w:p>
    <w:p w14:paraId="65B33005" w14:textId="77777777" w:rsidR="00945EC0" w:rsidRDefault="00945EC0" w:rsidP="00945EC0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  <w:proofErr w:type="spellStart"/>
      <w:r>
        <w:rPr>
          <w:rFonts w:cs="ArialNormal"/>
          <w:sz w:val="26"/>
          <w:szCs w:val="26"/>
        </w:rPr>
        <w:t>Wertsch</w:t>
      </w:r>
      <w:proofErr w:type="spellEnd"/>
      <w:r>
        <w:rPr>
          <w:rFonts w:cs="ArialNormal"/>
          <w:sz w:val="26"/>
          <w:szCs w:val="26"/>
        </w:rPr>
        <w:t xml:space="preserve">, J. (1988). </w:t>
      </w:r>
      <w:r>
        <w:rPr>
          <w:rFonts w:cs="ArialCursiva"/>
          <w:sz w:val="26"/>
          <w:szCs w:val="26"/>
        </w:rPr>
        <w:t xml:space="preserve">Vigotsky y la formación social de la mente </w:t>
      </w:r>
      <w:r>
        <w:rPr>
          <w:rFonts w:cs="ArialNormal"/>
          <w:sz w:val="26"/>
          <w:szCs w:val="26"/>
        </w:rPr>
        <w:t>[Cap. 2. El método de Vigotsky y Cap. 3. Los orígenes sociales de las funciones psicológicas superiores]. Buenos Aires: Paidós</w:t>
      </w:r>
    </w:p>
    <w:p w14:paraId="6C00B4C1" w14:textId="77777777" w:rsidR="00945EC0" w:rsidRDefault="00945EC0" w:rsidP="00945EC0">
      <w:pPr>
        <w:autoSpaceDE w:val="0"/>
        <w:autoSpaceDN w:val="0"/>
        <w:adjustRightInd w:val="0"/>
        <w:spacing w:after="0" w:line="240" w:lineRule="auto"/>
        <w:jc w:val="both"/>
        <w:rPr>
          <w:rFonts w:cs="Helvetica"/>
          <w:sz w:val="26"/>
          <w:szCs w:val="26"/>
        </w:rPr>
      </w:pPr>
    </w:p>
    <w:p w14:paraId="72133496" w14:textId="2DDFE3DA" w:rsidR="00AE4D66" w:rsidRPr="00AE4D66" w:rsidRDefault="00AE4D66" w:rsidP="00AE4D66">
      <w:pPr>
        <w:autoSpaceDE w:val="0"/>
        <w:autoSpaceDN w:val="0"/>
        <w:adjustRightInd w:val="0"/>
        <w:spacing w:after="0" w:line="240" w:lineRule="auto"/>
        <w:jc w:val="both"/>
        <w:rPr>
          <w:rFonts w:cs="Helvetica"/>
          <w:b/>
          <w:iCs/>
          <w:sz w:val="26"/>
          <w:szCs w:val="26"/>
        </w:rPr>
      </w:pPr>
      <w:r w:rsidRPr="00AE4D66">
        <w:rPr>
          <w:rFonts w:cs="Helvetica"/>
          <w:b/>
          <w:iCs/>
          <w:sz w:val="26"/>
          <w:szCs w:val="26"/>
        </w:rPr>
        <w:t xml:space="preserve">Bibliografía </w:t>
      </w:r>
      <w:r>
        <w:rPr>
          <w:rFonts w:cs="Helvetica"/>
          <w:b/>
          <w:iCs/>
          <w:sz w:val="26"/>
          <w:szCs w:val="26"/>
        </w:rPr>
        <w:t>ampliatoria</w:t>
      </w:r>
    </w:p>
    <w:p w14:paraId="72235017" w14:textId="77777777" w:rsidR="00945EC0" w:rsidRDefault="00945EC0" w:rsidP="00945EC0">
      <w:pPr>
        <w:autoSpaceDE w:val="0"/>
        <w:autoSpaceDN w:val="0"/>
        <w:adjustRightInd w:val="0"/>
        <w:spacing w:after="0" w:line="240" w:lineRule="auto"/>
        <w:jc w:val="both"/>
        <w:rPr>
          <w:rFonts w:cs="Helvetica-Bold"/>
          <w:b/>
          <w:bCs/>
          <w:sz w:val="26"/>
          <w:szCs w:val="26"/>
        </w:rPr>
      </w:pPr>
    </w:p>
    <w:p w14:paraId="2D8E17B9" w14:textId="77777777" w:rsidR="00EF77AF" w:rsidRPr="00683E14" w:rsidRDefault="00EF77AF" w:rsidP="00EF77AF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  <w:r w:rsidRPr="00683E14">
        <w:rPr>
          <w:rFonts w:cs="ArialNormal"/>
          <w:sz w:val="26"/>
          <w:szCs w:val="26"/>
        </w:rPr>
        <w:t xml:space="preserve">Luria, A. R. (1976/2003). </w:t>
      </w:r>
      <w:r w:rsidRPr="00683E14">
        <w:rPr>
          <w:rFonts w:cs="ArialCursiva"/>
          <w:sz w:val="26"/>
          <w:szCs w:val="26"/>
        </w:rPr>
        <w:t>Desarrollo Histórico de los procesos cognitivos</w:t>
      </w:r>
      <w:r w:rsidRPr="00683E14">
        <w:rPr>
          <w:rFonts w:cs="ArialNormal"/>
          <w:sz w:val="26"/>
          <w:szCs w:val="26"/>
        </w:rPr>
        <w:t>. [Cap. 1. Planteamiento del problema]. Madrid: Akal.</w:t>
      </w:r>
      <w:r>
        <w:rPr>
          <w:rFonts w:cs="ArialNormal"/>
          <w:sz w:val="26"/>
          <w:szCs w:val="26"/>
        </w:rPr>
        <w:t xml:space="preserve"> </w:t>
      </w:r>
    </w:p>
    <w:p w14:paraId="050E56E3" w14:textId="77777777" w:rsidR="00AE4D66" w:rsidRPr="00683E14" w:rsidRDefault="00AE4D66" w:rsidP="00AE4D6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ArialNormal"/>
          <w:sz w:val="26"/>
          <w:szCs w:val="26"/>
        </w:rPr>
      </w:pPr>
      <w:r w:rsidRPr="00683E14">
        <w:rPr>
          <w:rFonts w:cs="ArialNormal"/>
          <w:sz w:val="26"/>
          <w:szCs w:val="26"/>
        </w:rPr>
        <w:t xml:space="preserve">Vigotsky, L. S. (1933/2000). </w:t>
      </w:r>
      <w:r w:rsidRPr="00683E14">
        <w:rPr>
          <w:rFonts w:cs="ArialCursiva"/>
          <w:sz w:val="26"/>
          <w:szCs w:val="26"/>
        </w:rPr>
        <w:t xml:space="preserve">El desarrollo de los procesos psicológicos superiores </w:t>
      </w:r>
      <w:r w:rsidRPr="00683E14">
        <w:rPr>
          <w:rFonts w:cs="ArialNormal"/>
          <w:sz w:val="26"/>
          <w:szCs w:val="26"/>
        </w:rPr>
        <w:t>[Cap. 3. Dominio de la Memoria y el Pensamiento, y Cap. 4. Internalización de las funciones psicológicas superiores]. Barcelona</w:t>
      </w:r>
      <w:r w:rsidRPr="00683E14">
        <w:rPr>
          <w:rFonts w:cs="ArialCursiva"/>
          <w:sz w:val="26"/>
          <w:szCs w:val="26"/>
        </w:rPr>
        <w:t xml:space="preserve">: </w:t>
      </w:r>
      <w:r w:rsidRPr="00683E14">
        <w:rPr>
          <w:rFonts w:cs="ArialNormal"/>
          <w:sz w:val="26"/>
          <w:szCs w:val="26"/>
        </w:rPr>
        <w:t>Crítica.</w:t>
      </w:r>
    </w:p>
    <w:p w14:paraId="05DC235D" w14:textId="77777777" w:rsidR="00AE4D66" w:rsidRDefault="00AE4D66" w:rsidP="00AE4D6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cs="Arial"/>
          <w:color w:val="000000"/>
          <w:sz w:val="26"/>
          <w:szCs w:val="26"/>
        </w:rPr>
      </w:pPr>
      <w:r>
        <w:rPr>
          <w:rFonts w:cs="Arial"/>
          <w:color w:val="000000"/>
          <w:sz w:val="26"/>
          <w:szCs w:val="26"/>
        </w:rPr>
        <w:t xml:space="preserve">RIVIERE, A. (1988). </w:t>
      </w:r>
      <w:r>
        <w:rPr>
          <w:rFonts w:cs="Arial"/>
          <w:i/>
          <w:iCs/>
          <w:color w:val="000000"/>
          <w:sz w:val="26"/>
          <w:szCs w:val="26"/>
        </w:rPr>
        <w:t>La psicología de Vygotski</w:t>
      </w:r>
      <w:r>
        <w:rPr>
          <w:rFonts w:cs="Arial"/>
          <w:color w:val="000000"/>
          <w:sz w:val="26"/>
          <w:szCs w:val="26"/>
        </w:rPr>
        <w:t xml:space="preserve">. Visor. (cap. 5. y 7). </w:t>
      </w:r>
    </w:p>
    <w:p w14:paraId="4FC4657C" w14:textId="77777777" w:rsidR="00945EC0" w:rsidRDefault="00945EC0" w:rsidP="00945EC0">
      <w:pPr>
        <w:autoSpaceDE w:val="0"/>
        <w:autoSpaceDN w:val="0"/>
        <w:adjustRightInd w:val="0"/>
        <w:spacing w:after="0" w:line="240" w:lineRule="auto"/>
        <w:jc w:val="both"/>
        <w:rPr>
          <w:rFonts w:cs="Helvetica-Bold"/>
          <w:b/>
          <w:bCs/>
          <w:sz w:val="26"/>
          <w:szCs w:val="26"/>
        </w:rPr>
      </w:pPr>
    </w:p>
    <w:sectPr w:rsidR="00945E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Negrit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Normal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ArialCursiv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2E2EF4"/>
    <w:multiLevelType w:val="hybridMultilevel"/>
    <w:tmpl w:val="10E0E512"/>
    <w:lvl w:ilvl="0" w:tplc="2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365219"/>
    <w:multiLevelType w:val="hybridMultilevel"/>
    <w:tmpl w:val="96C0C75A"/>
    <w:lvl w:ilvl="0" w:tplc="988E1D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4865CC"/>
    <w:multiLevelType w:val="hybridMultilevel"/>
    <w:tmpl w:val="FDD8FF70"/>
    <w:lvl w:ilvl="0" w:tplc="988E1D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863345">
    <w:abstractNumId w:val="1"/>
  </w:num>
  <w:num w:numId="2" w16cid:durableId="2038501428">
    <w:abstractNumId w:val="2"/>
  </w:num>
  <w:num w:numId="3" w16cid:durableId="116427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EC0"/>
    <w:rsid w:val="005F7473"/>
    <w:rsid w:val="006613D0"/>
    <w:rsid w:val="00683E14"/>
    <w:rsid w:val="00945EC0"/>
    <w:rsid w:val="009C4F1F"/>
    <w:rsid w:val="00AE4D66"/>
    <w:rsid w:val="00D82D2A"/>
    <w:rsid w:val="00EF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8BF9E"/>
  <w15:chartTrackingRefBased/>
  <w15:docId w15:val="{C958ED00-2F0E-444E-863C-CDC243E62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EC0"/>
    <w:pPr>
      <w:spacing w:line="25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945EC0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45EC0"/>
    <w:pPr>
      <w:ind w:left="720"/>
      <w:contextualSpacing/>
    </w:pPr>
  </w:style>
  <w:style w:type="table" w:styleId="Tablaconcuadrcula">
    <w:name w:val="Table Grid"/>
    <w:basedOn w:val="Tablanormal"/>
    <w:uiPriority w:val="59"/>
    <w:rsid w:val="00EF77AF"/>
    <w:pPr>
      <w:spacing w:after="0" w:line="240" w:lineRule="auto"/>
    </w:pPr>
    <w:rPr>
      <w:rFonts w:ascii="Arial" w:hAnsi="Arial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Victoria Zion</dc:creator>
  <cp:keywords/>
  <dc:description/>
  <cp:lastModifiedBy>María Victoria Zion</cp:lastModifiedBy>
  <cp:revision>8</cp:revision>
  <dcterms:created xsi:type="dcterms:W3CDTF">2023-07-03T00:09:00Z</dcterms:created>
  <dcterms:modified xsi:type="dcterms:W3CDTF">2024-04-01T22:16:00Z</dcterms:modified>
</cp:coreProperties>
</file>