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Análisis teórico – Toma 1: Conservación de cantidad de materia</w:t>
      </w:r>
    </w:p>
    <w:p>
      <w:r>
        <w:t>La entrevista se realizó siguiendo el método clínico-crítico piagetiano, que busca explorar las nociones infantiles a partir de una interacción flexible y reflexiva entre entrevistador y niño (Piaget, 1926/1973). La entrevistadora sostuvo un tono adecuado, promoviendo la participación de la niña y utilizando preguntas que favorecieron la explicitación de las razones subyacentes a sus respuestas. No obstante, se observan dos aspectos metodológicos que requieren corrección. En primer lugar, la formulación de la pregunta central en algunos momentos se realiza en términos de “¿están iguales?” en lugar de “¿tienen la misma cantidad?”. Este matiz es relevante, ya que el término “igual” puede remitir a una comparación perceptiva de forma o tamaño, y no necesariamente a la noción de cantidad que constituye el objeto de estudio de la conservación (Inhelder, Bovet y Sinclair, 1974/1975). En segundo lugar, luego de la primera transformación de la masa en forma de salchicha, no se introduce una contraargumentación que ponga en conflicto la respuesta inicial del niño. Este procedimiento es esencial en el método clínico-crítico, pues permite valorar la estabilidad de la noción frente a la contradicción y promover un razonamiento más elaborado (Castorina, Lenzi y Fernández, 1984). Aun con estas limitaciones, la entrevista se ajusta a los principios del método, mostrando coherencia, flexibilidad y buena escucha clínica por parte de la entrevistadora.</w:t>
        <w:br/>
        <w:br/>
        <w:t>En cuanto al contenido, la niña sostiene inicialmente que las masas tienen la misma cantidad, justificando su respuesta con la afirmación “porque es la misma masa”. Esta explicación refleja una comprensión incipiente de la conservación de cantidad de materia, característica del estadio de las operaciones concretas, donde se comienza a manifestar la reversibilidad del pensamiento (Piaget e Inhelder, 1941). Sin embargo, la ausencia de contraargumentación no permite evaluar la solidez de esa noción frente al conflicto cognitivo. En las transformaciones posteriores (bolita, salchicha, galletita), la niña mantiene su juicio de conservación, mostrando un proceso de descentración y coordinación de variables que indica progreso operatorio. No obstante, al dividir la masa en pedacitos, sostiene que “cambia porque lo rompiste” y que “esta tiene más porque son más chiquititas”, evidenciando una recaída en el juicio perceptivo. Esta oscilación entre conservación y no conservación revela un momento de transición entre el pensamiento preoperatorio y el operatorio concreto, donde la reversibilidad aún no se aplica de manera estable. Además, sus vacilaciones ante los argumentos del adulto (“más o menos”, “sí”) muestran la influencia heterónoma propia de las primeras etapas del desarrollo moral, donde el juicio del otro aún tiene peso sobre el propio (Piaget, 1932). Desde la teoría de la equilibración (Piaget, 1975), puede decirse que la niña se encuentra en un proceso de compensación parcial: logra mantener la identidad de la cantidad en ciertas transformaciones, pero se desequilibra frente a variaciones perceptivas más complejas.</w:t>
        <w:br/>
        <w:br/>
        <w:t>En síntesis, la toma evidencia un razonamiento en transición hacia la conservación operatoria de la cantidad. Se recomienda, metodológicamente, reformular las preguntas en términos de cantidad y no de igualdad, e incorporar una instancia de contraargumentación temprana para propiciar el conflicto cognitivo. En su conjunto, el análisis permite observar el modo en que el conocimiento se construye activamente a partir de la acción y la reorganización de los esquemas, en consonancia con los principios constructivistas de la Epistemología Genética (Castorina y Palau, 1981).</w:t>
        <w:br/>
        <w:br/>
      </w:r>
    </w:p>
    <w:p>
      <w:pPr>
        <w:pStyle w:val="Heading2"/>
      </w:pPr>
      <w:r>
        <w:t>Referencias</w:t>
      </w:r>
    </w:p>
    <w:p>
      <w:pPr>
        <w:pStyle w:val="ListBullet"/>
      </w:pPr>
      <w:r>
        <w:t>Castorina, J. A., &amp; Palau, G. (1981). *Introducción a la lógica operatoria de Piaget.* Barcelona: Paidós.</w:t>
      </w:r>
    </w:p>
    <w:p>
      <w:pPr>
        <w:pStyle w:val="ListBullet"/>
      </w:pPr>
      <w:r>
        <w:t>Castorina, J. A., Lenzi, A. M., &amp; Fernández, S. (1984). *Alcances del método de exploración crítica en psicología genética.* Buenos Aires: Miño y Dávila.</w:t>
      </w:r>
    </w:p>
    <w:p>
      <w:pPr>
        <w:pStyle w:val="ListBullet"/>
      </w:pPr>
      <w:r>
        <w:t>Inhelder, B., Bovet, M., &amp; Sinclair, H. (1974/1975). *Aprendizaje y estructuras del conocimiento.* Madrid: Morata.</w:t>
      </w:r>
    </w:p>
    <w:p>
      <w:pPr>
        <w:pStyle w:val="ListBullet"/>
      </w:pPr>
      <w:r>
        <w:t>Piaget, J. (1926/1973). *La representación del mundo en el niño.* Madrid: Morata.</w:t>
      </w:r>
    </w:p>
    <w:p>
      <w:pPr>
        <w:pStyle w:val="ListBullet"/>
      </w:pPr>
      <w:r>
        <w:t>Piaget, J. (1932). *El juicio moral en el niño.* Madrid: Morata.</w:t>
      </w:r>
    </w:p>
    <w:p>
      <w:pPr>
        <w:pStyle w:val="ListBullet"/>
      </w:pPr>
      <w:r>
        <w:t>Piaget, J. (1975). *La equilibración de las estructuras cognitivas.* Buenos Aires: Siglo XXI.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