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A66A" w14:textId="77777777" w:rsidR="00DE4200" w:rsidRDefault="00DE4200" w:rsidP="009A6400"/>
    <w:p w14:paraId="622FAA19" w14:textId="77777777" w:rsidR="00317ED6" w:rsidRDefault="00317ED6" w:rsidP="00317ED6">
      <w:pPr>
        <w:pStyle w:val="Sinespaciado"/>
        <w:spacing w:line="480" w:lineRule="auto"/>
        <w:jc w:val="center"/>
        <w:rPr>
          <w:rFonts w:ascii="Arial" w:hAnsi="Arial" w:cs="Arial"/>
        </w:rPr>
      </w:pPr>
    </w:p>
    <w:p w14:paraId="5D174119" w14:textId="77777777" w:rsidR="00317ED6" w:rsidRDefault="00317ED6" w:rsidP="00317ED6">
      <w:pPr>
        <w:pStyle w:val="Sinespaciado"/>
        <w:spacing w:line="480" w:lineRule="auto"/>
        <w:jc w:val="center"/>
        <w:rPr>
          <w:rFonts w:ascii="Arial" w:hAnsi="Arial" w:cs="Arial"/>
        </w:rPr>
      </w:pPr>
    </w:p>
    <w:p w14:paraId="1936777C" w14:textId="5CB3141B" w:rsidR="00F710E3" w:rsidRDefault="00F710E3" w:rsidP="00317ED6">
      <w:pPr>
        <w:pStyle w:val="Sinespaciado"/>
        <w:spacing w:line="480" w:lineRule="auto"/>
        <w:jc w:val="center"/>
      </w:pPr>
      <w:r>
        <w:rPr>
          <w:rFonts w:ascii="Arial" w:hAnsi="Arial" w:cs="Arial"/>
        </w:rPr>
        <w:t>UNIVERSIDAD DE CIENCIAS EMPRESARIALES Y SOCIALES</w:t>
      </w:r>
    </w:p>
    <w:p w14:paraId="59928432" w14:textId="77777777" w:rsidR="00F710E3" w:rsidRDefault="00F710E3" w:rsidP="00317ED6">
      <w:pPr>
        <w:pStyle w:val="Sinespaciado"/>
        <w:spacing w:line="480" w:lineRule="auto"/>
        <w:jc w:val="center"/>
      </w:pPr>
      <w:r>
        <w:rPr>
          <w:rFonts w:ascii="Arial" w:hAnsi="Arial" w:cs="Arial"/>
        </w:rPr>
        <w:t>FACULTAD DE PSICOLOGÍA Y CIENCIAS SOCIALES</w:t>
      </w:r>
    </w:p>
    <w:p w14:paraId="2A94163F" w14:textId="311D78E7" w:rsidR="00317ED6" w:rsidRDefault="00F710E3" w:rsidP="00317ED6">
      <w:pPr>
        <w:pStyle w:val="Sinespaciado"/>
        <w:spacing w:line="480" w:lineRule="auto"/>
        <w:jc w:val="center"/>
        <w:rPr>
          <w:rFonts w:ascii="Arial" w:hAnsi="Arial" w:cs="Arial"/>
        </w:rPr>
      </w:pPr>
      <w:r>
        <w:rPr>
          <w:rFonts w:ascii="Arial" w:hAnsi="Arial" w:cs="Arial"/>
        </w:rPr>
        <w:t>PSICOLOGÍA Y EPISTEMOLOGÍA GENÉTICA</w:t>
      </w:r>
    </w:p>
    <w:p w14:paraId="09A0E8C4" w14:textId="4CF5D7DB" w:rsidR="00317ED6" w:rsidRDefault="00317ED6" w:rsidP="00317ED6">
      <w:pPr>
        <w:pStyle w:val="Sinespaciado"/>
        <w:spacing w:line="480" w:lineRule="auto"/>
        <w:jc w:val="center"/>
        <w:rPr>
          <w:rFonts w:ascii="Arial" w:hAnsi="Arial" w:cs="Arial"/>
        </w:rPr>
      </w:pPr>
      <w:r>
        <w:rPr>
          <w:rFonts w:ascii="Arial" w:hAnsi="Arial" w:cs="Arial"/>
        </w:rPr>
        <w:t>MARIA VICTORIA ZION</w:t>
      </w:r>
    </w:p>
    <w:p w14:paraId="64E65C30" w14:textId="0E248878" w:rsidR="00F710E3" w:rsidRDefault="00F710E3" w:rsidP="00317ED6">
      <w:pPr>
        <w:pStyle w:val="Sinespaciado"/>
        <w:spacing w:line="480" w:lineRule="auto"/>
        <w:jc w:val="center"/>
        <w:rPr>
          <w:rFonts w:ascii="Arial" w:hAnsi="Arial" w:cs="Arial"/>
        </w:rPr>
      </w:pPr>
      <w:r>
        <w:rPr>
          <w:rFonts w:ascii="Arial" w:hAnsi="Arial" w:cs="Arial"/>
        </w:rPr>
        <w:t>2° PARCIAL</w:t>
      </w:r>
    </w:p>
    <w:p w14:paraId="746B7819" w14:textId="5F213C4C" w:rsidR="00F710E3" w:rsidRDefault="00F710E3" w:rsidP="00317ED6">
      <w:pPr>
        <w:pStyle w:val="Sinespaciado"/>
        <w:spacing w:line="480" w:lineRule="auto"/>
        <w:jc w:val="center"/>
        <w:rPr>
          <w:rFonts w:ascii="Arial" w:hAnsi="Arial" w:cs="Arial"/>
        </w:rPr>
      </w:pPr>
      <w:r>
        <w:rPr>
          <w:rFonts w:ascii="Arial" w:hAnsi="Arial" w:cs="Arial"/>
        </w:rPr>
        <w:t>1°C2025 – SEDE CENTRO – Turno Noche</w:t>
      </w:r>
    </w:p>
    <w:p w14:paraId="0D49A106" w14:textId="77777777" w:rsidR="00317ED6" w:rsidRDefault="00317ED6" w:rsidP="00317ED6">
      <w:pPr>
        <w:pStyle w:val="Sinespaciado"/>
        <w:spacing w:line="480" w:lineRule="auto"/>
        <w:jc w:val="center"/>
      </w:pPr>
      <w:r>
        <w:rPr>
          <w:rFonts w:ascii="Arial" w:hAnsi="Arial" w:cs="Arial"/>
        </w:rPr>
        <w:t>MATIAS SALIMBENE</w:t>
      </w:r>
    </w:p>
    <w:p w14:paraId="6FAAFA1A" w14:textId="77777777" w:rsidR="00317ED6" w:rsidRDefault="00317ED6" w:rsidP="00317ED6">
      <w:pPr>
        <w:pStyle w:val="Sinespaciado"/>
        <w:spacing w:line="480" w:lineRule="auto"/>
        <w:jc w:val="center"/>
      </w:pPr>
    </w:p>
    <w:p w14:paraId="450B9B5A" w14:textId="22FB3EFB" w:rsidR="00F710E3" w:rsidRDefault="00F710E3" w:rsidP="00F710E3">
      <w:pPr>
        <w:jc w:val="center"/>
      </w:pPr>
      <w:r>
        <w:br/>
      </w:r>
    </w:p>
    <w:p w14:paraId="1BABE619" w14:textId="77777777" w:rsidR="00F710E3" w:rsidRDefault="00F710E3">
      <w:r>
        <w:br w:type="page"/>
      </w:r>
    </w:p>
    <w:p w14:paraId="493F6B74" w14:textId="77777777" w:rsidR="00C15F7E" w:rsidRPr="00C15F7E"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lastRenderedPageBreak/>
        <w:t>En este escrito abordo la Toma 2 de lectoescritura realizada a Facundo, integrando dos conceptos que provienen de dominios distintos pero que se articulan de manera consistente en su producción: por un lado, el estadio preoperatorio y la función semiótica, y por otro, ciertos aspectos de la construcción del juicio moral. Aunque la entrevista se orienta específicamente al sistema de escritura, el modo en que Facundo se relaciona con la tarea, con el entrevistador y con las reglas implícitas del sistema permite observar rasgos de razonamiento moral propios de su momento evolutivo. El propósito es mostrar que, en el pensamiento preoperatorio, pueden reconocerse mecanismos comunes que organizan simultáneamente la representación escrita y la comprensión inicial de normas y autoridad.</w:t>
      </w:r>
    </w:p>
    <w:p w14:paraId="1A5850C4" w14:textId="67F8DFB7" w:rsidR="00C15F7E" w:rsidRPr="00C15F7E"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t>Según Piaget, entre los 2 y los 7 años el niño atraviesa el estadio preoperatorio, en el cual la función semiótica</w:t>
      </w:r>
      <w:r w:rsidR="00583B64">
        <w:rPr>
          <w:rFonts w:ascii="Arial" w:eastAsia="Times New Roman" w:hAnsi="Arial" w:cs="Arial"/>
          <w:kern w:val="0"/>
          <w:lang w:eastAsia="es-MX"/>
          <w14:ligatures w14:val="none"/>
        </w:rPr>
        <w:t xml:space="preserve">, </w:t>
      </w:r>
      <w:r w:rsidRPr="00C15F7E">
        <w:rPr>
          <w:rFonts w:ascii="Arial" w:eastAsia="Times New Roman" w:hAnsi="Arial" w:cs="Arial"/>
          <w:kern w:val="0"/>
          <w:lang w:eastAsia="es-MX"/>
          <w14:ligatures w14:val="none"/>
        </w:rPr>
        <w:t>la capacidad de representar objetos ausentes mediante imágenes, lenguaje o símbolos</w:t>
      </w:r>
      <w:r w:rsidR="00583B64">
        <w:rPr>
          <w:rFonts w:ascii="Arial" w:eastAsia="Times New Roman" w:hAnsi="Arial" w:cs="Arial"/>
          <w:kern w:val="0"/>
          <w:lang w:eastAsia="es-MX"/>
          <w14:ligatures w14:val="none"/>
        </w:rPr>
        <w:t xml:space="preserve">, </w:t>
      </w:r>
      <w:r w:rsidRPr="00C15F7E">
        <w:rPr>
          <w:rFonts w:ascii="Arial" w:eastAsia="Times New Roman" w:hAnsi="Arial" w:cs="Arial"/>
          <w:kern w:val="0"/>
          <w:lang w:eastAsia="es-MX"/>
          <w14:ligatures w14:val="none"/>
        </w:rPr>
        <w:t>se encuentra plenamente disponible. Este logro cognitivo hace posible la emergencia de la escritura como práctica representacional. Sin embargo, el pensamiento preoperatorio no constituye todavía un pensamiento operatorio: se caracteriza por centración, irreversibilidad y una fuerte dependencia de lo perceptivo. Esto se observa con claridad en las producciones de Facundo: emplea grafías con intención representativa, distingue dibujo y escritura y afirma que sus producciones “dicen algo”, pero organiza la escritura según criterios personales (cantidad, variedad de letras, apariencia) más que según las reglas convencionales del sistema alfabético. Como señala Ferreiro, en el nivel presilábico el niño utiliza símbolos sin una correspondencia sistemática entre fonema y grafema. Esta manera de organizar la escritura no solo expresa los límites del pensamiento preoperatorio, sino que también anticipa modos de relación con la norma que se manifiestan durante toda la entrevista.</w:t>
      </w:r>
    </w:p>
    <w:p w14:paraId="4BAA5190" w14:textId="77777777" w:rsidR="00C15F7E" w:rsidRPr="00C15F7E"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t xml:space="preserve">La dimensión moral permite iluminar esta continuidad. Piaget distingue entre moral heterónoma y moral autónoma, y hacia la edad de Facundo predomina claramente la primera: el respeto unilateral hacia el adulto, la dependencia de reglas externas y la obediencia basada en la autoridad más que en la comprensión interna </w:t>
      </w:r>
      <w:r w:rsidRPr="00C15F7E">
        <w:rPr>
          <w:rFonts w:ascii="Arial" w:eastAsia="Times New Roman" w:hAnsi="Arial" w:cs="Arial"/>
          <w:kern w:val="0"/>
          <w:lang w:eastAsia="es-MX"/>
          <w14:ligatures w14:val="none"/>
        </w:rPr>
        <w:lastRenderedPageBreak/>
        <w:t>de la norma. Las reglas son vividas como absolutas, impuestas desde afuera y ligadas a la figura adulta. Esta forma de regulación se articula con el modo en que el niño maneja otras normas sociales y simbólicas, entre ellas las del sistema de escritura.</w:t>
      </w:r>
    </w:p>
    <w:p w14:paraId="27FF1DE3" w14:textId="77777777" w:rsidR="00C15F7E" w:rsidRPr="00C15F7E"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t>En el análisis puntual de la toma, se observa que Facundo produce escrituras propias del nivel presilábico, con algunos indicios de transición hacia lo silábico. Sus producciones (“FAU”, “MAMAM”, “SEO”, “GTO”) evidencian que reconoce la escritura como representación del lenguaje, pero aún no ha descubierto el principio alfabético. La función semiótica está presente, aunque de manera parcial: permite la intención representativa, pero no alcanza para coordinar sonido y letra ni para comprender la escritura como un sistema convencional sujeto a restricciones específicas. Esta limitación cognitiva se expresa también cuando se le pide explicar qué dice cada palabra: sus respuestas se apoyan en asociaciones globales o en la simple idea de que “ahí dice algo”, sin criterios fonéticos. La variabilidad de sus grafías ante un mismo estímulo no le genera conflicto, lo cual muestra que el sistema que está construyendo todavía no incorpora los límites internos del objeto escritura.</w:t>
      </w:r>
    </w:p>
    <w:p w14:paraId="4E0FC374" w14:textId="0E0A2E95" w:rsidR="00C15F7E" w:rsidRPr="00C15F7E"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t xml:space="preserve">Su modo de enfrentar las dificultades durante la tarea revela la otra dimensión analizada: cuando se encuentra con palabras desconocidas o cuando no sabe cómo continuar, su primera reacción es detenerse y esperar la intervención del adulto. Incluso cuando el entrevistador no corrige explícitamente, Facundo lo mira, consulta o busca gestos que le indiquen si lo que hace está bien. Esto indica que la actividad no es vivida como un desafío que pueda resolver apelando a criterios propios, sino como una situación regulada por la autoridad adulta. El malestar o fastidio que aparece ante la incertidumbre sugiere que la legitimidad de la escritura no reside para él en el sistema gráfico en sí mismo, sino en la validación externa. Su dependencia </w:t>
      </w:r>
      <w:r w:rsidR="004F2025">
        <w:rPr>
          <w:rFonts w:ascii="Arial" w:eastAsia="Times New Roman" w:hAnsi="Arial" w:cs="Arial"/>
          <w:kern w:val="0"/>
          <w:lang w:eastAsia="es-MX"/>
          <w14:ligatures w14:val="none"/>
        </w:rPr>
        <w:t>hacia el</w:t>
      </w:r>
      <w:r w:rsidRPr="00C15F7E">
        <w:rPr>
          <w:rFonts w:ascii="Arial" w:eastAsia="Times New Roman" w:hAnsi="Arial" w:cs="Arial"/>
          <w:kern w:val="0"/>
          <w:lang w:eastAsia="es-MX"/>
          <w14:ligatures w14:val="none"/>
        </w:rPr>
        <w:t xml:space="preserve"> entrevistador, particularmente visible en la intervención sobre la letra inicial de “limón”, confirma la sensibilidad del niño a la autoridad cognitiva: incorpora la indicación sin cuestionarla y reestructura su producción en función de ella, un rasgo característico de la moral heterónoma.</w:t>
      </w:r>
    </w:p>
    <w:p w14:paraId="5D805639" w14:textId="77777777" w:rsidR="00C15F7E" w:rsidRPr="00C15F7E"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lastRenderedPageBreak/>
        <w:t>A partir de estas observaciones, la articulación entre función semiótica y juicio moral se vuelve evidente. Si bien Facundo puede utilizar letras como símbolos y diferenciar la escritura del dibujo, todavía no dispone de las operaciones lógicas necesarias para comprender el sistema alfabético como una red de reglas convencionales. Este mismo límite aparece en su modo de relacionarse con la autoridad: al no contar con criterios internos para orientar su acción, depende de la figura adulta para validar y organizar su conducta. Así como no puede deducir las reglas del sistema de escritura, tampoco puede sostener reglas morales autónomas. En ambos dominios, la regulación proviene desde afuera y se organiza alrededor de la presencia, explícita o implícita, del adulto.</w:t>
      </w:r>
    </w:p>
    <w:p w14:paraId="0C2EBF3B" w14:textId="77777777" w:rsidR="00FA524C"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t xml:space="preserve">Ambas dimensiones dependen de la misma estructura cognitiva subyacente: la centración, la irreversibilidad y la dificultad para coordinar múltiples aspectos de una situación explican tanto las hipótesis infantiles en escritura como la forma en que Facundo asume y cumple normas sociales. En el plano simbólico, esto se traduce en escrituras presilábicas; en el plano moral, en obediencia heterónoma. </w:t>
      </w:r>
    </w:p>
    <w:p w14:paraId="726821DF" w14:textId="70190DAE" w:rsidR="00C15F7E" w:rsidRPr="00C15F7E" w:rsidRDefault="00C15F7E" w:rsidP="00C15F7E">
      <w:pPr>
        <w:spacing w:before="100" w:beforeAutospacing="1" w:after="100" w:afterAutospacing="1" w:line="360" w:lineRule="auto"/>
        <w:ind w:firstLine="284"/>
        <w:jc w:val="both"/>
        <w:rPr>
          <w:rFonts w:ascii="Arial" w:eastAsia="Times New Roman" w:hAnsi="Arial" w:cs="Arial"/>
          <w:kern w:val="0"/>
          <w:lang w:eastAsia="es-MX"/>
          <w14:ligatures w14:val="none"/>
        </w:rPr>
      </w:pPr>
      <w:r w:rsidRPr="00C15F7E">
        <w:rPr>
          <w:rFonts w:ascii="Arial" w:eastAsia="Times New Roman" w:hAnsi="Arial" w:cs="Arial"/>
          <w:kern w:val="0"/>
          <w:lang w:eastAsia="es-MX"/>
          <w14:ligatures w14:val="none"/>
        </w:rPr>
        <w:t>El método clínico-crítico permite captar estas organizaciones profundas, porque no indaga solo en los productos sino en el razonamiento que los sostiene, revelando cómo distintos dominios del desarrollo se articulan en torno a las mismas formas de pensamiento.</w:t>
      </w:r>
    </w:p>
    <w:p w14:paraId="65D4778D" w14:textId="76F4DD71" w:rsidR="00317ED6" w:rsidRDefault="00317ED6">
      <w:pPr>
        <w:rPr>
          <w:rFonts w:ascii="Arial" w:hAnsi="Arial" w:cs="Arial"/>
        </w:rPr>
      </w:pPr>
    </w:p>
    <w:p w14:paraId="399867E2" w14:textId="77777777" w:rsidR="00C15F7E" w:rsidRDefault="00C15F7E">
      <w:pPr>
        <w:rPr>
          <w:rFonts w:ascii="Arial" w:hAnsi="Arial" w:cs="Arial"/>
          <w:b/>
          <w:bCs/>
        </w:rPr>
      </w:pPr>
      <w:r>
        <w:rPr>
          <w:rFonts w:ascii="Arial" w:hAnsi="Arial" w:cs="Arial"/>
          <w:b/>
          <w:bCs/>
        </w:rPr>
        <w:br w:type="page"/>
      </w:r>
    </w:p>
    <w:p w14:paraId="2BB545FD" w14:textId="0F909B09" w:rsidR="00F710E3" w:rsidRPr="00317ED6" w:rsidRDefault="00317ED6" w:rsidP="00753836">
      <w:pPr>
        <w:spacing w:line="360" w:lineRule="auto"/>
        <w:jc w:val="both"/>
        <w:rPr>
          <w:rFonts w:ascii="Arial" w:hAnsi="Arial" w:cs="Arial"/>
          <w:b/>
          <w:bCs/>
        </w:rPr>
      </w:pPr>
      <w:r w:rsidRPr="00317ED6">
        <w:rPr>
          <w:rFonts w:ascii="Arial" w:hAnsi="Arial" w:cs="Arial"/>
          <w:b/>
          <w:bCs/>
        </w:rPr>
        <w:lastRenderedPageBreak/>
        <w:t>Bibliografía</w:t>
      </w:r>
    </w:p>
    <w:p w14:paraId="17785883" w14:textId="729AC2DA" w:rsidR="00317ED6" w:rsidRPr="00317ED6" w:rsidRDefault="00317ED6" w:rsidP="00317ED6">
      <w:pPr>
        <w:spacing w:line="360" w:lineRule="auto"/>
        <w:jc w:val="both"/>
        <w:rPr>
          <w:rFonts w:ascii="Arial" w:hAnsi="Arial" w:cs="Arial"/>
        </w:rPr>
      </w:pPr>
      <w:r w:rsidRPr="00317ED6">
        <w:rPr>
          <w:rFonts w:ascii="Arial" w:hAnsi="Arial" w:cs="Arial"/>
        </w:rPr>
        <w:t>Castorina, J. A., Lenzi, A. M., &amp; Fernández, S. (1984). Alcances del método de exploración crítica en psicología genética. Miño y Dávila.</w:t>
      </w:r>
    </w:p>
    <w:p w14:paraId="7EE84665" w14:textId="1698575B" w:rsidR="00317ED6" w:rsidRPr="00317ED6" w:rsidRDefault="00317ED6" w:rsidP="00317ED6">
      <w:pPr>
        <w:spacing w:line="360" w:lineRule="auto"/>
        <w:jc w:val="both"/>
        <w:rPr>
          <w:rFonts w:ascii="Arial" w:hAnsi="Arial" w:cs="Arial"/>
        </w:rPr>
      </w:pPr>
      <w:r w:rsidRPr="00317ED6">
        <w:rPr>
          <w:rFonts w:ascii="Arial" w:hAnsi="Arial" w:cs="Arial"/>
        </w:rPr>
        <w:t>Piaget, J. (1979). Seis estudios de Psicología. Seix Barral.</w:t>
      </w:r>
    </w:p>
    <w:p w14:paraId="2FE1825C" w14:textId="1D52D65D" w:rsidR="00317ED6" w:rsidRPr="00317ED6" w:rsidRDefault="00317ED6" w:rsidP="00317ED6">
      <w:pPr>
        <w:spacing w:line="360" w:lineRule="auto"/>
        <w:jc w:val="both"/>
        <w:rPr>
          <w:rFonts w:ascii="Arial" w:hAnsi="Arial" w:cs="Arial"/>
        </w:rPr>
      </w:pPr>
      <w:r w:rsidRPr="00317ED6">
        <w:rPr>
          <w:rFonts w:ascii="Arial" w:hAnsi="Arial" w:cs="Arial"/>
        </w:rPr>
        <w:t>Piaget, J. (1980). Psicología del niño. Morata.</w:t>
      </w:r>
    </w:p>
    <w:p w14:paraId="786A02C1" w14:textId="0870BFC7" w:rsidR="00317ED6" w:rsidRPr="00317ED6" w:rsidRDefault="00317ED6" w:rsidP="00317ED6">
      <w:pPr>
        <w:spacing w:line="360" w:lineRule="auto"/>
        <w:jc w:val="both"/>
        <w:rPr>
          <w:rFonts w:ascii="Arial" w:hAnsi="Arial" w:cs="Arial"/>
        </w:rPr>
      </w:pPr>
      <w:r w:rsidRPr="00317ED6">
        <w:rPr>
          <w:rFonts w:ascii="Arial" w:hAnsi="Arial" w:cs="Arial"/>
        </w:rPr>
        <w:t>Lenzi, A. M., &amp; Borzi, S. (2016). En Borzi (Coord.), El desarrollo infantil del conocimiento sobre la sociedad. EDULP.</w:t>
      </w:r>
    </w:p>
    <w:p w14:paraId="1C09E713" w14:textId="36D58FA6" w:rsidR="00317ED6" w:rsidRPr="00F710E3" w:rsidRDefault="00317ED6" w:rsidP="00317ED6">
      <w:pPr>
        <w:spacing w:line="360" w:lineRule="auto"/>
        <w:jc w:val="both"/>
        <w:rPr>
          <w:rFonts w:ascii="Arial" w:hAnsi="Arial" w:cs="Arial"/>
        </w:rPr>
      </w:pPr>
      <w:r w:rsidRPr="00317ED6">
        <w:rPr>
          <w:rFonts w:ascii="Arial" w:hAnsi="Arial" w:cs="Arial"/>
        </w:rPr>
        <w:t>Ferreiro, E. (1986). “La complejidad conceptual de la escritura”. En Escritura y alfabetización. El Ermitaño.</w:t>
      </w:r>
    </w:p>
    <w:sectPr w:rsidR="00317ED6" w:rsidRPr="00F710E3" w:rsidSect="00F710E3">
      <w:headerReference w:type="default" r:id="rId7"/>
      <w:footerReference w:type="even" r:id="rId8"/>
      <w:footerReference w:type="default" r:id="rId9"/>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6F9D" w14:textId="77777777" w:rsidR="00B114E4" w:rsidRDefault="00B114E4" w:rsidP="005A0F94">
      <w:pPr>
        <w:spacing w:after="0" w:line="240" w:lineRule="auto"/>
      </w:pPr>
      <w:r>
        <w:separator/>
      </w:r>
    </w:p>
  </w:endnote>
  <w:endnote w:type="continuationSeparator" w:id="0">
    <w:p w14:paraId="4D4E1E4B" w14:textId="77777777" w:rsidR="00B114E4" w:rsidRDefault="00B114E4"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Content>
      <w:p w14:paraId="775603DE"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9DF6332"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Content>
      <w:p w14:paraId="2DA10632"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1577749F"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E9E7" w14:textId="77777777" w:rsidR="00B114E4" w:rsidRDefault="00B114E4" w:rsidP="005A0F94">
      <w:pPr>
        <w:spacing w:after="0" w:line="240" w:lineRule="auto"/>
      </w:pPr>
      <w:r>
        <w:separator/>
      </w:r>
    </w:p>
  </w:footnote>
  <w:footnote w:type="continuationSeparator" w:id="0">
    <w:p w14:paraId="692641DD" w14:textId="77777777" w:rsidR="00B114E4" w:rsidRDefault="00B114E4"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2061" w14:textId="3732C79A" w:rsidR="005A0F94" w:rsidRDefault="00F710E3" w:rsidP="005A0F94">
    <w:pPr>
      <w:pStyle w:val="Encabezado"/>
      <w:pBdr>
        <w:bottom w:val="single" w:sz="4" w:space="1" w:color="auto"/>
      </w:pBdr>
    </w:pPr>
    <w:r>
      <w:t xml:space="preserve">Psicología Epistemológica y Genética </w:t>
    </w:r>
    <w:r w:rsidR="00086645">
      <w:t>–</w:t>
    </w:r>
    <w:r w:rsidR="005A0F94">
      <w:t xml:space="preserve"> </w:t>
    </w:r>
    <w:r w:rsidR="00D1099D">
      <w:t>2do</w:t>
    </w:r>
    <w:r w:rsidR="00086645">
      <w:t xml:space="preserve"> Parcial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F3D3A83"/>
    <w:multiLevelType w:val="multilevel"/>
    <w:tmpl w:val="E4C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73874098">
    <w:abstractNumId w:val="3"/>
  </w:num>
  <w:num w:numId="2" w16cid:durableId="677388121">
    <w:abstractNumId w:val="0"/>
  </w:num>
  <w:num w:numId="3" w16cid:durableId="767776754">
    <w:abstractNumId w:val="2"/>
  </w:num>
  <w:num w:numId="4" w16cid:durableId="181791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6"/>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0E3"/>
    <w:rsid w:val="00025300"/>
    <w:rsid w:val="00041255"/>
    <w:rsid w:val="000616DD"/>
    <w:rsid w:val="000759B3"/>
    <w:rsid w:val="00086645"/>
    <w:rsid w:val="001F6321"/>
    <w:rsid w:val="0021079D"/>
    <w:rsid w:val="00237321"/>
    <w:rsid w:val="00264D87"/>
    <w:rsid w:val="0027132F"/>
    <w:rsid w:val="00281A98"/>
    <w:rsid w:val="002A64BD"/>
    <w:rsid w:val="00317ED6"/>
    <w:rsid w:val="00344D38"/>
    <w:rsid w:val="004D6C2F"/>
    <w:rsid w:val="004F2025"/>
    <w:rsid w:val="00521596"/>
    <w:rsid w:val="00583B64"/>
    <w:rsid w:val="005A0F94"/>
    <w:rsid w:val="005C4EC6"/>
    <w:rsid w:val="00682C73"/>
    <w:rsid w:val="006944F8"/>
    <w:rsid w:val="00753836"/>
    <w:rsid w:val="00767E34"/>
    <w:rsid w:val="007B114D"/>
    <w:rsid w:val="007E51AF"/>
    <w:rsid w:val="0081051C"/>
    <w:rsid w:val="00834C8F"/>
    <w:rsid w:val="008B4C37"/>
    <w:rsid w:val="008C5956"/>
    <w:rsid w:val="00932E41"/>
    <w:rsid w:val="009A6400"/>
    <w:rsid w:val="00A04DA2"/>
    <w:rsid w:val="00A5796E"/>
    <w:rsid w:val="00B0014A"/>
    <w:rsid w:val="00B114E4"/>
    <w:rsid w:val="00C15F7E"/>
    <w:rsid w:val="00C5662E"/>
    <w:rsid w:val="00D06E6E"/>
    <w:rsid w:val="00D1099D"/>
    <w:rsid w:val="00D70E94"/>
    <w:rsid w:val="00D84E77"/>
    <w:rsid w:val="00D85B6E"/>
    <w:rsid w:val="00DE4200"/>
    <w:rsid w:val="00E866D5"/>
    <w:rsid w:val="00F27710"/>
    <w:rsid w:val="00F70214"/>
    <w:rsid w:val="00F710E3"/>
    <w:rsid w:val="00F84F2F"/>
    <w:rsid w:val="00FA52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FA1F4"/>
  <w15:chartTrackingRefBased/>
  <w15:docId w15:val="{93741953-162F-0A49-9D9B-D6E10B08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styleId="Sinespaciado">
    <w:name w:val="No Spacing"/>
    <w:basedOn w:val="Normal"/>
    <w:uiPriority w:val="1"/>
    <w:qFormat/>
    <w:rsid w:val="00F710E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2">
    <w:name w:val="p2"/>
    <w:basedOn w:val="Normal"/>
    <w:rsid w:val="00F710E3"/>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51</TotalTime>
  <Pages>5</Pages>
  <Words>1035</Words>
  <Characters>5693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34</cp:revision>
  <dcterms:created xsi:type="dcterms:W3CDTF">2025-11-16T13:38:00Z</dcterms:created>
  <dcterms:modified xsi:type="dcterms:W3CDTF">2025-11-20T10:40:00Z</dcterms:modified>
</cp:coreProperties>
</file>