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RESUMEN INTEGRADOR – FILOSOFÍA Y PSICOANÁLISIS</w:t>
      </w:r>
    </w:p>
    <w:p/>
    <w:p>
      <w:pPr>
        <w:pStyle w:val="Heading1"/>
      </w:pPr>
      <w:r>
        <w:t>INTRODUCCIÓN</w:t>
      </w:r>
    </w:p>
    <w:p>
      <w:r>
        <w:t>El examen recorre dos grandes ejes: la construcción freudiana de la moral –desde el mito totémico hasta el malestar en la cultura– y la relección lacaniana de la ética como asunto del deseo y el goce. Freud opera siempre con un modelo económico-dinámico (flujo de energía pulsional) y Lacan reescribe esa economía en la lógica del significante. Cada tema se desarrolla de forma continua para que puedas leer de corrido y ver las conexiones conceptuales.</w:t>
      </w:r>
    </w:p>
    <w:p/>
    <w:p>
      <w:r>
        <w:t>1. EL ORIGEN DE LA MORAL EN FREUD</w:t>
      </w:r>
    </w:p>
    <w:p>
      <w:r>
        <w:t xml:space="preserve">Freud reconstruye el surgimiento de la ética a partir de la horda primitiva (Tótem y tabú, 1913). El asesinato y devoración del padre funda las prohibiciones universales de incesto y parricidio y deja como saldo la culpa introyectada en el superyó. </w:t>
      </w:r>
    </w:p>
    <w:p>
      <w:r>
        <w:t xml:space="preserve">En Introducción del narcisismo (1914) el ideal del yo se fusiona con esa voz punitiva: cuanto más moral se vuelve el sujeto, más exigente es su superyó. </w:t>
      </w:r>
    </w:p>
    <w:p>
      <w:r>
        <w:t>El malestar en la cultura (1930) generaliza el problema: la convivencia social exige renuncia pulsional y transforma la agresión hacia afuera en auto‑agresión; una cultura refinada produce sujetos más culpables, no necesariamente más virtuosos.</w:t>
      </w:r>
    </w:p>
    <w:p/>
    <w:p>
      <w:pPr>
        <w:pStyle w:val="Heading1"/>
      </w:pPr>
      <w:r>
        <w:t>2. ÉTICA Y TÓPICAS FREUDIANAS</w:t>
      </w:r>
    </w:p>
    <w:p>
      <w:r>
        <w:t>Primera tópica (Consciente‑Preconsciente‑Inconsciente). Los dos principios del acaecer psíquico (1911) contrapone principio de placer y principio de realidad. La cura ética es “hacer consciente lo inconsciente”, pero Recordar, repetir, reelaborar (1914) muestra que el síntoma retorna como repetición compulsiva.</w:t>
      </w:r>
    </w:p>
    <w:p>
      <w:r>
        <w:t>Segunda tópica (yo‑ello‑superyó). En El yo y el ello (1923) el conflicto pasa a las instancias psíquicas. Con Más allá del principio del placer (1920) la pulsión de muerte explica la repetición autodestructiva. Surgen el sentimiento inconsciente de culpa y la necesidad de castigo, típicos del masoquismo moral. La pregunta ética deviene: ¿quién desea y quién castiga dentro del sujeto?</w:t>
      </w:r>
    </w:p>
    <w:p/>
    <w:p>
      <w:r>
        <w:t>3. LACAN Y LA ÉTICA DEL DESEO (Seminario VII)</w:t>
      </w:r>
    </w:p>
    <w:p>
      <w:r>
        <w:t>Para Lacan la ética se centra en el deseo: “No cedas sobre tu deseo”. Este surge entre demanda y goce, y su objeto a es una falta estructural. Antígona encarna el paradigma: sostener el deseo más allá de la ley común puede conducir a la muerte simbólica. La tarea analítica es atravesar el fantasma que vela la falta y responsabilizarse por el exceso de goce.</w:t>
      </w:r>
    </w:p>
    <w:p/>
    <w:p>
      <w:pPr>
        <w:pStyle w:val="Heading1"/>
      </w:pPr>
      <w:r>
        <w:t>4. DESARROLLOS POSTERIORES DE LACAN</w:t>
      </w:r>
    </w:p>
    <w:p>
      <w:r>
        <w:t xml:space="preserve">• Seminario XX – Aún (1972‑73): diferencia goce fálico (limitado por la castración) y goce Otro, no‑todo. </w:t>
      </w:r>
    </w:p>
    <w:p>
      <w:r>
        <w:t xml:space="preserve">• Seminario XXII – RSI (1974‑75): sujeto como nudo borromeo Real‑Simbólico‑Imaginario; la ética consiste en mantener el anudamiento. </w:t>
      </w:r>
    </w:p>
    <w:p>
      <w:r>
        <w:t>• Seminario XXIV (1976‑77): po‑ética; saber‑hacer con el síntoma, inventar una forma singular de gozar sin ideal trágico.</w:t>
      </w:r>
    </w:p>
    <w:p/>
    <w:p>
      <w:pPr>
        <w:pStyle w:val="Heading1"/>
      </w:pPr>
      <w:r>
        <w:t>5. ARTICULACIONES COMPARADAS</w:t>
      </w:r>
    </w:p>
    <w:p>
      <w:r>
        <w:t xml:space="preserve">• Imperativo kantiano vs. superyó freudiano: la ley racional se invierte en mandato irracional de goce.  </w:t>
      </w:r>
    </w:p>
    <w:p>
      <w:r>
        <w:t xml:space="preserve">• Aristóteles busca la eudaimonía; Freud y Lacan exhiben un conflicto pulsional irresoluble.  </w:t>
      </w:r>
    </w:p>
    <w:p>
      <w:r>
        <w:t>• La salida no es la felicidad sino la responsabilidad por el modo de gozar.</w:t>
      </w:r>
    </w:p>
    <w:p/>
    <w:p>
      <w:pPr>
        <w:pStyle w:val="Heading1"/>
      </w:pPr>
      <w:r>
        <w:t>CLAVE DE ESTUDIO</w:t>
      </w:r>
    </w:p>
    <w:p>
      <w:r>
        <w:t>1. Eje cronológico: Freud 1895‑1939; Lacan 1936‑1980.</w:t>
      </w:r>
    </w:p>
    <w:p>
      <w:r>
        <w:t>2. Vincular concepto‑texto‑ejemplo (superyó – Malestar, 1930 – culpa sin falta).</w:t>
      </w:r>
    </w:p>
    <w:p>
      <w:r>
        <w:t>3. Practicar el caso Antígona para la ética del deseo.</w:t>
      </w:r>
    </w:p>
    <w:p>
      <w:r>
        <w:t>4. Usar diagramas de las dos tópicas y del nudo RSI para repasar.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