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2F6BA" w14:textId="77777777" w:rsidR="002D58D1" w:rsidRDefault="002D58D1" w:rsidP="002D58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1ff1" w:eastAsia="Times New Roman" w:hAnsi="pg-1ff1" w:cs="Times New Roman"/>
          <w:color w:val="000000"/>
          <w:sz w:val="60"/>
          <w:szCs w:val="60"/>
          <w:lang w:eastAsia="es-AR"/>
        </w:rPr>
      </w:pPr>
      <w:r>
        <w:rPr>
          <w:rFonts w:ascii="pg-1ff1" w:eastAsia="Times New Roman" w:hAnsi="pg-1ff1" w:cs="Times New Roman"/>
          <w:color w:val="000000"/>
          <w:sz w:val="60"/>
          <w:szCs w:val="60"/>
          <w:lang w:eastAsia="es-AR"/>
        </w:rPr>
        <w:t>1</w:t>
      </w:r>
    </w:p>
    <w:p w14:paraId="45D2F6B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UNIVERSIDAD DE CIENCIAS EMPRESARIALES Y SOCIALES</w:t>
      </w:r>
    </w:p>
    <w:p w14:paraId="45D2F6B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FACULTAD DE PSICOLOGÍA Y CIENCIAS SOCIALES</w:t>
      </w:r>
    </w:p>
    <w:p w14:paraId="45D2F6B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Carrera:                                          Licenciatura en Psicología</w:t>
      </w:r>
    </w:p>
    <w:p w14:paraId="45D2F6B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Asignatura:                                    Lingüística y Semiología</w:t>
      </w:r>
    </w:p>
    <w:p w14:paraId="45D2F6B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Curso:                                            1er. Año</w:t>
      </w:r>
    </w:p>
    <w:p w14:paraId="45D2F6C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Año lectivo:                                   2026</w:t>
      </w:r>
    </w:p>
    <w:p w14:paraId="45D2F6C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Duración:                                       Cuatrimestral</w:t>
      </w:r>
    </w:p>
    <w:p w14:paraId="45D2F6C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Carga Horaria Total:                     72 </w:t>
      </w:r>
      <w:proofErr w:type="spellStart"/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hs</w:t>
      </w:r>
      <w:proofErr w:type="spellEnd"/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.</w:t>
      </w:r>
    </w:p>
    <w:p w14:paraId="45D2F6C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Carga horaria Semanal:               4,5 </w:t>
      </w:r>
      <w:proofErr w:type="spellStart"/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hs</w:t>
      </w:r>
      <w:proofErr w:type="spellEnd"/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.</w:t>
      </w:r>
    </w:p>
    <w:p w14:paraId="45D2F6C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Aporte a la formación Práctica: 8 </w:t>
      </w:r>
      <w:proofErr w:type="spellStart"/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hs</w:t>
      </w:r>
      <w:proofErr w:type="spellEnd"/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.</w:t>
      </w:r>
    </w:p>
    <w:p w14:paraId="45D2F6C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Docentes a cargo:                         Prof. Titular Lic. Claudia López </w:t>
      </w:r>
      <w:proofErr w:type="spellStart"/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Neglia</w:t>
      </w:r>
      <w:proofErr w:type="spellEnd"/>
    </w:p>
    <w:p w14:paraId="45D2F6C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                                                        Prof. Adjunta Lic. Fernanda Guerra</w:t>
      </w:r>
    </w:p>
    <w:p w14:paraId="45D2F6C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3" w:eastAsia="Times New Roman" w:hAnsi="pg-1ff3" w:cs="Times New Roman"/>
          <w:color w:val="000000"/>
          <w:sz w:val="28"/>
          <w:szCs w:val="28"/>
          <w:lang w:eastAsia="es-AR"/>
        </w:rPr>
      </w:pPr>
      <w:r>
        <w:rPr>
          <w:rFonts w:ascii="pg-1ff3" w:eastAsia="Times New Roman" w:hAnsi="pg-1ff3" w:cs="Times New Roman"/>
          <w:color w:val="000000"/>
          <w:sz w:val="28"/>
          <w:szCs w:val="28"/>
          <w:lang w:eastAsia="es-AR"/>
        </w:rPr>
        <w:t xml:space="preserve">                                                        </w:t>
      </w: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Prof. Adjunta Lic. Samanta Jurado</w:t>
      </w:r>
    </w:p>
    <w:p w14:paraId="45D2F6C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                                                        Prof. Adjunta Lic. Silvana </w:t>
      </w:r>
      <w:proofErr w:type="spellStart"/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>Spinozzi</w:t>
      </w:r>
      <w:proofErr w:type="spellEnd"/>
    </w:p>
    <w:p w14:paraId="45D2F6C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                  Prof. Adjunta Lic. Fabiola Di Mare Linares</w:t>
      </w:r>
    </w:p>
    <w:p w14:paraId="45D2F6C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</w:pPr>
      <w:r>
        <w:rPr>
          <w:rFonts w:ascii="pg-1ff2" w:eastAsia="Times New Roman" w:hAnsi="pg-1ff2" w:cs="Times New Roman"/>
          <w:color w:val="000000"/>
          <w:sz w:val="28"/>
          <w:szCs w:val="28"/>
          <w:lang w:eastAsia="es-AR"/>
        </w:rPr>
        <w:t xml:space="preserve">                                                        </w:t>
      </w:r>
    </w:p>
    <w:p w14:paraId="45D2F6C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1ff3" w:eastAsia="Times New Roman" w:hAnsi="pg-1ff3" w:cs="Times New Roman"/>
          <w:color w:val="000000"/>
          <w:sz w:val="28"/>
          <w:szCs w:val="28"/>
          <w:lang w:eastAsia="es-AR"/>
        </w:rPr>
      </w:pPr>
      <w:r>
        <w:rPr>
          <w:rFonts w:ascii="pg-1ff3" w:eastAsia="Times New Roman" w:hAnsi="pg-1ff3" w:cs="Times New Roman"/>
          <w:color w:val="000000"/>
          <w:sz w:val="28"/>
          <w:szCs w:val="28"/>
          <w:lang w:eastAsia="es-AR"/>
        </w:rPr>
        <w:t xml:space="preserve">  </w:t>
      </w:r>
    </w:p>
    <w:p w14:paraId="45D2F6CC" w14:textId="77777777" w:rsidR="002D58D1" w:rsidRDefault="002D58D1" w:rsidP="002D58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2ff1" w:eastAsia="Times New Roman" w:hAnsi="pg-2ff1" w:cs="Times New Roman"/>
          <w:color w:val="000000"/>
          <w:sz w:val="28"/>
          <w:szCs w:val="28"/>
          <w:lang w:eastAsia="es-AR"/>
        </w:rPr>
      </w:pPr>
      <w:r>
        <w:rPr>
          <w:rFonts w:ascii="pg-2ff1" w:eastAsia="Times New Roman" w:hAnsi="pg-2ff1" w:cs="Times New Roman"/>
          <w:color w:val="000000"/>
          <w:sz w:val="28"/>
          <w:szCs w:val="28"/>
          <w:lang w:eastAsia="es-AR"/>
        </w:rPr>
        <w:t>2</w:t>
      </w:r>
    </w:p>
    <w:p w14:paraId="45D2F6C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</w:pPr>
      <w:r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  <w:t>1. Finalidad de la asignatura</w:t>
      </w:r>
    </w:p>
    <w:p w14:paraId="45D2F6C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La presencia de la asignatura en la Carrera de Psicología responde a la necesidad de </w:t>
      </w:r>
    </w:p>
    <w:p w14:paraId="45D2F6C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ubicar   a   la   Lingüística   y   a   la   Semiología   como   ciencias   de   las   significaciones, </w:t>
      </w:r>
    </w:p>
    <w:p w14:paraId="45D2F6D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propiciando   en   los   futuros   profesionales   la   posibilidad  de   configurar   herramientas </w:t>
      </w:r>
    </w:p>
    <w:p w14:paraId="45D2F6D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lastRenderedPageBreak/>
        <w:t xml:space="preserve">básicas de lectura e interpretación, y promoviendo la asunción de la importancia del </w:t>
      </w:r>
    </w:p>
    <w:p w14:paraId="45D2F6D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lenguaje como un modo fundamental en la producción de la significación social a partir </w:t>
      </w:r>
    </w:p>
    <w:p w14:paraId="45D2F6D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de sus manifestaciones y efectos. </w:t>
      </w:r>
    </w:p>
    <w:p w14:paraId="45D2F6D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Por ello el desarrollo del programa intenta orientar a los alumnos en el aprovechamiento </w:t>
      </w:r>
    </w:p>
    <w:p w14:paraId="45D2F6D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de los aportes teóricos y prácticos de la materia, de modo tal que el resultado apunte a </w:t>
      </w:r>
    </w:p>
    <w:p w14:paraId="45D2F6D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favorecer la reflexión crítica sobre los mensajes culturales, promoviendo a su vez, el </w:t>
      </w:r>
    </w:p>
    <w:p w14:paraId="45D2F6D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reconocimiento de los diversos espacios interdisciplinarios que operan e interactúan </w:t>
      </w:r>
    </w:p>
    <w:p w14:paraId="45D2F6D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actualmente en el campo psicológico.</w:t>
      </w:r>
    </w:p>
    <w:p w14:paraId="45D2F6D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Al mismo tiempo, a partir de la consideración de las estrategias discursivas como </w:t>
      </w:r>
    </w:p>
    <w:p w14:paraId="45D2F6D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instrumentos para el desempeño profesional, la asignatura se propone desarrollar en los </w:t>
      </w:r>
    </w:p>
    <w:p w14:paraId="45D2F6D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estudiantes competencias comunicativas que les permitan abordar eficazmente distintas </w:t>
      </w:r>
    </w:p>
    <w:p w14:paraId="45D2F6D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problemáticas propias de su especificidad.</w:t>
      </w:r>
    </w:p>
    <w:p w14:paraId="45D2F6D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</w:pPr>
      <w:r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  <w:t>2.</w:t>
      </w: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 </w:t>
      </w:r>
      <w:r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  <w:t xml:space="preserve">Objetivos </w:t>
      </w:r>
    </w:p>
    <w:p w14:paraId="45D2F6D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</w:pPr>
      <w:r>
        <w:rPr>
          <w:rFonts w:ascii="pg-2ff2" w:eastAsia="Times New Roman" w:hAnsi="pg-2ff2" w:cs="Times New Roman"/>
          <w:color w:val="000000"/>
          <w:sz w:val="28"/>
          <w:szCs w:val="28"/>
          <w:lang w:eastAsia="es-AR"/>
        </w:rPr>
        <w:t>2.1. Objetivos generales</w:t>
      </w:r>
    </w:p>
    <w:p w14:paraId="45D2F6DF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E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Adquirir conocimientos básicos de lingüística y semiología, en tanto saberes en los </w:t>
      </w:r>
    </w:p>
    <w:p w14:paraId="45D2F6E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que se basan diversas temáticas del campo inherente a la psicología.</w:t>
      </w:r>
    </w:p>
    <w:p w14:paraId="45D2F6E2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E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Internalizar y hacer propio el vocabulario específico de la asignatura.</w:t>
      </w:r>
    </w:p>
    <w:p w14:paraId="45D2F6E4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E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lastRenderedPageBreak/>
        <w:t>Comprometerse con la lectura y efectuar análisis críticos del material bibliográfico.</w:t>
      </w:r>
    </w:p>
    <w:p w14:paraId="45D2F6E6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E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Valorar la importancia del discurso como instrumento para la práctica profesional.</w:t>
      </w:r>
    </w:p>
    <w:p w14:paraId="45D2F6E8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E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Identificar espacios interdisciplinarios posibles con el terreno del conocimiento de la </w:t>
      </w:r>
    </w:p>
    <w:p w14:paraId="45D2F6E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lengua.</w:t>
      </w:r>
    </w:p>
    <w:p w14:paraId="45D2F6EB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E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Promover la escucha como herramienta en el quehacer profesional, apuntando al </w:t>
      </w:r>
    </w:p>
    <w:p w14:paraId="45D2F6E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sujeto de la enunciación como portadores de un saber no sabido.</w:t>
      </w:r>
    </w:p>
    <w:p w14:paraId="45D2F6EE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E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Promover la disposición para la investigación </w:t>
      </w:r>
    </w:p>
    <w:p w14:paraId="45D2F6F0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F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Desarrollar   un   posicionamiento   responsable,   reflexivo   y   ético   en   la   práctica </w:t>
      </w:r>
    </w:p>
    <w:p w14:paraId="45D2F6F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profesional. Desarrollar el pensamiento autónomo, reflexivo y crítico sin desmedro </w:t>
      </w:r>
    </w:p>
    <w:p w14:paraId="45D2F6F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 xml:space="preserve">del reconociendo del valor de la construcción del conocimiento compartido, fruto de </w:t>
      </w:r>
    </w:p>
    <w:p w14:paraId="45D2F6F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la participación e interacción con otro/s.</w:t>
      </w:r>
    </w:p>
    <w:p w14:paraId="45D2F6F5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F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Reconocer la necesidad del trabajo interdisciplinario.</w:t>
      </w:r>
    </w:p>
    <w:p w14:paraId="45D2F6F7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</w:pPr>
      <w:r>
        <w:rPr>
          <w:rFonts w:ascii="pg-2ff4" w:eastAsia="Times New Roman" w:hAnsi="pg-2ff4" w:cs="Times New Roman"/>
          <w:color w:val="000000"/>
          <w:sz w:val="28"/>
          <w:szCs w:val="28"/>
          <w:lang w:eastAsia="es-AR"/>
        </w:rPr>
        <w:sym w:font="Symbol" w:char="F0B7"/>
      </w:r>
    </w:p>
    <w:p w14:paraId="45D2F6F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</w:pPr>
      <w:r>
        <w:rPr>
          <w:rFonts w:ascii="pg-2ff3" w:eastAsia="Times New Roman" w:hAnsi="pg-2ff3" w:cs="Times New Roman"/>
          <w:color w:val="000000"/>
          <w:sz w:val="28"/>
          <w:szCs w:val="28"/>
          <w:lang w:eastAsia="es-AR"/>
        </w:rPr>
        <w:t>Promover e incentivar la búsqueda bibliográfica.</w:t>
      </w:r>
    </w:p>
    <w:p w14:paraId="45D2F6F9" w14:textId="77777777" w:rsidR="002D58D1" w:rsidRDefault="002D58D1" w:rsidP="002D58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3ff1" w:eastAsia="Times New Roman" w:hAnsi="pg-3ff1" w:cs="Times New Roman"/>
          <w:color w:val="000000"/>
          <w:sz w:val="28"/>
          <w:szCs w:val="28"/>
          <w:lang w:eastAsia="es-AR"/>
        </w:rPr>
      </w:pPr>
      <w:r>
        <w:rPr>
          <w:rFonts w:ascii="pg-3ff1" w:eastAsia="Times New Roman" w:hAnsi="pg-3ff1" w:cs="Times New Roman"/>
          <w:color w:val="000000"/>
          <w:sz w:val="28"/>
          <w:szCs w:val="28"/>
          <w:lang w:eastAsia="es-AR"/>
        </w:rPr>
        <w:t>3</w:t>
      </w:r>
    </w:p>
    <w:p w14:paraId="45D2F6F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</w:pPr>
      <w:r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  <w:t>2.2 Objetivos específicos</w:t>
      </w:r>
    </w:p>
    <w:p w14:paraId="45D2F6FB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14:paraId="45D2F6F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Identificar la diversidad de metalenguajes del campo semiótico en el contexto actual.</w:t>
      </w:r>
    </w:p>
    <w:p w14:paraId="45D2F6FD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14:paraId="45D2F6F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lastRenderedPageBreak/>
        <w:t>Conocer los conceptos principales aportados por la fundación saussureana.</w:t>
      </w:r>
    </w:p>
    <w:p w14:paraId="45D2F6FF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14:paraId="45D2F70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Reconocer las diferencias centrales entre el pensamiento </w:t>
      </w:r>
      <w:proofErr w:type="spellStart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sausureano</w:t>
      </w:r>
      <w:proofErr w:type="spellEnd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y </w:t>
      </w:r>
      <w:proofErr w:type="spellStart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peirciano</w:t>
      </w:r>
      <w:proofErr w:type="spellEnd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.</w:t>
      </w:r>
    </w:p>
    <w:p w14:paraId="45D2F701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14:paraId="45D2F70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Identificar los aportes de las teorías de la enunciación, para su aplicación en el </w:t>
      </w:r>
    </w:p>
    <w:p w14:paraId="45D2F70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análisis del discurso </w:t>
      </w:r>
    </w:p>
    <w:p w14:paraId="45D2F704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14:paraId="45D2F70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Conocer el aporte que produce el psicoanálisis, en Freud y Lacan, respecto del </w:t>
      </w:r>
    </w:p>
    <w:p w14:paraId="45D2F70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lenguaje.</w:t>
      </w:r>
    </w:p>
    <w:p w14:paraId="45D2F707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14:paraId="45D2F70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Reconocer las diferencias entre la lingüística y el psicoanálisis.</w:t>
      </w:r>
    </w:p>
    <w:p w14:paraId="45D2F709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14:paraId="45D2F70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Conocer y reflexionar sobre las tecnologías digitales de comunicación (por ejemplo </w:t>
      </w:r>
    </w:p>
    <w:p w14:paraId="45D2F70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blogs)</w:t>
      </w:r>
    </w:p>
    <w:p w14:paraId="45D2F70C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</w:pPr>
      <w:r>
        <w:rPr>
          <w:rFonts w:ascii="pg-3ff3" w:eastAsia="Times New Roman" w:hAnsi="pg-3ff3" w:cs="Times New Roman"/>
          <w:color w:val="000000"/>
          <w:sz w:val="28"/>
          <w:szCs w:val="28"/>
          <w:lang w:eastAsia="es-AR"/>
        </w:rPr>
        <w:sym w:font="Symbol" w:char="F0B7"/>
      </w:r>
    </w:p>
    <w:p w14:paraId="45D2F70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Aproximarse   al   análisis   discursivo   en   la   actualidad,   desde   el   estudio   de   la </w:t>
      </w:r>
    </w:p>
    <w:p w14:paraId="45D2F70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emergencia de la subjetividad adolescente en el lenguaje de las nuevas tecnologías.</w:t>
      </w:r>
    </w:p>
    <w:p w14:paraId="45D2F70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</w:pPr>
      <w:r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  <w:t>3. Contenidos de la materia</w:t>
      </w:r>
    </w:p>
    <w:p w14:paraId="45D2F71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</w:pPr>
      <w:r>
        <w:rPr>
          <w:rFonts w:ascii="pg-3ff2" w:eastAsia="Times New Roman" w:hAnsi="pg-3ff2" w:cs="Times New Roman"/>
          <w:color w:val="000000"/>
          <w:sz w:val="28"/>
          <w:szCs w:val="28"/>
          <w:lang w:eastAsia="es-AR"/>
        </w:rPr>
        <w:t xml:space="preserve">3.1 Contenidos mínimos de la materia </w:t>
      </w:r>
    </w:p>
    <w:p w14:paraId="45D2F71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Signo, lenguaje y sujeto. Definiciones de semiología y semiótica. Comunicación animal y </w:t>
      </w:r>
    </w:p>
    <w:p w14:paraId="45D2F71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lenguaje humano. Lingüística y semiología en la perspectiva saussureana. Teoría del </w:t>
      </w:r>
    </w:p>
    <w:p w14:paraId="45D2F71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signo. Significado. Significante. Arbitrariedad. Las oposiciones: lengua-habla; sincronía-</w:t>
      </w:r>
    </w:p>
    <w:p w14:paraId="45D2F71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lastRenderedPageBreak/>
        <w:t xml:space="preserve">diacronía;   sintagma-paradigma.   La   significación.   Denotación   y   connotación.   La </w:t>
      </w:r>
    </w:p>
    <w:p w14:paraId="45D2F71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semiótica </w:t>
      </w:r>
      <w:proofErr w:type="spellStart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peirciana</w:t>
      </w:r>
      <w:proofErr w:type="spellEnd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. Representamen, objeto e interpretante. La </w:t>
      </w:r>
      <w:proofErr w:type="spellStart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semiosis</w:t>
      </w:r>
      <w:proofErr w:type="spellEnd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social infinita. </w:t>
      </w:r>
    </w:p>
    <w:p w14:paraId="45D2F71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División del signo: Icono, índice y símbolo. El paradigma indiciario y su importancia en el </w:t>
      </w:r>
    </w:p>
    <w:p w14:paraId="45D2F71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psicoanálisis.   Aproximación   al   lenguaje   y   el   signo   en   Psicoanálisis.   La   primacía </w:t>
      </w:r>
    </w:p>
    <w:p w14:paraId="45D2F71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significante y la producción de sentido. La instancia de la letra. Metáfora y metonimia. </w:t>
      </w:r>
    </w:p>
    <w:p w14:paraId="45D2F71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Lenguaje y comunicación. Modelos de comunicación. El equívoco en la comunicación y </w:t>
      </w:r>
    </w:p>
    <w:p w14:paraId="45D2F71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los actos de habla. El signo ideológico, la </w:t>
      </w:r>
      <w:proofErr w:type="spellStart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multiacentualidad</w:t>
      </w:r>
      <w:proofErr w:type="spellEnd"/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 del signo: El caso del </w:t>
      </w:r>
    </w:p>
    <w:p w14:paraId="45D2F71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lenguaje   inclusivo.   Subjetividad   y   enunciación.   El   sujeto   en   el   discurso:   yo/tu. </w:t>
      </w:r>
    </w:p>
    <w:p w14:paraId="45D2F71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Enunciado/Enunciación.   La   no   persona   (el).   La   noción   de  </w:t>
      </w:r>
      <w:r>
        <w:rPr>
          <w:rFonts w:ascii="pg-3ff5" w:eastAsia="Times New Roman" w:hAnsi="pg-3ff5" w:cs="Times New Roman"/>
          <w:color w:val="000000"/>
          <w:sz w:val="28"/>
          <w:szCs w:val="28"/>
          <w:lang w:eastAsia="es-AR"/>
        </w:rPr>
        <w:t>ethos</w:t>
      </w: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 xml:space="preserve">:   el   enunciador </w:t>
      </w:r>
    </w:p>
    <w:p w14:paraId="45D2F71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</w:pPr>
      <w:r>
        <w:rPr>
          <w:rFonts w:ascii="pg-3ff4" w:eastAsia="Times New Roman" w:hAnsi="pg-3ff4" w:cs="Times New Roman"/>
          <w:color w:val="000000"/>
          <w:sz w:val="28"/>
          <w:szCs w:val="28"/>
          <w:lang w:eastAsia="es-AR"/>
        </w:rPr>
        <w:t>encarnado.</w:t>
      </w:r>
    </w:p>
    <w:p w14:paraId="45D2F71E" w14:textId="77777777" w:rsidR="002D58D1" w:rsidRDefault="002D58D1" w:rsidP="002D58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4ff1" w:eastAsia="Times New Roman" w:hAnsi="pg-4ff1" w:cs="Times New Roman"/>
          <w:color w:val="000000"/>
          <w:sz w:val="28"/>
          <w:szCs w:val="28"/>
          <w:lang w:eastAsia="es-AR"/>
        </w:rPr>
      </w:pPr>
      <w:r>
        <w:rPr>
          <w:rFonts w:ascii="pg-4ff1" w:eastAsia="Times New Roman" w:hAnsi="pg-4ff1" w:cs="Times New Roman"/>
          <w:color w:val="000000"/>
          <w:sz w:val="28"/>
          <w:szCs w:val="28"/>
          <w:lang w:eastAsia="es-AR"/>
        </w:rPr>
        <w:t>4</w:t>
      </w:r>
    </w:p>
    <w:p w14:paraId="45D2F71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3.2. Contenidos mínimos y bibliografía unidades temáticas</w:t>
      </w:r>
    </w:p>
    <w:p w14:paraId="45D2F720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4ff3" w:eastAsia="Times New Roman" w:hAnsi="pg-4ff3" w:cs="Times New Roman"/>
          <w:color w:val="000000"/>
          <w:sz w:val="28"/>
          <w:szCs w:val="28"/>
          <w:lang w:eastAsia="es-AR"/>
        </w:rPr>
      </w:pPr>
      <w:r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14:paraId="45D2F72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Unidad temática I: Semiología y Semiótica</w:t>
      </w:r>
    </w:p>
    <w:p w14:paraId="45D2F72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CONTENIDOS MÍNIMOS: La cocina del sentido. El campo semiótico. Definiciones y </w:t>
      </w:r>
    </w:p>
    <w:p w14:paraId="45D2F72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presentaciones de semiología y semiótica. Comunicación animal y lenguaje humano.</w:t>
      </w:r>
    </w:p>
    <w:p w14:paraId="45D2F72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Tiempo aproximado:</w:t>
      </w: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 2 clases</w:t>
      </w:r>
    </w:p>
    <w:p w14:paraId="45D2F72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Bibliografía obligatoria:</w:t>
      </w:r>
    </w:p>
    <w:p w14:paraId="45D2F72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lastRenderedPageBreak/>
        <w:t xml:space="preserve">Barthes, Roland (1990), “La cocina del sentido”, en </w:t>
      </w:r>
      <w:r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>La aventura semiológica</w:t>
      </w: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Barcelona. </w:t>
      </w:r>
    </w:p>
    <w:p w14:paraId="45D2F72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Paidós </w:t>
      </w:r>
    </w:p>
    <w:p w14:paraId="45D2F72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Eco, H. (1994). “Proemio”, en </w:t>
      </w:r>
      <w:r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>Signo</w:t>
      </w: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Barcelona, Edit. Labor. 2ª Edición. </w:t>
      </w:r>
    </w:p>
    <w:p w14:paraId="45D2F72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Benveniste, E. (1999), “Comunicación animal y lenguaje humano”. </w:t>
      </w:r>
      <w:r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 xml:space="preserve">En Problemas de  </w:t>
      </w:r>
    </w:p>
    <w:p w14:paraId="45D2F72A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</w:pPr>
      <w:r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>lingüística general I</w:t>
      </w: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, México, Siglo XXI Editores, pp. 56 - 62.</w:t>
      </w:r>
    </w:p>
    <w:p w14:paraId="45D2F72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Bibliografía de ampliación:</w:t>
      </w:r>
    </w:p>
    <w:p w14:paraId="45D2F72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Eco, H. (1995). Tratado de semiótica general, Barcelona, Edit. Lumen, 5ª Edición, (págs. </w:t>
      </w:r>
    </w:p>
    <w:p w14:paraId="45D2F72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31 a 54)</w:t>
      </w:r>
    </w:p>
    <w:p w14:paraId="45D2F72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Eco, H. (1999),“El campo semiótico”, en   </w:t>
      </w:r>
      <w:r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 xml:space="preserve">La  estructura  ausente:  Introducción   a  la  </w:t>
      </w:r>
    </w:p>
    <w:p w14:paraId="45D2F72F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</w:pPr>
      <w:r>
        <w:rPr>
          <w:rFonts w:ascii="pg-4ff5" w:eastAsia="Times New Roman" w:hAnsi="pg-4ff5" w:cs="Times New Roman"/>
          <w:color w:val="000000"/>
          <w:sz w:val="28"/>
          <w:szCs w:val="28"/>
          <w:lang w:eastAsia="es-AR"/>
        </w:rPr>
        <w:t>semiótica</w:t>
      </w: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. Barcelona, Edit. Lumen. Pp. 9 – 22.</w:t>
      </w:r>
    </w:p>
    <w:p w14:paraId="45D2F730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4ff3" w:eastAsia="Times New Roman" w:hAnsi="pg-4ff3" w:cs="Times New Roman"/>
          <w:color w:val="000000"/>
          <w:sz w:val="28"/>
          <w:szCs w:val="28"/>
          <w:lang w:eastAsia="es-AR"/>
        </w:rPr>
      </w:pPr>
      <w:r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14:paraId="45D2F73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Unidad temática II: El signo: Saussure y Peirce</w:t>
      </w:r>
    </w:p>
    <w:p w14:paraId="45D2F73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CONTENIDOS MÍNIMOS: La teoría lingüística. Delimitación de su objeto: la lengua </w:t>
      </w:r>
    </w:p>
    <w:p w14:paraId="45D2F73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como sistema de signos. Lingüística saussureana. Teoría del signo: naturaleza del signo </w:t>
      </w:r>
    </w:p>
    <w:p w14:paraId="45D2F73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lingüístico, significado, significante. Inmutabilidad y mutabilidad del signo. Arbitrariedad. </w:t>
      </w:r>
    </w:p>
    <w:p w14:paraId="45D2F73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Las   oposiciones:   lengua-habla;   sincronía-diacronía;   sintagma-paradigma.   La </w:t>
      </w:r>
    </w:p>
    <w:p w14:paraId="45D2F73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significación. Denotación y connotación. </w:t>
      </w:r>
    </w:p>
    <w:p w14:paraId="45D2F73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Descripción del signo </w:t>
      </w:r>
      <w:proofErr w:type="spellStart"/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Peirciano</w:t>
      </w:r>
      <w:proofErr w:type="spellEnd"/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Descripción de la </w:t>
      </w:r>
      <w:proofErr w:type="spellStart"/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semiosis</w:t>
      </w:r>
      <w:proofErr w:type="spellEnd"/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. Representamen, objeto e </w:t>
      </w:r>
    </w:p>
    <w:p w14:paraId="45D2F73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interpretante. División del signo. Icono, índice y símbolo. El interpretante. La </w:t>
      </w:r>
      <w:proofErr w:type="spellStart"/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>semiosis</w:t>
      </w:r>
      <w:proofErr w:type="spellEnd"/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 </w:t>
      </w:r>
    </w:p>
    <w:p w14:paraId="45D2F73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</w:pP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lastRenderedPageBreak/>
        <w:t xml:space="preserve">ilimitada. El paradigma indiciario y su importancia para la psicología. </w:t>
      </w:r>
    </w:p>
    <w:p w14:paraId="45D2F73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Tiempo aproximado:</w:t>
      </w:r>
      <w:r>
        <w:rPr>
          <w:rFonts w:ascii="pg-4ff4" w:eastAsia="Times New Roman" w:hAnsi="pg-4ff4" w:cs="Times New Roman"/>
          <w:color w:val="000000"/>
          <w:sz w:val="28"/>
          <w:szCs w:val="28"/>
          <w:lang w:eastAsia="es-AR"/>
        </w:rPr>
        <w:t xml:space="preserve"> 3 clases</w:t>
      </w:r>
    </w:p>
    <w:p w14:paraId="45D2F73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</w:pPr>
      <w:r>
        <w:rPr>
          <w:rFonts w:ascii="pg-4ff2" w:eastAsia="Times New Roman" w:hAnsi="pg-4ff2" w:cs="Times New Roman"/>
          <w:color w:val="000000"/>
          <w:sz w:val="28"/>
          <w:szCs w:val="28"/>
          <w:lang w:eastAsia="es-AR"/>
        </w:rPr>
        <w:t>Bibliografía obligatoria:</w:t>
      </w:r>
    </w:p>
    <w:p w14:paraId="45D2F73C" w14:textId="77777777" w:rsidR="002D58D1" w:rsidRDefault="002D58D1" w:rsidP="002D58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5ff1" w:eastAsia="Times New Roman" w:hAnsi="pg-5ff1" w:cs="Times New Roman"/>
          <w:color w:val="000000"/>
          <w:sz w:val="28"/>
          <w:szCs w:val="28"/>
          <w:lang w:eastAsia="es-AR"/>
        </w:rPr>
      </w:pPr>
      <w:r>
        <w:rPr>
          <w:rFonts w:ascii="pg-5ff1" w:eastAsia="Times New Roman" w:hAnsi="pg-5ff1" w:cs="Times New Roman"/>
          <w:color w:val="000000"/>
          <w:sz w:val="28"/>
          <w:szCs w:val="28"/>
          <w:lang w:eastAsia="es-AR"/>
        </w:rPr>
        <w:t>5</w:t>
      </w:r>
    </w:p>
    <w:p w14:paraId="45D2F73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Vitale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A. (2002). “La fundación </w:t>
      </w: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sausureana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”. En 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El estudio de los signos. Peirce y  </w:t>
      </w:r>
    </w:p>
    <w:p w14:paraId="45D2F73E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</w:pP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Saussure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Bs.As., Editorial Eudeba. </w:t>
      </w:r>
    </w:p>
    <w:p w14:paraId="45D2F73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Barthes, Roland. (1986) “Lo obvio y lo obtuso”. En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Retórica de la imagen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Barcelona. </w:t>
      </w:r>
    </w:p>
    <w:p w14:paraId="45D2F74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Paidós Comunicación</w:t>
      </w:r>
    </w:p>
    <w:p w14:paraId="45D2F74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.</w:t>
      </w:r>
    </w:p>
    <w:p w14:paraId="45D2F74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Guinzburg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C. (1989), Cap. IV: Morelli, Freud y Sherlock Holmes: indicios y método </w:t>
      </w:r>
    </w:p>
    <w:p w14:paraId="45D2F74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científico. En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El signo de los tres. 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Barcelona. Editorial Lumen</w:t>
      </w:r>
    </w:p>
    <w:p w14:paraId="45D2F74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r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>Bibliografía de ampliación:</w:t>
      </w:r>
    </w:p>
    <w:p w14:paraId="45D2F74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De Saussure, F.  (1984).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Curso de lingüística general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Bs. As., Losada. Cap. 3 “La lengua, su </w:t>
      </w:r>
    </w:p>
    <w:p w14:paraId="45D2F74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definición” (págs. 49 a 59). Primera parte: Cap. I  “Naturaleza del signo lingüístico” (págs.127 a </w:t>
      </w:r>
    </w:p>
    <w:p w14:paraId="45D2F74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134). Cap. 2: “Inmutabilidad y mutabilidad del signo” (págs. 135 a 141).</w:t>
      </w:r>
    </w:p>
    <w:p w14:paraId="45D2F74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Ducrot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O. y Todorov, T. (1984). “Los conceptos metodológicos”. En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Diccionario enciclopédico de </w:t>
      </w:r>
    </w:p>
    <w:p w14:paraId="45D2F749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</w:pP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las ciencias del lenguaje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</w:t>
      </w: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Mexico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, Siglo Veintiuno Editores, 18ª Edición. 1996. (págs. 121 a 172).</w:t>
      </w:r>
    </w:p>
    <w:p w14:paraId="45D2F74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Barthes, R. (1984). “Elementos de semiología”. En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La aventura semiológica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Barcelona, Edit. </w:t>
      </w:r>
    </w:p>
    <w:p w14:paraId="45D2F74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Paidós, 1ª Edición, 1990. Pp.20 - 81. Resumen de la Cátedra.</w:t>
      </w:r>
    </w:p>
    <w:p w14:paraId="45D2F74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Eco, H., (1999) “Teoría de los códigos”, “El interpretante”. En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Tratado de semiótica general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, </w:t>
      </w: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Op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</w:t>
      </w:r>
    </w:p>
    <w:p w14:paraId="45D2F74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Cit. (págs. 114 a 121).</w:t>
      </w:r>
    </w:p>
    <w:p w14:paraId="45D2F74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lastRenderedPageBreak/>
        <w:t>Sebeok,T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y </w:t>
      </w: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Sebeok,J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. (1994), 1.“C.S. Peirce. Agencia de detectives”, 2. “Sherlock Holmes. </w:t>
      </w:r>
    </w:p>
    <w:p w14:paraId="45D2F74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Centro de semiótica”, en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Sherlock Holmes y Charles S. Peirce. El método de la investigación.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</w:t>
      </w:r>
    </w:p>
    <w:p w14:paraId="45D2F75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Barcelona. Paidós Comunicación. 2º Edición 1994</w:t>
      </w:r>
    </w:p>
    <w:p w14:paraId="45D2F75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Peirce, Charles,  (1974) “División  de signos. Icono,  índice y símbolo”. En 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La   ciencia  de   la </w:t>
      </w:r>
    </w:p>
    <w:p w14:paraId="45D2F752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</w:pP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semiótica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, Buenos Aires, Ediciones Nueva Visión, 1974.</w:t>
      </w:r>
    </w:p>
    <w:p w14:paraId="45D2F753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5ff5" w:eastAsia="Times New Roman" w:hAnsi="pg-5ff5" w:cs="Times New Roman"/>
          <w:color w:val="000000"/>
          <w:sz w:val="28"/>
          <w:szCs w:val="28"/>
          <w:lang w:eastAsia="es-AR"/>
        </w:rPr>
      </w:pPr>
      <w:r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14:paraId="45D2F75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r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 xml:space="preserve">Unidad temática III: Una introducción a la relación entre lenguaje y </w:t>
      </w:r>
    </w:p>
    <w:p w14:paraId="45D2F75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r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>psicoanálisis.</w:t>
      </w:r>
    </w:p>
    <w:p w14:paraId="45D2F75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CONTENIDOS   MÍNIMOS:   El   lenguaje   para   el   psicoanálisis   freudiano.   El   signo </w:t>
      </w:r>
    </w:p>
    <w:p w14:paraId="45D2F75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lacaniano. El sujeto: la primacía del significante y la producción de sentido. Metáfora y </w:t>
      </w:r>
    </w:p>
    <w:p w14:paraId="45D2F75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metonimia. Psicoanálisis y Lingüística. </w:t>
      </w:r>
    </w:p>
    <w:p w14:paraId="45D2F75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r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 xml:space="preserve">Tiempo aproximado: 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2/3 clases</w:t>
      </w:r>
    </w:p>
    <w:p w14:paraId="45D2F75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</w:pPr>
      <w:r>
        <w:rPr>
          <w:rFonts w:ascii="pg-5ff4" w:eastAsia="Times New Roman" w:hAnsi="pg-5ff4" w:cs="Times New Roman"/>
          <w:color w:val="000000"/>
          <w:sz w:val="28"/>
          <w:szCs w:val="28"/>
          <w:lang w:eastAsia="es-AR"/>
        </w:rPr>
        <w:t>Bibliografía obligatoria:</w:t>
      </w:r>
    </w:p>
    <w:p w14:paraId="45D2F75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Freud, S. (1892-1899) “Carta 52”. En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Fragmentos de la correspondencia con </w:t>
      </w:r>
      <w:proofErr w:type="spellStart"/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Fliess</w:t>
      </w:r>
      <w:proofErr w:type="spellEnd"/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 xml:space="preserve">, </w:t>
      </w:r>
    </w:p>
    <w:p w14:paraId="45D2F75C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</w:pP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Obras completas. Tomo 1. (1976)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Amorrortu Editores.</w:t>
      </w:r>
    </w:p>
    <w:p w14:paraId="45D2F75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Martinez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 Graciela, El lenguaje para el psicoanálisis freudiano: algunas reflexiones a </w:t>
      </w:r>
    </w:p>
    <w:p w14:paraId="45D2F75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partir de los momentos iniciales. Documento de la cátedra. </w:t>
      </w:r>
    </w:p>
    <w:p w14:paraId="45D2F75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Resumen de la Cátedra: Una introducción al psicoanálisis. Tomado del texto de Oscar </w:t>
      </w:r>
    </w:p>
    <w:p w14:paraId="45D2F76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Masotta</w:t>
      </w:r>
      <w:proofErr w:type="spellEnd"/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 xml:space="preserve">: </w:t>
      </w:r>
      <w:r>
        <w:rPr>
          <w:rFonts w:ascii="pg-5ff3" w:eastAsia="Times New Roman" w:hAnsi="pg-5ff3" w:cs="Times New Roman"/>
          <w:color w:val="000000"/>
          <w:sz w:val="28"/>
          <w:szCs w:val="28"/>
          <w:lang w:eastAsia="es-AR"/>
        </w:rPr>
        <w:t>Lecturas de psicoanálisis Freud, Lacan</w:t>
      </w:r>
      <w:r>
        <w:rPr>
          <w:rFonts w:ascii="pg-5ff2" w:eastAsia="Times New Roman" w:hAnsi="pg-5ff2" w:cs="Times New Roman"/>
          <w:color w:val="000000"/>
          <w:sz w:val="28"/>
          <w:szCs w:val="28"/>
          <w:lang w:eastAsia="es-AR"/>
        </w:rPr>
        <w:t>.</w:t>
      </w:r>
    </w:p>
    <w:p w14:paraId="45D2F761" w14:textId="77777777" w:rsidR="002D58D1" w:rsidRDefault="002D58D1" w:rsidP="002D58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6ff1" w:eastAsia="Times New Roman" w:hAnsi="pg-6ff1" w:cs="Times New Roman"/>
          <w:color w:val="000000"/>
          <w:sz w:val="28"/>
          <w:szCs w:val="28"/>
          <w:lang w:eastAsia="es-AR"/>
        </w:rPr>
      </w:pPr>
      <w:r>
        <w:rPr>
          <w:rFonts w:ascii="pg-6ff1" w:eastAsia="Times New Roman" w:hAnsi="pg-6ff1" w:cs="Times New Roman"/>
          <w:color w:val="000000"/>
          <w:sz w:val="28"/>
          <w:szCs w:val="28"/>
          <w:lang w:eastAsia="es-AR"/>
        </w:rPr>
        <w:t>6</w:t>
      </w:r>
    </w:p>
    <w:p w14:paraId="45D2F76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Lacan, J. (1957) apartado l. El sentido de la letra, en “La instancia de la letra en el </w:t>
      </w:r>
    </w:p>
    <w:p w14:paraId="45D2F76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lastRenderedPageBreak/>
        <w:t xml:space="preserve">inconsciente o la razón desde Freud”. Escritos uno. Buenos Aires. Siglo Veintiuno </w:t>
      </w:r>
    </w:p>
    <w:p w14:paraId="45D2F76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editores.</w:t>
      </w:r>
    </w:p>
    <w:p w14:paraId="45D2F76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D’Angelo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Carbajal y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Marchilli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(1984) “El Sujeto”. “El signo”. “El significante”. En 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Una </w:t>
      </w:r>
    </w:p>
    <w:p w14:paraId="45D2F766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introducción a Lacan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.  Buenos Aires. Lugar Editorial.</w:t>
      </w:r>
    </w:p>
    <w:p w14:paraId="45D2F76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D’Angelo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Carbajal y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Marchilli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. (1984). Cap. IX. “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Shifter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metáfora y metonimia”. En </w:t>
      </w:r>
    </w:p>
    <w:p w14:paraId="45D2F768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Una introducción a Lacan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Buenos Aires, Lugar Editorial, 6º edición,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pp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51-61</w:t>
      </w:r>
    </w:p>
    <w:p w14:paraId="45D2F76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Benveniste, E. (1999), Tomo I: Cap. VII. En 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Problemas de lingüística general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Op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Cit. </w:t>
      </w:r>
    </w:p>
    <w:p w14:paraId="45D2F76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</w:pPr>
      <w:r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  <w:t>Bibliografía de ampliación:</w:t>
      </w:r>
    </w:p>
    <w:p w14:paraId="45D2F76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Kaufmann, Pierre. (1996) Lingüística y psicoanálisis. En 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Elementos para una enciclopedia del  </w:t>
      </w:r>
    </w:p>
    <w:p w14:paraId="45D2F76C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psicoanálisis. 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Buenos Aires. Paidós</w:t>
      </w:r>
    </w:p>
    <w:p w14:paraId="45D2F76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Jean Le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Galliot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Psicoanálisis y lenguajes literarios.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Primera Parte: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pag.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17 a 32; Segunda Parte: </w:t>
      </w:r>
    </w:p>
    <w:p w14:paraId="45D2F76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pag.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37  65; Tercera Parte: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pag.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209 a 225.</w:t>
      </w:r>
    </w:p>
    <w:p w14:paraId="45D2F76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Masotta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O. (1992). 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Lecturas de psicoanálisis Freud, Lacan.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Bs. As. Paidós.</w:t>
      </w:r>
    </w:p>
    <w:p w14:paraId="45D2F77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Diccionarios   de   psicoanálisis:   Significante.   Sentido.   Cadena   significante.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  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Enunciado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. </w:t>
      </w:r>
    </w:p>
    <w:p w14:paraId="45D2F77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Enunciación. Metáfora. Metonimia</w:t>
      </w:r>
    </w:p>
    <w:p w14:paraId="45D2F77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Selección de la cátedra.</w:t>
      </w:r>
    </w:p>
    <w:p w14:paraId="45D2F773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6ff5" w:eastAsia="Times New Roman" w:hAnsi="pg-6ff5" w:cs="Times New Roman"/>
          <w:color w:val="000000"/>
          <w:sz w:val="28"/>
          <w:szCs w:val="28"/>
          <w:lang w:eastAsia="es-AR"/>
        </w:rPr>
      </w:pPr>
      <w:r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14:paraId="45D2F77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</w:pPr>
      <w:r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  <w:t xml:space="preserve">Unidad temática IV:   Lenguaje y comunicación </w:t>
      </w:r>
    </w:p>
    <w:p w14:paraId="45D2F77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CONTENIDOS MÍNIMOS: La noción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bajtiana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de enunciado (discurso). Palabra neutra, </w:t>
      </w:r>
    </w:p>
    <w:p w14:paraId="45D2F77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palabra usada, palabra nueva. </w:t>
      </w:r>
    </w:p>
    <w:p w14:paraId="45D2F77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Modelos de comunicación: Las críticas al esquema de la comunicación de Jakobson. La </w:t>
      </w:r>
    </w:p>
    <w:p w14:paraId="45D2F77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lastRenderedPageBreak/>
        <w:t xml:space="preserve">propuesta de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Kerbrat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Orecchioni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El lugar del equívoco en la comunicación: aportes de la </w:t>
      </w:r>
    </w:p>
    <w:p w14:paraId="45D2F77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categoría de 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actos de habla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</w:t>
      </w:r>
    </w:p>
    <w:p w14:paraId="45D2F77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El signo ideológico: la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multi-acenualidad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del signo. El caso del lenguaje inclusivo.</w:t>
      </w:r>
    </w:p>
    <w:p w14:paraId="45D2F77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</w:pPr>
      <w:r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  <w:t>Tiempo aproximado: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2/3 clases</w:t>
      </w:r>
    </w:p>
    <w:p w14:paraId="45D2F77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</w:pPr>
      <w:r>
        <w:rPr>
          <w:rFonts w:ascii="pg-6ff4" w:eastAsia="Times New Roman" w:hAnsi="pg-6ff4" w:cs="Times New Roman"/>
          <w:color w:val="000000"/>
          <w:sz w:val="28"/>
          <w:szCs w:val="28"/>
          <w:lang w:eastAsia="es-AR"/>
        </w:rPr>
        <w:t>Bibliografía obligatoria:</w:t>
      </w:r>
    </w:p>
    <w:p w14:paraId="45D2F77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Bajtín, Mijaíl M. (1950): “El problema de los géneros discursivos”. En 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Estética de la creación </w:t>
      </w:r>
    </w:p>
    <w:p w14:paraId="45D2F77E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verbal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. México, Siglo XX, 1990. </w:t>
      </w:r>
    </w:p>
    <w:p w14:paraId="45D2F77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Kerbrat-Oreccioni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  C.   (1986).   </w:t>
      </w:r>
      <w:proofErr w:type="spellStart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Cap</w:t>
      </w:r>
      <w:proofErr w:type="spellEnd"/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   I:   “La   problemática   de   la   enunciación”.   En  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 xml:space="preserve">La </w:t>
      </w:r>
    </w:p>
    <w:p w14:paraId="45D2F780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</w:pP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enunciación. De la subjetividad en el lenguaje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, Bs.As., Editorial Hachette. pp. 17 - 30</w:t>
      </w:r>
    </w:p>
    <w:p w14:paraId="45D2F78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Van Dijk, T. (1992), “Pragmática: texto, actos de habla, contexto.” En </w:t>
      </w:r>
      <w:r>
        <w:rPr>
          <w:rFonts w:ascii="pg-6ff3" w:eastAsia="Times New Roman" w:hAnsi="pg-6ff3" w:cs="Times New Roman"/>
          <w:color w:val="000000"/>
          <w:sz w:val="28"/>
          <w:szCs w:val="28"/>
          <w:lang w:eastAsia="es-AR"/>
        </w:rPr>
        <w:t>La ciencia del texto</w:t>
      </w: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 xml:space="preserve">, </w:t>
      </w:r>
    </w:p>
    <w:p w14:paraId="45D2F78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</w:pPr>
      <w:r>
        <w:rPr>
          <w:rFonts w:ascii="pg-6ff2" w:eastAsia="Times New Roman" w:hAnsi="pg-6ff2" w:cs="Times New Roman"/>
          <w:color w:val="000000"/>
          <w:sz w:val="28"/>
          <w:szCs w:val="28"/>
          <w:lang w:eastAsia="es-AR"/>
        </w:rPr>
        <w:t>Barcelona, Paidós Comunicación, 3° Edición.</w:t>
      </w:r>
    </w:p>
    <w:p w14:paraId="45D2F783" w14:textId="77777777" w:rsidR="002D58D1" w:rsidRDefault="002D58D1" w:rsidP="002D58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7ff1" w:eastAsia="Times New Roman" w:hAnsi="pg-7ff1" w:cs="Times New Roman"/>
          <w:color w:val="000000"/>
          <w:sz w:val="28"/>
          <w:szCs w:val="28"/>
          <w:lang w:eastAsia="es-AR"/>
        </w:rPr>
      </w:pPr>
      <w:r>
        <w:rPr>
          <w:rFonts w:ascii="pg-7ff1" w:eastAsia="Times New Roman" w:hAnsi="pg-7ff1" w:cs="Times New Roman"/>
          <w:color w:val="000000"/>
          <w:sz w:val="28"/>
          <w:szCs w:val="28"/>
          <w:lang w:eastAsia="es-AR"/>
        </w:rPr>
        <w:t>7</w:t>
      </w:r>
    </w:p>
    <w:p w14:paraId="45D2F78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Ford,   Aníbal   (1994):   "Los   medios.   Tráfico   y   accidentes   transdisciplinarios".   En </w:t>
      </w:r>
    </w:p>
    <w:p w14:paraId="45D2F785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</w:pPr>
      <w:r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Navegaciones. Comunicación, cultura, crisis,</w:t>
      </w: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 Buenos Aires, Amorrortu. (Selección de la </w:t>
      </w:r>
    </w:p>
    <w:p w14:paraId="45D2F78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cátedra: el debate por señas)</w:t>
      </w:r>
    </w:p>
    <w:p w14:paraId="45D2F78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Voloshinov</w:t>
      </w:r>
      <w:proofErr w:type="spellEnd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; V. (1976) </w:t>
      </w:r>
      <w:r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El signo ideológico y la filosofía del lenguaje</w:t>
      </w: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Prólogo y Capítulo </w:t>
      </w:r>
    </w:p>
    <w:p w14:paraId="45D2F78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I  Ediciones Nueva Visión</w:t>
      </w:r>
    </w:p>
    <w:p w14:paraId="45D2F78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Andruetto</w:t>
      </w:r>
      <w:proofErr w:type="spellEnd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, María Teresa, Discurso magistral para el cierre del congreso de la lengua. </w:t>
      </w:r>
    </w:p>
    <w:p w14:paraId="45D2F78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Marzo de 2019, Córdoba, Argentina. </w:t>
      </w:r>
    </w:p>
    <w:p w14:paraId="45D2F78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Bibliografía de ampliación:</w:t>
      </w:r>
    </w:p>
    <w:p w14:paraId="45D2F78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Jakobson, R. (1984).  Cap. XIV: “Lingüística y poética”. En </w:t>
      </w:r>
      <w:r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Ensayo de lingüística general</w:t>
      </w: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, </w:t>
      </w:r>
    </w:p>
    <w:p w14:paraId="45D2F78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lastRenderedPageBreak/>
        <w:t>México, Siglo XXI</w:t>
      </w:r>
    </w:p>
    <w:p w14:paraId="45D2F78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Ford, A. (2002), “Comunicación”, en Términos críticos de la sociología de la cultura, Buenos </w:t>
      </w:r>
    </w:p>
    <w:p w14:paraId="45D2F78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Aires, Paidós.</w:t>
      </w:r>
    </w:p>
    <w:p w14:paraId="45D2F79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Voloshinov</w:t>
      </w:r>
      <w:proofErr w:type="spellEnd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; V. (1976) </w:t>
      </w:r>
      <w:r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El signo ideológico y la filosofía del lenguaje</w:t>
      </w: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Capítulo II  Ediciones </w:t>
      </w:r>
    </w:p>
    <w:p w14:paraId="45D2F79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Nueva Visión</w:t>
      </w:r>
    </w:p>
    <w:p w14:paraId="45D2F792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7ff5" w:eastAsia="Times New Roman" w:hAnsi="pg-7ff5" w:cs="Times New Roman"/>
          <w:color w:val="000000"/>
          <w:sz w:val="28"/>
          <w:szCs w:val="28"/>
          <w:lang w:eastAsia="es-AR"/>
        </w:rPr>
      </w:pPr>
      <w:r>
        <w:rPr>
          <w:rFonts w:ascii="Segoe UI Symbol" w:eastAsia="Times New Roman" w:hAnsi="Segoe UI Symbol" w:cs="Segoe UI Symbol"/>
          <w:color w:val="000000"/>
          <w:sz w:val="28"/>
          <w:szCs w:val="28"/>
          <w:lang w:eastAsia="es-AR"/>
        </w:rPr>
        <w:t>✔</w:t>
      </w:r>
    </w:p>
    <w:p w14:paraId="45D2F79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Unidad temática V: Enunciación y subjetividad en el lenguaje</w:t>
      </w:r>
    </w:p>
    <w:p w14:paraId="45D2F79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CONTENIDOS MÍNIMOS: Contenidos básicos de la enunciación: Enunciación y </w:t>
      </w:r>
    </w:p>
    <w:p w14:paraId="45D2F79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enunciado. Sujetos de la enunciación y referente.  Los pronombres personales. El </w:t>
      </w:r>
    </w:p>
    <w:p w14:paraId="45D2F79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lugar de la “no persona”. </w:t>
      </w:r>
    </w:p>
    <w:p w14:paraId="45D2F79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El enunciador encarnado: la noción de ethos según </w:t>
      </w:r>
      <w:proofErr w:type="spellStart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Maingueneau</w:t>
      </w:r>
      <w:proofErr w:type="spellEnd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</w:t>
      </w:r>
    </w:p>
    <w:p w14:paraId="45D2F79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Tiempo aproximado:</w:t>
      </w: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2 clases</w:t>
      </w:r>
    </w:p>
    <w:p w14:paraId="45D2F79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Bibliografía obligatoria:</w:t>
      </w:r>
    </w:p>
    <w:p w14:paraId="45D2F79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Benveniste, E. (1999), Tomo I: XIII, XIV, XV- Tomo II. Cap. IV y V. En </w:t>
      </w:r>
      <w:r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 xml:space="preserve">Problemas de </w:t>
      </w:r>
    </w:p>
    <w:p w14:paraId="45D2F79B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</w:pPr>
      <w:r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lingüística general</w:t>
      </w: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. </w:t>
      </w:r>
    </w:p>
    <w:p w14:paraId="45D2F79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Maingueneau</w:t>
      </w:r>
      <w:proofErr w:type="spellEnd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, Dominique, (2009) Análisis de textos de comunicación, ediciones nueva </w:t>
      </w:r>
    </w:p>
    <w:p w14:paraId="45D2F79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visión, Buenos Aires. (Selección de la cátedra).</w:t>
      </w:r>
    </w:p>
    <w:p w14:paraId="45D2F79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</w:pPr>
      <w:r>
        <w:rPr>
          <w:rFonts w:ascii="pg-7ff4" w:eastAsia="Times New Roman" w:hAnsi="pg-7ff4" w:cs="Times New Roman"/>
          <w:color w:val="000000"/>
          <w:sz w:val="28"/>
          <w:szCs w:val="28"/>
          <w:lang w:eastAsia="es-AR"/>
        </w:rPr>
        <w:t>Bibliografía de ampliación:</w:t>
      </w:r>
    </w:p>
    <w:p w14:paraId="45D2F79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Filinich</w:t>
      </w:r>
      <w:proofErr w:type="spellEnd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, M. (2001),  </w:t>
      </w:r>
      <w:proofErr w:type="spellStart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Cap</w:t>
      </w:r>
      <w:proofErr w:type="spellEnd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I y II,  de Enunciación, Buenos Aires, Editorial Eudeba.</w:t>
      </w:r>
    </w:p>
    <w:p w14:paraId="45D2F7A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proofErr w:type="spellStart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Ducrot</w:t>
      </w:r>
      <w:proofErr w:type="spellEnd"/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 O. y Todorov T.   “Los conceptos descriptivos”. En  </w:t>
      </w:r>
      <w:r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 xml:space="preserve">Diccionario enciclopédico   de   las  </w:t>
      </w:r>
    </w:p>
    <w:p w14:paraId="45D2F7A1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</w:pPr>
      <w:r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ciencias del lenguaje</w:t>
      </w: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>, Ob. Cit. (págs. 315 a 368).</w:t>
      </w:r>
    </w:p>
    <w:p w14:paraId="45D2F7A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lastRenderedPageBreak/>
        <w:t xml:space="preserve">Diccionarios de psicoanálisis. </w:t>
      </w:r>
      <w:r>
        <w:rPr>
          <w:rFonts w:ascii="pg-7ff3" w:eastAsia="Times New Roman" w:hAnsi="pg-7ff3" w:cs="Times New Roman"/>
          <w:color w:val="000000"/>
          <w:sz w:val="28"/>
          <w:szCs w:val="28"/>
          <w:lang w:eastAsia="es-AR"/>
        </w:rPr>
        <w:t>Enunciado. Enunciación. Metáfora. Metonimia</w:t>
      </w:r>
    </w:p>
    <w:p w14:paraId="45D2F7A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</w:pPr>
      <w:r>
        <w:rPr>
          <w:rFonts w:ascii="pg-7ff2" w:eastAsia="Times New Roman" w:hAnsi="pg-7ff2" w:cs="Times New Roman"/>
          <w:color w:val="000000"/>
          <w:sz w:val="28"/>
          <w:szCs w:val="28"/>
          <w:lang w:eastAsia="es-AR"/>
        </w:rPr>
        <w:t xml:space="preserve">Resumen de Cátedra. Teoría de la enunciación. </w:t>
      </w:r>
    </w:p>
    <w:p w14:paraId="45D2F7A4" w14:textId="77777777" w:rsidR="002D58D1" w:rsidRDefault="002D58D1" w:rsidP="002D58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8ff1" w:eastAsia="Times New Roman" w:hAnsi="pg-8ff1" w:cs="Times New Roman"/>
          <w:color w:val="000000"/>
          <w:sz w:val="28"/>
          <w:szCs w:val="28"/>
          <w:lang w:eastAsia="es-AR"/>
        </w:rPr>
      </w:pPr>
      <w:r>
        <w:rPr>
          <w:rFonts w:ascii="pg-8ff1" w:eastAsia="Times New Roman" w:hAnsi="pg-8ff1" w:cs="Times New Roman"/>
          <w:color w:val="000000"/>
          <w:sz w:val="28"/>
          <w:szCs w:val="28"/>
          <w:lang w:eastAsia="es-AR"/>
        </w:rPr>
        <w:t>8</w:t>
      </w:r>
    </w:p>
    <w:p w14:paraId="45D2F7A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</w:pPr>
      <w:r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4. Modalidad de trabajo</w:t>
      </w:r>
    </w:p>
    <w:p w14:paraId="45D2F7A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El desarrollo de la presente asignatura se realizará a partir de clases teórico-prácticas </w:t>
      </w:r>
    </w:p>
    <w:p w14:paraId="45D2F7A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donde se desarrollarán los conceptos centrales que hacen al contenido de la materia, </w:t>
      </w:r>
    </w:p>
    <w:p w14:paraId="45D2F7A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tratando   de  </w:t>
      </w:r>
      <w:r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 xml:space="preserve">promover   un   espacio   de   enseñanza/   aprendizaje   colaborativo   y </w:t>
      </w:r>
    </w:p>
    <w:p w14:paraId="45D2F7A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</w:pPr>
      <w:r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participativo</w:t>
      </w: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.   Se   revisarán   y   explicarán   las   líneas   teóricas   fundamentales,   se </w:t>
      </w:r>
    </w:p>
    <w:p w14:paraId="45D2F7A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ensayarán ejemplos y se propondrán actividades que podrán resolverse en grupos </w:t>
      </w:r>
    </w:p>
    <w:p w14:paraId="45D2F7A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durante las horas de cursada o de tarea para luego poner en común en clase. El </w:t>
      </w:r>
    </w:p>
    <w:p w14:paraId="45D2F7A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desarrollo de las  clases se  fundamenta  en  la bibliografía  descrita  en  el programa </w:t>
      </w:r>
    </w:p>
    <w:p w14:paraId="45D2F7A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precedentemente detallado, y requiere por parte de los estudiantes de una lectura atenta </w:t>
      </w:r>
    </w:p>
    <w:p w14:paraId="45D2F7A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del mismo </w:t>
      </w:r>
      <w:r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 xml:space="preserve">Será fundamental, para poder seguir el ritmo de la cursada, la lectura </w:t>
      </w:r>
    </w:p>
    <w:p w14:paraId="45D2F7A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</w:pPr>
      <w:r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 xml:space="preserve">semanal y la participación en clase. </w:t>
      </w:r>
    </w:p>
    <w:p w14:paraId="45D2F7B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Para los momentos más teóricos se apelará la exposición, el uso de presentaciones y el </w:t>
      </w:r>
    </w:p>
    <w:p w14:paraId="45D2F7B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intercambio   con   les   estudiantes   sobre   los   textos.   También   habrá </w:t>
      </w:r>
    </w:p>
    <w:p w14:paraId="45D2F7B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presentaciones/exposiciones orales por parte de les estudiantes, que siempre contarán </w:t>
      </w:r>
    </w:p>
    <w:p w14:paraId="45D2F7B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lastRenderedPageBreak/>
        <w:t xml:space="preserve">con la guía e intervención de las docentes. </w:t>
      </w:r>
    </w:p>
    <w:p w14:paraId="45D2F7B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Este desarrollo teórico se articulará con la presentación y análisis de casos y de distintos </w:t>
      </w:r>
    </w:p>
    <w:p w14:paraId="45D2F7B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materiales   empíricos  que   proponga   el   docente  o   les   estudiantes   (videos,  medios </w:t>
      </w:r>
    </w:p>
    <w:p w14:paraId="45D2F7B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gráficos, géneros literarios, etc.). Se retomarán y trabajarán aspectos teóricos para </w:t>
      </w:r>
    </w:p>
    <w:p w14:paraId="45D2F7B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aplicarlos en distintos ejemplos prácticos, donde se formularán interrogantes acerca de </w:t>
      </w:r>
    </w:p>
    <w:p w14:paraId="45D2F7B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las cuestiones planteadas, el intercambio y la discusión de opiniones fundamentadas y </w:t>
      </w:r>
    </w:p>
    <w:p w14:paraId="45D2F7B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justificadas desde la bibliografía. Así, las horas de práctica se desarrollarán a través de </w:t>
      </w:r>
    </w:p>
    <w:p w14:paraId="45D2F7B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consignas para el relevamiento y la aplicación de los ejes conceptuales centrales de los </w:t>
      </w:r>
    </w:p>
    <w:p w14:paraId="45D2F7BB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textos obligatorios, se resolverán alternativamente en forma grupal o individual. Como </w:t>
      </w:r>
    </w:p>
    <w:p w14:paraId="45D2F7B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por ejemplo, lectura de textos en clase para su comprensión, análisis y posterior debate. </w:t>
      </w:r>
    </w:p>
    <w:p w14:paraId="45D2F7B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Les estudiantes contarán con </w:t>
      </w:r>
      <w:r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un cuadernillo de prácticos</w:t>
      </w: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, elaborado por la cátedra, </w:t>
      </w:r>
    </w:p>
    <w:p w14:paraId="45D2F7B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donde podrán resolver ejercicios y propuestas de análisis y reflexión que se articulan con </w:t>
      </w:r>
    </w:p>
    <w:p w14:paraId="45D2F7B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los conceptos de cada una de las unidades temáticas del programa de la materia. </w:t>
      </w:r>
    </w:p>
    <w:p w14:paraId="45D2F7C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Al final de este programa se adjunta la Guía de Trabajos Prácticos de la material. </w:t>
      </w:r>
    </w:p>
    <w:p w14:paraId="45D2F7C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Con el fin de expandir los tiempos y espacios de trabajo y de generar una herramienta </w:t>
      </w:r>
    </w:p>
    <w:p w14:paraId="45D2F7C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lastRenderedPageBreak/>
        <w:t xml:space="preserve">que facilite el intercambio entre los estudiantes y de ellos con las docentes se recurrirá a </w:t>
      </w:r>
    </w:p>
    <w:p w14:paraId="45D2F7C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diversos canales, que cada docente podrá proponer: mail, Facebook, </w:t>
      </w:r>
      <w:proofErr w:type="spellStart"/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whatsapp</w:t>
      </w:r>
      <w:proofErr w:type="spellEnd"/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, etc. </w:t>
      </w:r>
    </w:p>
    <w:p w14:paraId="45D2F7C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Además  </w:t>
      </w:r>
      <w:r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hay   un   drive   de   la   cátedra</w:t>
      </w: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  donde   les   docentes   suben   los   materiales, </w:t>
      </w:r>
    </w:p>
    <w:p w14:paraId="45D2F7C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consignas, etc. Más, el espacio principal e indispensable de intercambio y consultas es </w:t>
      </w:r>
    </w:p>
    <w:p w14:paraId="45D2F7C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el aula.  </w:t>
      </w:r>
    </w:p>
    <w:p w14:paraId="45D2F7C7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Finalmente la cátedra podrá invitar a especialistas en temas vinculados a la propuesta </w:t>
      </w:r>
    </w:p>
    <w:p w14:paraId="45D2F7C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 xml:space="preserve">de investigación de la materia. </w:t>
      </w:r>
    </w:p>
    <w:p w14:paraId="45D2F7C9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</w:pPr>
      <w:r>
        <w:rPr>
          <w:rFonts w:ascii="pg-8ff2" w:eastAsia="Times New Roman" w:hAnsi="pg-8ff2" w:cs="Times New Roman"/>
          <w:color w:val="000000"/>
          <w:sz w:val="28"/>
          <w:szCs w:val="28"/>
          <w:lang w:eastAsia="es-AR"/>
        </w:rPr>
        <w:t>5. Pautas generales de acreditación y evaluación</w:t>
      </w:r>
    </w:p>
    <w:p w14:paraId="45D2F7C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</w:pPr>
      <w:r>
        <w:rPr>
          <w:rFonts w:ascii="pg-8ff3" w:eastAsia="Times New Roman" w:hAnsi="pg-8ff3" w:cs="Times New Roman"/>
          <w:color w:val="000000"/>
          <w:sz w:val="28"/>
          <w:szCs w:val="28"/>
          <w:lang w:eastAsia="es-AR"/>
        </w:rPr>
        <w:t>Para la aprobación de la asignatura cada alumno requerirá:</w:t>
      </w:r>
    </w:p>
    <w:p w14:paraId="45D2F7CB" w14:textId="77777777" w:rsidR="002D58D1" w:rsidRDefault="002D58D1" w:rsidP="002D58D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0" w:lineRule="auto"/>
        <w:ind w:left="0"/>
        <w:rPr>
          <w:rFonts w:ascii="pg-9ff1" w:eastAsia="Times New Roman" w:hAnsi="pg-9ff1" w:cs="Times New Roman"/>
          <w:color w:val="000000"/>
          <w:sz w:val="28"/>
          <w:szCs w:val="28"/>
          <w:lang w:eastAsia="es-AR"/>
        </w:rPr>
      </w:pPr>
      <w:r>
        <w:rPr>
          <w:rFonts w:ascii="pg-9ff1" w:eastAsia="Times New Roman" w:hAnsi="pg-9ff1" w:cs="Times New Roman"/>
          <w:color w:val="000000"/>
          <w:sz w:val="28"/>
          <w:szCs w:val="28"/>
          <w:lang w:eastAsia="es-AR"/>
        </w:rPr>
        <w:t>9</w:t>
      </w:r>
    </w:p>
    <w:p w14:paraId="45D2F7CC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</w:pPr>
      <w:r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  <w:t>●</w:t>
      </w:r>
    </w:p>
    <w:p w14:paraId="45D2F7CD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 xml:space="preserve">Poseer una asistencia no inferior al setenta y cinco por ciento (75%) de las clases </w:t>
      </w:r>
    </w:p>
    <w:p w14:paraId="45D2F7CE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 xml:space="preserve">dicta.  </w:t>
      </w:r>
    </w:p>
    <w:p w14:paraId="45D2F7CF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Pautas de acreditación</w:t>
      </w:r>
    </w:p>
    <w:p w14:paraId="45D2F7D0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- Porcentaje de asistencia (75%).</w:t>
      </w:r>
    </w:p>
    <w:p w14:paraId="45D2F7D1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- Dos evaluaciones parciales (escritos y presenciales), con dos recuperatorios.</w:t>
      </w:r>
    </w:p>
    <w:p w14:paraId="45D2F7D2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 xml:space="preserve">- Un trabajo práctico integrador (escrito, grupal y domiciliario), con la posibilidad de </w:t>
      </w:r>
    </w:p>
    <w:p w14:paraId="45D2F7D3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rehacerlo en caso de que no esté aprobado.</w:t>
      </w:r>
    </w:p>
    <w:p w14:paraId="45D2F7D4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- Una evaluación final, oral o escrita.</w:t>
      </w:r>
    </w:p>
    <w:p w14:paraId="45D2F7D5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- Nota mínima de aprobación para todas las evaluaciones: 4 (cuatro).</w:t>
      </w:r>
    </w:p>
    <w:p w14:paraId="45D2F7D6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4" w:eastAsia="Times New Roman" w:hAnsi="pg-9ff4" w:cs="Times New Roman"/>
          <w:color w:val="000000"/>
          <w:sz w:val="28"/>
          <w:szCs w:val="28"/>
          <w:lang w:eastAsia="es-AR"/>
        </w:rPr>
      </w:pPr>
      <w:r>
        <w:rPr>
          <w:rFonts w:ascii="pg-9ff4" w:eastAsia="Times New Roman" w:hAnsi="pg-9ff4" w:cs="Times New Roman"/>
          <w:color w:val="000000"/>
          <w:sz w:val="28"/>
          <w:szCs w:val="28"/>
          <w:lang w:eastAsia="es-AR"/>
        </w:rPr>
        <w:lastRenderedPageBreak/>
        <w:t>5.1 Criterios de evaluación:</w:t>
      </w:r>
    </w:p>
    <w:p w14:paraId="45D2F7D7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</w:pPr>
      <w:r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  <w:t>●</w:t>
      </w:r>
    </w:p>
    <w:p w14:paraId="45D2F7D8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Evidenciar la lectura crítica de la bibliografía.</w:t>
      </w:r>
    </w:p>
    <w:p w14:paraId="45D2F7D9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</w:pPr>
      <w:r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  <w:t>●</w:t>
      </w:r>
    </w:p>
    <w:p w14:paraId="45D2F7DA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Participación dinámica en las clases.</w:t>
      </w:r>
    </w:p>
    <w:p w14:paraId="45D2F7DB" w14:textId="77777777" w:rsidR="002D58D1" w:rsidRDefault="002D58D1" w:rsidP="002D58D1">
      <w:pPr>
        <w:shd w:val="clear" w:color="auto" w:fill="FFFFFF"/>
        <w:spacing w:before="100" w:beforeAutospacing="1" w:after="100" w:afterAutospacing="1" w:line="0" w:lineRule="auto"/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</w:pPr>
      <w:r>
        <w:rPr>
          <w:rFonts w:ascii="pg-9ff2" w:eastAsia="Times New Roman" w:hAnsi="pg-9ff2" w:cs="Times New Roman"/>
          <w:color w:val="000000"/>
          <w:sz w:val="28"/>
          <w:szCs w:val="28"/>
          <w:lang w:eastAsia="es-AR"/>
        </w:rPr>
        <w:t>●</w:t>
      </w:r>
    </w:p>
    <w:p w14:paraId="45D2F7DC" w14:textId="77777777" w:rsidR="002D58D1" w:rsidRDefault="002D58D1" w:rsidP="002D58D1">
      <w:pPr>
        <w:shd w:val="clear" w:color="auto" w:fill="FFFFFF"/>
        <w:spacing w:before="100" w:beforeAutospacing="1" w:after="100" w:afterAutospacing="1" w:line="240" w:lineRule="auto"/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</w:pPr>
      <w:r>
        <w:rPr>
          <w:rFonts w:ascii="pg-9ff3" w:eastAsia="Times New Roman" w:hAnsi="pg-9ff3" w:cs="Times New Roman"/>
          <w:color w:val="000000"/>
          <w:sz w:val="28"/>
          <w:szCs w:val="28"/>
          <w:lang w:eastAsia="es-AR"/>
        </w:rPr>
        <w:t>Cumplir con los trabajos prácticos solicitados.</w:t>
      </w:r>
    </w:p>
    <w:p w14:paraId="45D2F7DD" w14:textId="77777777" w:rsidR="00930AFD" w:rsidRPr="002D58D1" w:rsidRDefault="00930AFD">
      <w:pPr>
        <w:rPr>
          <w:sz w:val="28"/>
          <w:szCs w:val="28"/>
        </w:rPr>
      </w:pPr>
    </w:p>
    <w:sectPr w:rsidR="00930AFD" w:rsidRPr="002D5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g-1ff1">
    <w:altName w:val="Times New Roman"/>
    <w:panose1 w:val="020B0604020202020204"/>
    <w:charset w:val="00"/>
    <w:family w:val="roman"/>
    <w:pitch w:val="default"/>
  </w:font>
  <w:font w:name="pg-1ff2">
    <w:altName w:val="Times New Roman"/>
    <w:panose1 w:val="020B0604020202020204"/>
    <w:charset w:val="00"/>
    <w:family w:val="roman"/>
    <w:pitch w:val="default"/>
  </w:font>
  <w:font w:name="pg-1ff3">
    <w:altName w:val="Times New Roman"/>
    <w:panose1 w:val="020B0604020202020204"/>
    <w:charset w:val="00"/>
    <w:family w:val="roman"/>
    <w:pitch w:val="default"/>
  </w:font>
  <w:font w:name="pg-2ff1">
    <w:altName w:val="Times New Roman"/>
    <w:panose1 w:val="020B0604020202020204"/>
    <w:charset w:val="00"/>
    <w:family w:val="roman"/>
    <w:pitch w:val="default"/>
  </w:font>
  <w:font w:name="pg-2ff2">
    <w:altName w:val="Times New Roman"/>
    <w:panose1 w:val="020B0604020202020204"/>
    <w:charset w:val="00"/>
    <w:family w:val="roman"/>
    <w:pitch w:val="default"/>
  </w:font>
  <w:font w:name="pg-2ff3">
    <w:altName w:val="Times New Roman"/>
    <w:panose1 w:val="020B0604020202020204"/>
    <w:charset w:val="00"/>
    <w:family w:val="roman"/>
    <w:pitch w:val="default"/>
  </w:font>
  <w:font w:name="pg-2ff4">
    <w:altName w:val="Times New Roman"/>
    <w:panose1 w:val="020B0604020202020204"/>
    <w:charset w:val="00"/>
    <w:family w:val="roman"/>
    <w:pitch w:val="default"/>
  </w:font>
  <w:font w:name="pg-3ff1">
    <w:altName w:val="Times New Roman"/>
    <w:panose1 w:val="020B0604020202020204"/>
    <w:charset w:val="00"/>
    <w:family w:val="roman"/>
    <w:pitch w:val="default"/>
  </w:font>
  <w:font w:name="pg-3ff2">
    <w:altName w:val="Times New Roman"/>
    <w:panose1 w:val="020B0604020202020204"/>
    <w:charset w:val="00"/>
    <w:family w:val="roman"/>
    <w:pitch w:val="default"/>
  </w:font>
  <w:font w:name="pg-3ff3">
    <w:altName w:val="Times New Roman"/>
    <w:panose1 w:val="020B0604020202020204"/>
    <w:charset w:val="00"/>
    <w:family w:val="roman"/>
    <w:pitch w:val="default"/>
  </w:font>
  <w:font w:name="pg-3ff4">
    <w:altName w:val="Times New Roman"/>
    <w:panose1 w:val="020B0604020202020204"/>
    <w:charset w:val="00"/>
    <w:family w:val="roman"/>
    <w:pitch w:val="default"/>
  </w:font>
  <w:font w:name="pg-3ff5">
    <w:altName w:val="Times New Roman"/>
    <w:panose1 w:val="020B0604020202020204"/>
    <w:charset w:val="00"/>
    <w:family w:val="roman"/>
    <w:pitch w:val="default"/>
  </w:font>
  <w:font w:name="pg-4ff1">
    <w:altName w:val="Times New Roman"/>
    <w:panose1 w:val="020B0604020202020204"/>
    <w:charset w:val="00"/>
    <w:family w:val="roman"/>
    <w:pitch w:val="default"/>
  </w:font>
  <w:font w:name="pg-4ff2">
    <w:altName w:val="Times New Roman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g-4ff3">
    <w:altName w:val="Times New Roman"/>
    <w:panose1 w:val="020B0604020202020204"/>
    <w:charset w:val="00"/>
    <w:family w:val="roman"/>
    <w:pitch w:val="default"/>
  </w:font>
  <w:font w:name="pg-4ff4">
    <w:altName w:val="Times New Roman"/>
    <w:panose1 w:val="020B0604020202020204"/>
    <w:charset w:val="00"/>
    <w:family w:val="roman"/>
    <w:pitch w:val="default"/>
  </w:font>
  <w:font w:name="pg-4ff5">
    <w:altName w:val="Times New Roman"/>
    <w:panose1 w:val="020B0604020202020204"/>
    <w:charset w:val="00"/>
    <w:family w:val="roman"/>
    <w:pitch w:val="default"/>
  </w:font>
  <w:font w:name="pg-5ff1">
    <w:altName w:val="Times New Roman"/>
    <w:panose1 w:val="020B0604020202020204"/>
    <w:charset w:val="00"/>
    <w:family w:val="roman"/>
    <w:pitch w:val="default"/>
  </w:font>
  <w:font w:name="pg-5ff2">
    <w:altName w:val="Times New Roman"/>
    <w:panose1 w:val="020B0604020202020204"/>
    <w:charset w:val="00"/>
    <w:family w:val="roman"/>
    <w:pitch w:val="default"/>
  </w:font>
  <w:font w:name="pg-5ff3">
    <w:altName w:val="Times New Roman"/>
    <w:panose1 w:val="020B0604020202020204"/>
    <w:charset w:val="00"/>
    <w:family w:val="roman"/>
    <w:pitch w:val="default"/>
  </w:font>
  <w:font w:name="pg-5ff4">
    <w:altName w:val="Times New Roman"/>
    <w:panose1 w:val="020B0604020202020204"/>
    <w:charset w:val="00"/>
    <w:family w:val="roman"/>
    <w:pitch w:val="default"/>
  </w:font>
  <w:font w:name="pg-5ff5">
    <w:altName w:val="Times New Roman"/>
    <w:panose1 w:val="020B0604020202020204"/>
    <w:charset w:val="00"/>
    <w:family w:val="roman"/>
    <w:pitch w:val="default"/>
  </w:font>
  <w:font w:name="pg-6ff1">
    <w:altName w:val="Times New Roman"/>
    <w:panose1 w:val="020B0604020202020204"/>
    <w:charset w:val="00"/>
    <w:family w:val="roman"/>
    <w:pitch w:val="default"/>
  </w:font>
  <w:font w:name="pg-6ff2">
    <w:altName w:val="Times New Roman"/>
    <w:panose1 w:val="020B0604020202020204"/>
    <w:charset w:val="00"/>
    <w:family w:val="roman"/>
    <w:pitch w:val="default"/>
  </w:font>
  <w:font w:name="pg-6ff3">
    <w:altName w:val="Times New Roman"/>
    <w:panose1 w:val="020B0604020202020204"/>
    <w:charset w:val="00"/>
    <w:family w:val="roman"/>
    <w:pitch w:val="default"/>
  </w:font>
  <w:font w:name="pg-6ff4">
    <w:altName w:val="Times New Roman"/>
    <w:panose1 w:val="020B0604020202020204"/>
    <w:charset w:val="00"/>
    <w:family w:val="roman"/>
    <w:pitch w:val="default"/>
  </w:font>
  <w:font w:name="pg-6ff5">
    <w:altName w:val="Times New Roman"/>
    <w:panose1 w:val="020B0604020202020204"/>
    <w:charset w:val="00"/>
    <w:family w:val="roman"/>
    <w:pitch w:val="default"/>
  </w:font>
  <w:font w:name="pg-7ff1">
    <w:altName w:val="Times New Roman"/>
    <w:panose1 w:val="020B0604020202020204"/>
    <w:charset w:val="00"/>
    <w:family w:val="roman"/>
    <w:pitch w:val="default"/>
  </w:font>
  <w:font w:name="pg-7ff2">
    <w:altName w:val="Times New Roman"/>
    <w:panose1 w:val="020B0604020202020204"/>
    <w:charset w:val="00"/>
    <w:family w:val="roman"/>
    <w:pitch w:val="default"/>
  </w:font>
  <w:font w:name="pg-7ff3">
    <w:altName w:val="Times New Roman"/>
    <w:panose1 w:val="020B0604020202020204"/>
    <w:charset w:val="00"/>
    <w:family w:val="roman"/>
    <w:pitch w:val="default"/>
  </w:font>
  <w:font w:name="pg-7ff4">
    <w:altName w:val="Times New Roman"/>
    <w:panose1 w:val="020B0604020202020204"/>
    <w:charset w:val="00"/>
    <w:family w:val="roman"/>
    <w:pitch w:val="default"/>
  </w:font>
  <w:font w:name="pg-7ff5">
    <w:altName w:val="Times New Roman"/>
    <w:panose1 w:val="020B0604020202020204"/>
    <w:charset w:val="00"/>
    <w:family w:val="roman"/>
    <w:pitch w:val="default"/>
  </w:font>
  <w:font w:name="pg-8ff1">
    <w:altName w:val="Times New Roman"/>
    <w:panose1 w:val="020B0604020202020204"/>
    <w:charset w:val="00"/>
    <w:family w:val="roman"/>
    <w:pitch w:val="default"/>
  </w:font>
  <w:font w:name="pg-8ff2">
    <w:altName w:val="Times New Roman"/>
    <w:panose1 w:val="020B0604020202020204"/>
    <w:charset w:val="00"/>
    <w:family w:val="roman"/>
    <w:pitch w:val="default"/>
  </w:font>
  <w:font w:name="pg-8ff3">
    <w:altName w:val="Times New Roman"/>
    <w:panose1 w:val="020B0604020202020204"/>
    <w:charset w:val="00"/>
    <w:family w:val="roman"/>
    <w:pitch w:val="default"/>
  </w:font>
  <w:font w:name="pg-9ff1">
    <w:altName w:val="Times New Roman"/>
    <w:panose1 w:val="020B0604020202020204"/>
    <w:charset w:val="00"/>
    <w:family w:val="roman"/>
    <w:pitch w:val="default"/>
  </w:font>
  <w:font w:name="pg-9ff2">
    <w:altName w:val="Times New Roman"/>
    <w:panose1 w:val="020B0604020202020204"/>
    <w:charset w:val="00"/>
    <w:family w:val="roman"/>
    <w:pitch w:val="default"/>
  </w:font>
  <w:font w:name="pg-9ff3">
    <w:altName w:val="Times New Roman"/>
    <w:panose1 w:val="020B0604020202020204"/>
    <w:charset w:val="00"/>
    <w:family w:val="roman"/>
    <w:pitch w:val="default"/>
  </w:font>
  <w:font w:name="pg-9ff4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65C13"/>
    <w:multiLevelType w:val="multilevel"/>
    <w:tmpl w:val="2B6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7907">
    <w:abstractNumId w:val="0"/>
  </w:num>
  <w:num w:numId="2" w16cid:durableId="183279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8D1"/>
    <w:rsid w:val="00225293"/>
    <w:rsid w:val="002D58D1"/>
    <w:rsid w:val="00416D8A"/>
    <w:rsid w:val="0093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F6BA"/>
  <w15:chartTrackingRefBased/>
  <w15:docId w15:val="{DB49B2E7-42C2-404E-928A-5B521532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8D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3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2299</Words>
  <Characters>13581</Characters>
  <Application>Microsoft Office Word</Application>
  <DocSecurity>0</DocSecurity>
  <Lines>423</Lines>
  <Paragraphs>271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Matias Salimbene</cp:lastModifiedBy>
  <cp:revision>2</cp:revision>
  <dcterms:created xsi:type="dcterms:W3CDTF">2026-03-12T14:00:00Z</dcterms:created>
  <dcterms:modified xsi:type="dcterms:W3CDTF">2026-03-20T15:52:00Z</dcterms:modified>
</cp:coreProperties>
</file>