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DC66" w14:textId="77777777" w:rsidR="00A2606C" w:rsidRPr="00A2606C" w:rsidRDefault="00A2606C" w:rsidP="00A2606C">
      <w:pPr>
        <w:rPr>
          <w:rFonts w:ascii="Times New Roman" w:hAnsi="Times New Roman" w:cs="Times New Roman"/>
          <w:sz w:val="28"/>
          <w:szCs w:val="28"/>
        </w:rPr>
      </w:pPr>
    </w:p>
    <w:p w14:paraId="698F175C" w14:textId="77777777"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 </w:t>
      </w:r>
      <w:r w:rsidRPr="00A2606C">
        <w:rPr>
          <w:rFonts w:ascii="Times New Roman" w:hAnsi="Times New Roman" w:cs="Times New Roman"/>
          <w:b/>
          <w:bCs/>
          <w:sz w:val="28"/>
          <w:szCs w:val="28"/>
        </w:rPr>
        <w:t xml:space="preserve">1 | </w:t>
      </w:r>
      <w:r w:rsidRPr="00A2606C">
        <w:rPr>
          <w:rFonts w:ascii="Times New Roman" w:hAnsi="Times New Roman" w:cs="Times New Roman"/>
          <w:sz w:val="28"/>
          <w:szCs w:val="28"/>
        </w:rPr>
        <w:t xml:space="preserve">P a g e </w:t>
      </w:r>
    </w:p>
    <w:p w14:paraId="31800A40" w14:textId="77777777" w:rsidR="00A2606C" w:rsidRPr="00A2606C" w:rsidRDefault="00A2606C" w:rsidP="00A2606C">
      <w:pPr>
        <w:rPr>
          <w:rFonts w:ascii="Times New Roman" w:hAnsi="Times New Roman" w:cs="Times New Roman"/>
          <w:sz w:val="28"/>
          <w:szCs w:val="28"/>
        </w:rPr>
      </w:pPr>
    </w:p>
    <w:p w14:paraId="18160D53" w14:textId="77777777"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 </w:t>
      </w:r>
      <w:r w:rsidRPr="00A2606C">
        <w:rPr>
          <w:rFonts w:ascii="Times New Roman" w:hAnsi="Times New Roman" w:cs="Times New Roman"/>
          <w:b/>
          <w:bCs/>
          <w:sz w:val="28"/>
          <w:szCs w:val="28"/>
        </w:rPr>
        <w:t xml:space="preserve">Abdalla Hamid Mohamed vs </w:t>
      </w:r>
      <w:proofErr w:type="spellStart"/>
      <w:r w:rsidRPr="00A2606C">
        <w:rPr>
          <w:rFonts w:ascii="Times New Roman" w:hAnsi="Times New Roman" w:cs="Times New Roman"/>
          <w:b/>
          <w:bCs/>
          <w:sz w:val="28"/>
          <w:szCs w:val="28"/>
        </w:rPr>
        <w:t>Jasnena</w:t>
      </w:r>
      <w:proofErr w:type="spellEnd"/>
      <w:r w:rsidRPr="00A2606C">
        <w:rPr>
          <w:rFonts w:ascii="Times New Roman" w:hAnsi="Times New Roman" w:cs="Times New Roman"/>
          <w:b/>
          <w:bCs/>
          <w:sz w:val="28"/>
          <w:szCs w:val="28"/>
        </w:rPr>
        <w:t xml:space="preserve"> </w:t>
      </w:r>
      <w:proofErr w:type="spellStart"/>
      <w:r w:rsidRPr="00A2606C">
        <w:rPr>
          <w:rFonts w:ascii="Times New Roman" w:hAnsi="Times New Roman" w:cs="Times New Roman"/>
          <w:b/>
          <w:bCs/>
          <w:sz w:val="28"/>
          <w:szCs w:val="28"/>
        </w:rPr>
        <w:t>Zaludova</w:t>
      </w:r>
      <w:proofErr w:type="spellEnd"/>
      <w:r w:rsidRPr="00A2606C">
        <w:rPr>
          <w:rFonts w:ascii="Times New Roman" w:hAnsi="Times New Roman" w:cs="Times New Roman"/>
          <w:b/>
          <w:bCs/>
          <w:sz w:val="28"/>
          <w:szCs w:val="28"/>
        </w:rPr>
        <w:t xml:space="preserve"> [1982] TZHC 14 (8 September 1982) Reported [1983 TLR 314 (TZHC)] </w:t>
      </w:r>
    </w:p>
    <w:p w14:paraId="2109D4FD" w14:textId="77777777"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b/>
          <w:bCs/>
          <w:sz w:val="28"/>
          <w:szCs w:val="28"/>
        </w:rPr>
        <w:t xml:space="preserve">Judgment </w:t>
      </w:r>
    </w:p>
    <w:p w14:paraId="113CAB5B" w14:textId="77777777" w:rsidR="00A2606C" w:rsidRPr="00A2606C" w:rsidRDefault="00A2606C" w:rsidP="00A2606C">
      <w:pPr>
        <w:rPr>
          <w:rFonts w:ascii="Times New Roman" w:hAnsi="Times New Roman" w:cs="Times New Roman"/>
          <w:sz w:val="28"/>
          <w:szCs w:val="28"/>
        </w:rPr>
      </w:pPr>
      <w:proofErr w:type="spellStart"/>
      <w:r w:rsidRPr="00A2606C">
        <w:rPr>
          <w:rFonts w:ascii="Times New Roman" w:hAnsi="Times New Roman" w:cs="Times New Roman"/>
          <w:b/>
          <w:bCs/>
          <w:sz w:val="28"/>
          <w:szCs w:val="28"/>
        </w:rPr>
        <w:t>Msumi</w:t>
      </w:r>
      <w:proofErr w:type="spellEnd"/>
      <w:r w:rsidRPr="00A2606C">
        <w:rPr>
          <w:rFonts w:ascii="Times New Roman" w:hAnsi="Times New Roman" w:cs="Times New Roman"/>
          <w:b/>
          <w:bCs/>
          <w:sz w:val="28"/>
          <w:szCs w:val="28"/>
        </w:rPr>
        <w:t>, J</w:t>
      </w:r>
      <w:r w:rsidRPr="00A2606C">
        <w:rPr>
          <w:rFonts w:ascii="Times New Roman" w:hAnsi="Times New Roman" w:cs="Times New Roman"/>
          <w:sz w:val="28"/>
          <w:szCs w:val="28"/>
        </w:rPr>
        <w:t xml:space="preserve">.: The petitioner is a citizen of </w:t>
      </w:r>
      <w:r w:rsidRPr="00A2606C">
        <w:rPr>
          <w:rFonts w:ascii="Times New Roman" w:hAnsi="Times New Roman" w:cs="Times New Roman"/>
          <w:b/>
          <w:bCs/>
          <w:sz w:val="28"/>
          <w:szCs w:val="28"/>
        </w:rPr>
        <w:t xml:space="preserve">Tanzania </w:t>
      </w:r>
      <w:r w:rsidRPr="00A2606C">
        <w:rPr>
          <w:rFonts w:ascii="Times New Roman" w:hAnsi="Times New Roman" w:cs="Times New Roman"/>
          <w:sz w:val="28"/>
          <w:szCs w:val="28"/>
        </w:rPr>
        <w:t xml:space="preserve">while the respondent is a citizen of G </w:t>
      </w:r>
      <w:r w:rsidRPr="00A2606C">
        <w:rPr>
          <w:rFonts w:ascii="Times New Roman" w:hAnsi="Times New Roman" w:cs="Times New Roman"/>
          <w:b/>
          <w:bCs/>
          <w:sz w:val="28"/>
          <w:szCs w:val="28"/>
        </w:rPr>
        <w:t>Czechoslovakia</w:t>
      </w:r>
      <w:r w:rsidRPr="00A2606C">
        <w:rPr>
          <w:rFonts w:ascii="Times New Roman" w:hAnsi="Times New Roman" w:cs="Times New Roman"/>
          <w:sz w:val="28"/>
          <w:szCs w:val="28"/>
        </w:rPr>
        <w:t xml:space="preserve">. On 19th September 1974 they contracted a civil marriage at Prague, Czechoslovakia. Few months after the marriage they came to Tanzania and lived in Dar es Salaam and shortly afterwards they shifted to Zanzibar. While in Dar es Salaam the respondent changed her Christian religion and became a </w:t>
      </w:r>
      <w:proofErr w:type="spellStart"/>
      <w:r w:rsidRPr="00A2606C">
        <w:rPr>
          <w:rFonts w:ascii="Times New Roman" w:hAnsi="Times New Roman" w:cs="Times New Roman"/>
          <w:sz w:val="28"/>
          <w:szCs w:val="28"/>
        </w:rPr>
        <w:t>moslem</w:t>
      </w:r>
      <w:proofErr w:type="spellEnd"/>
      <w:r w:rsidRPr="00A2606C">
        <w:rPr>
          <w:rFonts w:ascii="Times New Roman" w:hAnsi="Times New Roman" w:cs="Times New Roman"/>
          <w:sz w:val="28"/>
          <w:szCs w:val="28"/>
        </w:rPr>
        <w:t xml:space="preserve">. Her conversion into H Islam was </w:t>
      </w:r>
      <w:proofErr w:type="spellStart"/>
      <w:r w:rsidRPr="00A2606C">
        <w:rPr>
          <w:rFonts w:ascii="Times New Roman" w:hAnsi="Times New Roman" w:cs="Times New Roman"/>
          <w:sz w:val="28"/>
          <w:szCs w:val="28"/>
        </w:rPr>
        <w:t>solemnised</w:t>
      </w:r>
      <w:proofErr w:type="spellEnd"/>
      <w:r w:rsidRPr="00A2606C">
        <w:rPr>
          <w:rFonts w:ascii="Times New Roman" w:hAnsi="Times New Roman" w:cs="Times New Roman"/>
          <w:sz w:val="28"/>
          <w:szCs w:val="28"/>
        </w:rPr>
        <w:t xml:space="preserve"> by a BAKWATA Sheikh one Abdallah Chaurembo; and consequent to it the respondent assumed a new name of Salama. Soon after the respondent's conversion into Islam, the parties went through a second marriage ceremony in accordance with Islamic Law. While the parties were still living together here, the petitioner decided to get married to I another wife. On hearing this, respondent decided to leave for her home country where she is still living. In some of her letters to the A petitioner the respondent has informed him that she was not going to resume cohabitation with him unless he divorces his second wife and then join her in Czechoslovakia. Hence in his petition, the petitioner contends that the respondent has been guilty of desertion since 1979 and thus requests the court to grant him a decree of divorce. B On 24/4/82 this court made a short ruling upholding the petition. Detailed judgment was reserved to a later date. Thus, in this judgment I will endeavor to illuminate the reasons for upholding this petition. The suit proceeded ex-</w:t>
      </w:r>
      <w:proofErr w:type="spellStart"/>
      <w:r w:rsidRPr="00A2606C">
        <w:rPr>
          <w:rFonts w:ascii="Times New Roman" w:hAnsi="Times New Roman" w:cs="Times New Roman"/>
          <w:sz w:val="28"/>
          <w:szCs w:val="28"/>
        </w:rPr>
        <w:t>parte</w:t>
      </w:r>
      <w:proofErr w:type="spellEnd"/>
      <w:r w:rsidRPr="00A2606C">
        <w:rPr>
          <w:rFonts w:ascii="Times New Roman" w:hAnsi="Times New Roman" w:cs="Times New Roman"/>
          <w:sz w:val="28"/>
          <w:szCs w:val="28"/>
        </w:rPr>
        <w:t xml:space="preserve"> after efforts to serve the respondent in Czechoslovakia has C proved to be fruitless. In any case, there is ample evidence showing that in fact the respondent was not interested in defending this suit. However, I am satisfied that this suit was not filed in collusion. Despite the fact that the respondent made no </w:t>
      </w:r>
      <w:proofErr w:type="spellStart"/>
      <w:r w:rsidRPr="00A2606C">
        <w:rPr>
          <w:rFonts w:ascii="Times New Roman" w:hAnsi="Times New Roman" w:cs="Times New Roman"/>
          <w:sz w:val="28"/>
          <w:szCs w:val="28"/>
        </w:rPr>
        <w:t>defence</w:t>
      </w:r>
      <w:proofErr w:type="spellEnd"/>
      <w:r w:rsidRPr="00A2606C">
        <w:rPr>
          <w:rFonts w:ascii="Times New Roman" w:hAnsi="Times New Roman" w:cs="Times New Roman"/>
          <w:sz w:val="28"/>
          <w:szCs w:val="28"/>
        </w:rPr>
        <w:t xml:space="preserve">, still this court is bound to consider the petitioner's case in detail and decide whether it is supportable by law and the available evidence. </w:t>
      </w:r>
    </w:p>
    <w:p w14:paraId="5F86736F" w14:textId="2DA7319E"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lastRenderedPageBreak/>
        <w:t xml:space="preserve">D It is evident that the respondent is a citizen of Czechoslovakia and that the parties first acquired their marital status through a civil marriage performed at Prague, Czechoslovakia. It is also undisputable that at the time when this suit was filed in this court the respondent had already </w:t>
      </w:r>
    </w:p>
    <w:p w14:paraId="44075E10" w14:textId="77777777" w:rsidR="00A2606C" w:rsidRPr="00A2606C" w:rsidRDefault="00A2606C" w:rsidP="00A2606C">
      <w:pPr>
        <w:rPr>
          <w:rFonts w:ascii="Times New Roman" w:hAnsi="Times New Roman" w:cs="Times New Roman"/>
          <w:sz w:val="28"/>
          <w:szCs w:val="28"/>
        </w:rPr>
      </w:pPr>
    </w:p>
    <w:p w14:paraId="69B06580" w14:textId="022757B0"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left the country for about three years. In these E circumstances, the immediate legal question is whether this court has jurisdiction to entertain this suit. Put it in another form, the issue here is whether the respondent falls within the jurisdiction of this court. It is an internationally- recognized principle of law that a woman acquires the domicile of F her husband on marriage. In this case, the petitioner is domiciled in Zanzibar, it therefore follows that the respondent is also domiciled here. Generally, parties in a matrimonial suit are subject to the jurisdiction of the court of the country of their domicile. On this basis, therefore, it was proper for this suit to be filed here. Furthermore, I am of the opinion that the fact that the matrimonial home of these parties G is still in Zanzibar adds more weight to the propriety of this court assuming jurisdiction over this suit. Apart from the above-mentioned general principles of Private International Law there is a local statute which deals with the question of jurisdiction in civil suits which have H foreign elements like the present one. Section 15(c) of the Civil Procedure Decree Cap. 8 give jurisdiction in civil matters to court in whose territory the cause of action arose. In the case of </w:t>
      </w:r>
      <w:proofErr w:type="spellStart"/>
      <w:r w:rsidRPr="00A2606C">
        <w:rPr>
          <w:rFonts w:ascii="Times New Roman" w:hAnsi="Times New Roman" w:cs="Times New Roman"/>
          <w:b/>
          <w:bCs/>
          <w:i/>
          <w:iCs/>
          <w:sz w:val="28"/>
          <w:szCs w:val="28"/>
        </w:rPr>
        <w:t>Dedhor</w:t>
      </w:r>
      <w:proofErr w:type="spellEnd"/>
      <w:r w:rsidRPr="00A2606C">
        <w:rPr>
          <w:rFonts w:ascii="Times New Roman" w:hAnsi="Times New Roman" w:cs="Times New Roman"/>
          <w:b/>
          <w:bCs/>
          <w:i/>
          <w:iCs/>
          <w:sz w:val="28"/>
          <w:szCs w:val="28"/>
        </w:rPr>
        <w:t xml:space="preserve"> v </w:t>
      </w:r>
      <w:proofErr w:type="spellStart"/>
      <w:r w:rsidRPr="00A2606C">
        <w:rPr>
          <w:rFonts w:ascii="Times New Roman" w:hAnsi="Times New Roman" w:cs="Times New Roman"/>
          <w:b/>
          <w:bCs/>
          <w:i/>
          <w:iCs/>
          <w:sz w:val="28"/>
          <w:szCs w:val="28"/>
        </w:rPr>
        <w:t>Janmohamed</w:t>
      </w:r>
      <w:proofErr w:type="spellEnd"/>
      <w:r w:rsidRPr="00A2606C">
        <w:rPr>
          <w:rFonts w:ascii="Times New Roman" w:hAnsi="Times New Roman" w:cs="Times New Roman"/>
          <w:b/>
          <w:bCs/>
          <w:i/>
          <w:iCs/>
          <w:sz w:val="28"/>
          <w:szCs w:val="28"/>
        </w:rPr>
        <w:t xml:space="preserve"> (1946) 8 ZLR 52 </w:t>
      </w:r>
      <w:r w:rsidRPr="00A2606C">
        <w:rPr>
          <w:rFonts w:ascii="Times New Roman" w:hAnsi="Times New Roman" w:cs="Times New Roman"/>
          <w:sz w:val="28"/>
          <w:szCs w:val="28"/>
        </w:rPr>
        <w:t xml:space="preserve">the parties were husband and wife married in Zanzibar under Islamic Law. Soon after their marriage they went to live I in Tanganyika which was the domicile of the husband. Later on, the wife left the husband in Tanganyika and came to live in Zanzibar. She then filed a suit in this court for maintenance alleging that due to A her husband's acts of cruelty, she was forced to leave the matrimonial home. This court, while being presided over by my learned brother Chief Justice Robinson held that since the cause of action viz the alleged acts of cruelty by the husband, occurred in Tanganyika, according to S. 15(c) of Civil Procedure Decree this court lacked B jurisdiction to entertain the suit. In the present case the petitioner's prayer for divorce is based on the allegation that the respondent has deserted him. The alleged desertion consists of the respondent's act of leaving the matrimonial home in Zanzibar and her refusal to return. This means that the cause of action arose in Zanzibar. By virtue of C section 15(c) of Civil Procedure Decree as rightly interpreted in the case of </w:t>
      </w:r>
      <w:proofErr w:type="spellStart"/>
      <w:r w:rsidRPr="00A2606C">
        <w:rPr>
          <w:rFonts w:ascii="Times New Roman" w:hAnsi="Times New Roman" w:cs="Times New Roman"/>
          <w:b/>
          <w:bCs/>
          <w:i/>
          <w:iCs/>
          <w:sz w:val="28"/>
          <w:szCs w:val="28"/>
        </w:rPr>
        <w:t>Dedhor</w:t>
      </w:r>
      <w:proofErr w:type="spellEnd"/>
      <w:r w:rsidRPr="00A2606C">
        <w:rPr>
          <w:rFonts w:ascii="Times New Roman" w:hAnsi="Times New Roman" w:cs="Times New Roman"/>
          <w:b/>
          <w:bCs/>
          <w:i/>
          <w:iCs/>
          <w:sz w:val="28"/>
          <w:szCs w:val="28"/>
        </w:rPr>
        <w:t xml:space="preserve"> v </w:t>
      </w:r>
      <w:proofErr w:type="spellStart"/>
      <w:r w:rsidRPr="00A2606C">
        <w:rPr>
          <w:rFonts w:ascii="Times New Roman" w:hAnsi="Times New Roman" w:cs="Times New Roman"/>
          <w:b/>
          <w:bCs/>
          <w:i/>
          <w:iCs/>
          <w:sz w:val="28"/>
          <w:szCs w:val="28"/>
        </w:rPr>
        <w:t>Janmohamed</w:t>
      </w:r>
      <w:proofErr w:type="spellEnd"/>
      <w:r w:rsidRPr="00A2606C">
        <w:rPr>
          <w:rFonts w:ascii="Times New Roman" w:hAnsi="Times New Roman" w:cs="Times New Roman"/>
          <w:b/>
          <w:bCs/>
          <w:i/>
          <w:iCs/>
          <w:sz w:val="28"/>
          <w:szCs w:val="28"/>
        </w:rPr>
        <w:t xml:space="preserve"> </w:t>
      </w:r>
      <w:r w:rsidRPr="00A2606C">
        <w:rPr>
          <w:rFonts w:ascii="Times New Roman" w:hAnsi="Times New Roman" w:cs="Times New Roman"/>
          <w:sz w:val="28"/>
          <w:szCs w:val="28"/>
        </w:rPr>
        <w:t xml:space="preserve">this court has jurisdiction to entertain the suit. The legal effect of a contract of marriage is to bestow upon the parties the status of husband and wife. It is noted that in this case after the parties had contracted a civil D marriage, they later on purported to contract another marriage in accordance with Islamic ceremony and rites. From the petitioner's testimony it is evident that the aim of that second ceremony was to convert their civil </w:t>
      </w:r>
    </w:p>
    <w:p w14:paraId="2F32C99A" w14:textId="77777777" w:rsidR="00A2606C" w:rsidRPr="00A2606C" w:rsidRDefault="00A2606C" w:rsidP="00A2606C">
      <w:pPr>
        <w:rPr>
          <w:rFonts w:ascii="Times New Roman" w:hAnsi="Times New Roman" w:cs="Times New Roman"/>
          <w:sz w:val="28"/>
          <w:szCs w:val="28"/>
        </w:rPr>
      </w:pPr>
    </w:p>
    <w:p w14:paraId="4A6CD437" w14:textId="77777777"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marriage into Islamic one. The question then is whether this intention is legally sustainable. In common law the general view is that a second marriage ceremony after the parties E have validly married is of no legal importance. The main argument advanced in </w:t>
      </w:r>
      <w:proofErr w:type="spellStart"/>
      <w:r w:rsidRPr="00A2606C">
        <w:rPr>
          <w:rFonts w:ascii="Times New Roman" w:hAnsi="Times New Roman" w:cs="Times New Roman"/>
          <w:sz w:val="28"/>
          <w:szCs w:val="28"/>
        </w:rPr>
        <w:t>favour</w:t>
      </w:r>
      <w:proofErr w:type="spellEnd"/>
      <w:r w:rsidRPr="00A2606C">
        <w:rPr>
          <w:rFonts w:ascii="Times New Roman" w:hAnsi="Times New Roman" w:cs="Times New Roman"/>
          <w:sz w:val="28"/>
          <w:szCs w:val="28"/>
        </w:rPr>
        <w:t xml:space="preserve"> of this view is that since the parties have already acquired the marital status, which is the purpose of a marriage contract, any subsequent ceremony purporting to do what has already been accomplished is legally redundant. In the case of </w:t>
      </w:r>
      <w:r w:rsidRPr="00A2606C">
        <w:rPr>
          <w:rFonts w:ascii="Times New Roman" w:hAnsi="Times New Roman" w:cs="Times New Roman"/>
          <w:b/>
          <w:bCs/>
          <w:i/>
          <w:iCs/>
          <w:sz w:val="28"/>
          <w:szCs w:val="28"/>
        </w:rPr>
        <w:t xml:space="preserve">Thynne v Thynne F [1955] 3 All ER 129 </w:t>
      </w:r>
      <w:r w:rsidRPr="00A2606C">
        <w:rPr>
          <w:rFonts w:ascii="Times New Roman" w:hAnsi="Times New Roman" w:cs="Times New Roman"/>
          <w:sz w:val="28"/>
          <w:szCs w:val="28"/>
        </w:rPr>
        <w:t xml:space="preserve">the parties after secretly but validly being married subsequently went through another marriage ceremony. After long cohabitation the wife petitioned for divorce and in her petition, she referred to the second marriage ceremony. The court granted a decree of divorce on the understanding that it was dissolving the marriage G celebrated on the day shown in the petition. However, when the court discovered the true fact, it amended the divorce decree to indicate that the dissolved marriage was the one contracted before the second ceremony. But in the present case the parties here did more than just go through another ceremony H of marriage. Before undergoing the second ceremony the wife willingly changed her religion and became a </w:t>
      </w:r>
      <w:proofErr w:type="spellStart"/>
      <w:r w:rsidRPr="00A2606C">
        <w:rPr>
          <w:rFonts w:ascii="Times New Roman" w:hAnsi="Times New Roman" w:cs="Times New Roman"/>
          <w:sz w:val="28"/>
          <w:szCs w:val="28"/>
        </w:rPr>
        <w:t>moslem</w:t>
      </w:r>
      <w:proofErr w:type="spellEnd"/>
      <w:r w:rsidRPr="00A2606C">
        <w:rPr>
          <w:rFonts w:ascii="Times New Roman" w:hAnsi="Times New Roman" w:cs="Times New Roman"/>
          <w:sz w:val="28"/>
          <w:szCs w:val="28"/>
        </w:rPr>
        <w:t xml:space="preserve">. A religious ceremony was conducted by one Sheikh Abdallah </w:t>
      </w:r>
      <w:proofErr w:type="spellStart"/>
      <w:r w:rsidRPr="00A2606C">
        <w:rPr>
          <w:rFonts w:ascii="Times New Roman" w:hAnsi="Times New Roman" w:cs="Times New Roman"/>
          <w:sz w:val="28"/>
          <w:szCs w:val="28"/>
        </w:rPr>
        <w:t>Chaurembo</w:t>
      </w:r>
      <w:proofErr w:type="spellEnd"/>
      <w:r w:rsidRPr="00A2606C">
        <w:rPr>
          <w:rFonts w:ascii="Times New Roman" w:hAnsi="Times New Roman" w:cs="Times New Roman"/>
          <w:sz w:val="28"/>
          <w:szCs w:val="28"/>
        </w:rPr>
        <w:t xml:space="preserve"> and subsequently she assumed an Islamic maiden name of Salama. It appears that the ceremonies of conversion and the Islamic marriage rites were done simultaneously. These ceremonies were aimed at formalizing the religious and marital I status of the parties. </w:t>
      </w:r>
    </w:p>
    <w:p w14:paraId="4C160F75" w14:textId="45E517A3"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So far it would appear that at common law the question whether a change of religion by A </w:t>
      </w:r>
      <w:proofErr w:type="spellStart"/>
      <w:r w:rsidRPr="00A2606C">
        <w:rPr>
          <w:rFonts w:ascii="Times New Roman" w:hAnsi="Times New Roman" w:cs="Times New Roman"/>
          <w:sz w:val="28"/>
          <w:szCs w:val="28"/>
        </w:rPr>
        <w:t>a</w:t>
      </w:r>
      <w:proofErr w:type="spellEnd"/>
      <w:r w:rsidRPr="00A2606C">
        <w:rPr>
          <w:rFonts w:ascii="Times New Roman" w:hAnsi="Times New Roman" w:cs="Times New Roman"/>
          <w:sz w:val="28"/>
          <w:szCs w:val="28"/>
        </w:rPr>
        <w:t xml:space="preserve"> spouse after marriage has any legal effect to their marriage is still an open issue. </w:t>
      </w:r>
      <w:proofErr w:type="gramStart"/>
      <w:r w:rsidRPr="00A2606C">
        <w:rPr>
          <w:rFonts w:ascii="Times New Roman" w:hAnsi="Times New Roman" w:cs="Times New Roman"/>
          <w:sz w:val="28"/>
          <w:szCs w:val="28"/>
        </w:rPr>
        <w:t>Thus</w:t>
      </w:r>
      <w:proofErr w:type="gramEnd"/>
      <w:r w:rsidRPr="00A2606C">
        <w:rPr>
          <w:rFonts w:ascii="Times New Roman" w:hAnsi="Times New Roman" w:cs="Times New Roman"/>
          <w:sz w:val="28"/>
          <w:szCs w:val="28"/>
        </w:rPr>
        <w:t xml:space="preserve"> in the case of </w:t>
      </w:r>
      <w:r w:rsidRPr="00A2606C">
        <w:rPr>
          <w:rFonts w:ascii="Times New Roman" w:hAnsi="Times New Roman" w:cs="Times New Roman"/>
          <w:b/>
          <w:bCs/>
          <w:i/>
          <w:iCs/>
          <w:sz w:val="28"/>
          <w:szCs w:val="28"/>
        </w:rPr>
        <w:t xml:space="preserve">Skinner v Skinner (1897) 25 IA 34 Lord Watson </w:t>
      </w:r>
      <w:r w:rsidRPr="00A2606C">
        <w:rPr>
          <w:rFonts w:ascii="Times New Roman" w:hAnsi="Times New Roman" w:cs="Times New Roman"/>
          <w:sz w:val="28"/>
          <w:szCs w:val="28"/>
        </w:rPr>
        <w:t xml:space="preserve">said: Whether a change of religion made honestly after marriage with the assent of both spouses, B without any intent to commit a fraud upon the law, will have the effect of altering rights incidental to the marriage such as that of divorce, is a question of importance and may be nicety. However, in East Africa some decisive pronouncements had been made by the courts C on this question. In the case of </w:t>
      </w:r>
      <w:proofErr w:type="spellStart"/>
      <w:r w:rsidRPr="00A2606C">
        <w:rPr>
          <w:rFonts w:ascii="Times New Roman" w:hAnsi="Times New Roman" w:cs="Times New Roman"/>
          <w:b/>
          <w:bCs/>
          <w:i/>
          <w:iCs/>
          <w:sz w:val="28"/>
          <w:szCs w:val="28"/>
        </w:rPr>
        <w:t>Rattansey</w:t>
      </w:r>
      <w:proofErr w:type="spellEnd"/>
      <w:r w:rsidRPr="00A2606C">
        <w:rPr>
          <w:rFonts w:ascii="Times New Roman" w:hAnsi="Times New Roman" w:cs="Times New Roman"/>
          <w:b/>
          <w:bCs/>
          <w:i/>
          <w:iCs/>
          <w:sz w:val="28"/>
          <w:szCs w:val="28"/>
        </w:rPr>
        <w:t xml:space="preserve"> v </w:t>
      </w:r>
      <w:proofErr w:type="spellStart"/>
      <w:r w:rsidRPr="00A2606C">
        <w:rPr>
          <w:rFonts w:ascii="Times New Roman" w:hAnsi="Times New Roman" w:cs="Times New Roman"/>
          <w:b/>
          <w:bCs/>
          <w:i/>
          <w:iCs/>
          <w:sz w:val="28"/>
          <w:szCs w:val="28"/>
        </w:rPr>
        <w:t>Rattansey</w:t>
      </w:r>
      <w:proofErr w:type="spellEnd"/>
      <w:r w:rsidRPr="00A2606C">
        <w:rPr>
          <w:rFonts w:ascii="Times New Roman" w:hAnsi="Times New Roman" w:cs="Times New Roman"/>
          <w:b/>
          <w:bCs/>
          <w:i/>
          <w:iCs/>
          <w:sz w:val="28"/>
          <w:szCs w:val="28"/>
        </w:rPr>
        <w:t xml:space="preserve"> [1960] E.A. 81</w:t>
      </w:r>
      <w:r w:rsidRPr="00A2606C">
        <w:rPr>
          <w:rFonts w:ascii="Times New Roman" w:hAnsi="Times New Roman" w:cs="Times New Roman"/>
          <w:sz w:val="28"/>
          <w:szCs w:val="28"/>
        </w:rPr>
        <w:t xml:space="preserve">, the petitioner a member of Khoja </w:t>
      </w:r>
      <w:proofErr w:type="spellStart"/>
      <w:r w:rsidRPr="00A2606C">
        <w:rPr>
          <w:rFonts w:ascii="Times New Roman" w:hAnsi="Times New Roman" w:cs="Times New Roman"/>
          <w:b/>
          <w:bCs/>
          <w:sz w:val="28"/>
          <w:szCs w:val="28"/>
        </w:rPr>
        <w:t>Ithna-asheri</w:t>
      </w:r>
      <w:proofErr w:type="spellEnd"/>
      <w:r w:rsidRPr="00A2606C">
        <w:rPr>
          <w:rFonts w:ascii="Times New Roman" w:hAnsi="Times New Roman" w:cs="Times New Roman"/>
          <w:b/>
          <w:bCs/>
          <w:sz w:val="28"/>
          <w:szCs w:val="28"/>
        </w:rPr>
        <w:t xml:space="preserve"> community </w:t>
      </w:r>
      <w:r w:rsidRPr="00A2606C">
        <w:rPr>
          <w:rFonts w:ascii="Times New Roman" w:hAnsi="Times New Roman" w:cs="Times New Roman"/>
          <w:sz w:val="28"/>
          <w:szCs w:val="28"/>
        </w:rPr>
        <w:t xml:space="preserve">married the respondent who was a Christian D by a civil ceremony under the Marriage Ordinance. The respondent soon became a convert to Islam and was admitted to the </w:t>
      </w:r>
      <w:proofErr w:type="spellStart"/>
      <w:r w:rsidRPr="00A2606C">
        <w:rPr>
          <w:rFonts w:ascii="Times New Roman" w:hAnsi="Times New Roman" w:cs="Times New Roman"/>
          <w:b/>
          <w:bCs/>
          <w:sz w:val="28"/>
          <w:szCs w:val="28"/>
        </w:rPr>
        <w:t>Ithn-asheri</w:t>
      </w:r>
      <w:proofErr w:type="spellEnd"/>
      <w:r w:rsidRPr="00A2606C">
        <w:rPr>
          <w:rFonts w:ascii="Times New Roman" w:hAnsi="Times New Roman" w:cs="Times New Roman"/>
          <w:b/>
          <w:bCs/>
          <w:sz w:val="28"/>
          <w:szCs w:val="28"/>
        </w:rPr>
        <w:t xml:space="preserve"> community</w:t>
      </w:r>
      <w:r w:rsidRPr="00A2606C">
        <w:rPr>
          <w:rFonts w:ascii="Times New Roman" w:hAnsi="Times New Roman" w:cs="Times New Roman"/>
          <w:sz w:val="28"/>
          <w:szCs w:val="28"/>
        </w:rPr>
        <w:t xml:space="preserve">. On the same day the petitioner and the respondent went through a ceremony of marriage according to Muslim law. Subsequently the petitioner having divorced the respondent by renouncement of E talak according to Islamic law applied to </w:t>
      </w:r>
    </w:p>
    <w:p w14:paraId="055BCE4E" w14:textId="77777777" w:rsidR="00A2606C" w:rsidRPr="00A2606C" w:rsidRDefault="00A2606C" w:rsidP="00A2606C">
      <w:pPr>
        <w:rPr>
          <w:rFonts w:ascii="Times New Roman" w:hAnsi="Times New Roman" w:cs="Times New Roman"/>
          <w:sz w:val="28"/>
          <w:szCs w:val="28"/>
        </w:rPr>
      </w:pPr>
    </w:p>
    <w:p w14:paraId="2E062ECC" w14:textId="77777777"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the court for a declaration that the divorce pronounced by talak be recognized by the law. One of the grounds of objection raised against the petition was that when the parties went through the purported marriage under Islamic law, they were already husband and wife; and so, the second ceremony did not confer on them any additional marital status. Since their marital status was that acquired F through civil marriage, the same could not be dissolved by Islamic law procedure in a form of issuing a talak. This argument was dismissed and the court was of the view that the respondent's conversion to Islam had the effect of subjecting the parties’ rights and obligations incidental to their marital status to Islamic law. In his judgment Spry Ag. J as G he then was, quoted with approval the observations of Blackwell, J in the case </w:t>
      </w:r>
      <w:r w:rsidRPr="00A2606C">
        <w:rPr>
          <w:rFonts w:ascii="Times New Roman" w:hAnsi="Times New Roman" w:cs="Times New Roman"/>
          <w:b/>
          <w:bCs/>
          <w:i/>
          <w:iCs/>
          <w:sz w:val="28"/>
          <w:szCs w:val="28"/>
        </w:rPr>
        <w:t xml:space="preserve">of </w:t>
      </w:r>
      <w:proofErr w:type="spellStart"/>
      <w:r w:rsidRPr="00A2606C">
        <w:rPr>
          <w:rFonts w:ascii="Times New Roman" w:hAnsi="Times New Roman" w:cs="Times New Roman"/>
          <w:b/>
          <w:bCs/>
          <w:i/>
          <w:iCs/>
          <w:sz w:val="28"/>
          <w:szCs w:val="28"/>
        </w:rPr>
        <w:t>Khambatta</w:t>
      </w:r>
      <w:proofErr w:type="spellEnd"/>
      <w:r w:rsidRPr="00A2606C">
        <w:rPr>
          <w:rFonts w:ascii="Times New Roman" w:hAnsi="Times New Roman" w:cs="Times New Roman"/>
          <w:b/>
          <w:bCs/>
          <w:i/>
          <w:iCs/>
          <w:sz w:val="28"/>
          <w:szCs w:val="28"/>
        </w:rPr>
        <w:t xml:space="preserve"> v </w:t>
      </w:r>
      <w:proofErr w:type="spellStart"/>
      <w:r w:rsidRPr="00A2606C">
        <w:rPr>
          <w:rFonts w:ascii="Times New Roman" w:hAnsi="Times New Roman" w:cs="Times New Roman"/>
          <w:b/>
          <w:bCs/>
          <w:i/>
          <w:iCs/>
          <w:sz w:val="28"/>
          <w:szCs w:val="28"/>
        </w:rPr>
        <w:t>Khambatta</w:t>
      </w:r>
      <w:proofErr w:type="spellEnd"/>
      <w:r w:rsidRPr="00A2606C">
        <w:rPr>
          <w:rFonts w:ascii="Times New Roman" w:hAnsi="Times New Roman" w:cs="Times New Roman"/>
          <w:b/>
          <w:bCs/>
          <w:i/>
          <w:iCs/>
          <w:sz w:val="28"/>
          <w:szCs w:val="28"/>
        </w:rPr>
        <w:t xml:space="preserve"> [1935] - 59 Bomb</w:t>
      </w:r>
      <w:r w:rsidRPr="00A2606C">
        <w:rPr>
          <w:rFonts w:ascii="Times New Roman" w:hAnsi="Times New Roman" w:cs="Times New Roman"/>
          <w:sz w:val="28"/>
          <w:szCs w:val="28"/>
        </w:rPr>
        <w:t xml:space="preserve">. 278 at page 296 where his lordship said: It has been argued for the appellant that the status imposed by operation of law upon persons H who marry in Christian form cannot be altered by the voluntary act of the parties. But, if a change of domicile, which is a voluntary act, may result in a change of status by reason of the application of a different system of law, it is difficult to see why a change of religion, the domicile remaining unchanged, may not also result in a change of status, if the law to be I applied is then different by reason of the difference of religion. </w:t>
      </w:r>
    </w:p>
    <w:p w14:paraId="3E3E253F" w14:textId="77777777"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In his judgment Spry Ag. J went to the extent of saying that a marriage contracted A according to one system of law could be dissolved according to another system of law: "There is no principle of law that a marriage must be dissolved under the same system as that under which it was contracted". It is highly tempting to hold that the learned judge's view as expressed in </w:t>
      </w:r>
      <w:proofErr w:type="spellStart"/>
      <w:r w:rsidRPr="00A2606C">
        <w:rPr>
          <w:rFonts w:ascii="Times New Roman" w:hAnsi="Times New Roman" w:cs="Times New Roman"/>
          <w:b/>
          <w:bCs/>
          <w:i/>
          <w:iCs/>
          <w:sz w:val="28"/>
          <w:szCs w:val="28"/>
        </w:rPr>
        <w:t>Rattansey</w:t>
      </w:r>
      <w:proofErr w:type="spellEnd"/>
      <w:r w:rsidRPr="00A2606C">
        <w:rPr>
          <w:rFonts w:ascii="Times New Roman" w:hAnsi="Times New Roman" w:cs="Times New Roman"/>
          <w:b/>
          <w:bCs/>
          <w:i/>
          <w:iCs/>
          <w:sz w:val="28"/>
          <w:szCs w:val="28"/>
        </w:rPr>
        <w:t xml:space="preserve"> v B </w:t>
      </w:r>
      <w:proofErr w:type="spellStart"/>
      <w:r w:rsidRPr="00A2606C">
        <w:rPr>
          <w:rFonts w:ascii="Times New Roman" w:hAnsi="Times New Roman" w:cs="Times New Roman"/>
          <w:b/>
          <w:bCs/>
          <w:i/>
          <w:iCs/>
          <w:sz w:val="28"/>
          <w:szCs w:val="28"/>
        </w:rPr>
        <w:t>Rattansey</w:t>
      </w:r>
      <w:proofErr w:type="spellEnd"/>
      <w:r w:rsidRPr="00A2606C">
        <w:rPr>
          <w:rFonts w:ascii="Times New Roman" w:hAnsi="Times New Roman" w:cs="Times New Roman"/>
          <w:b/>
          <w:bCs/>
          <w:i/>
          <w:iCs/>
          <w:sz w:val="28"/>
          <w:szCs w:val="28"/>
        </w:rPr>
        <w:t xml:space="preserve"> </w:t>
      </w:r>
      <w:r w:rsidRPr="00A2606C">
        <w:rPr>
          <w:rFonts w:ascii="Times New Roman" w:hAnsi="Times New Roman" w:cs="Times New Roman"/>
          <w:sz w:val="28"/>
          <w:szCs w:val="28"/>
        </w:rPr>
        <w:t xml:space="preserve">was in conflict with what he said in the case of </w:t>
      </w:r>
      <w:r w:rsidRPr="00A2606C">
        <w:rPr>
          <w:rFonts w:ascii="Times New Roman" w:hAnsi="Times New Roman" w:cs="Times New Roman"/>
          <w:b/>
          <w:bCs/>
          <w:i/>
          <w:iCs/>
          <w:sz w:val="28"/>
          <w:szCs w:val="28"/>
        </w:rPr>
        <w:t>Ayoob v Ayoob [1968] E.A</w:t>
      </w:r>
      <w:r w:rsidRPr="00A2606C">
        <w:rPr>
          <w:rFonts w:ascii="Times New Roman" w:hAnsi="Times New Roman" w:cs="Times New Roman"/>
          <w:sz w:val="28"/>
          <w:szCs w:val="28"/>
        </w:rPr>
        <w:t xml:space="preserve">. </w:t>
      </w:r>
      <w:r w:rsidRPr="00A2606C">
        <w:rPr>
          <w:rFonts w:ascii="Times New Roman" w:hAnsi="Times New Roman" w:cs="Times New Roman"/>
          <w:b/>
          <w:bCs/>
          <w:sz w:val="28"/>
          <w:szCs w:val="28"/>
        </w:rPr>
        <w:t xml:space="preserve">72. </w:t>
      </w:r>
      <w:r w:rsidRPr="00A2606C">
        <w:rPr>
          <w:rFonts w:ascii="Times New Roman" w:hAnsi="Times New Roman" w:cs="Times New Roman"/>
          <w:sz w:val="28"/>
          <w:szCs w:val="28"/>
        </w:rPr>
        <w:t xml:space="preserve">Fortunately, the honorable judge himself foresaw this danger. In short, he distinguished the two cases mainly on the ground that the decision in </w:t>
      </w:r>
      <w:proofErr w:type="spellStart"/>
      <w:r w:rsidRPr="00A2606C">
        <w:rPr>
          <w:rFonts w:ascii="Times New Roman" w:hAnsi="Times New Roman" w:cs="Times New Roman"/>
          <w:b/>
          <w:bCs/>
          <w:i/>
          <w:iCs/>
          <w:sz w:val="28"/>
          <w:szCs w:val="28"/>
        </w:rPr>
        <w:t>Rattansey</w:t>
      </w:r>
      <w:proofErr w:type="spellEnd"/>
      <w:r w:rsidRPr="00A2606C">
        <w:rPr>
          <w:rFonts w:ascii="Times New Roman" w:hAnsi="Times New Roman" w:cs="Times New Roman"/>
          <w:b/>
          <w:bCs/>
          <w:i/>
          <w:iCs/>
          <w:sz w:val="28"/>
          <w:szCs w:val="28"/>
        </w:rPr>
        <w:t xml:space="preserve"> case </w:t>
      </w:r>
      <w:r w:rsidRPr="00A2606C">
        <w:rPr>
          <w:rFonts w:ascii="Times New Roman" w:hAnsi="Times New Roman" w:cs="Times New Roman"/>
          <w:sz w:val="28"/>
          <w:szCs w:val="28"/>
        </w:rPr>
        <w:t xml:space="preserve">was influenced by the existence of local statutes in Tanganyika by then. Zanzibar is de facto C an Islamic state. Over 90 percent of the population profess Islamic religion. This means that the personal matter of the majority of Zanzibaris are governed by rules of Islamic law. Generally, it can be said that all Moslems in Zanzibar are subject to Islamic law in matters related to their personal status. This view is supported by section 11 C, (a)(b)(c) of Decree 6 of 1975 which says: D 11C. </w:t>
      </w:r>
    </w:p>
    <w:p w14:paraId="7127B342" w14:textId="00C8AD26" w:rsidR="00A2606C" w:rsidRPr="00A2606C" w:rsidRDefault="00A2606C" w:rsidP="00A2606C">
      <w:pPr>
        <w:rPr>
          <w:rFonts w:ascii="Times New Roman" w:hAnsi="Times New Roman" w:cs="Times New Roman"/>
          <w:sz w:val="28"/>
          <w:szCs w:val="28"/>
        </w:rPr>
      </w:pPr>
      <w:r w:rsidRPr="00A2606C">
        <w:rPr>
          <w:rFonts w:ascii="Times New Roman" w:hAnsi="Times New Roman" w:cs="Times New Roman"/>
          <w:b/>
          <w:bCs/>
          <w:sz w:val="28"/>
          <w:szCs w:val="28"/>
        </w:rPr>
        <w:t xml:space="preserve">The jurisdiction of Kadhi's court shall be limited to: </w:t>
      </w:r>
      <w:r w:rsidRPr="00A2606C">
        <w:rPr>
          <w:rFonts w:ascii="Times New Roman" w:hAnsi="Times New Roman" w:cs="Times New Roman"/>
          <w:sz w:val="28"/>
          <w:szCs w:val="28"/>
        </w:rPr>
        <w:t xml:space="preserve">a. matters relating to personal status, marriage, divorce, guardianship and subject to </w:t>
      </w:r>
    </w:p>
    <w:p w14:paraId="1B14CEDC" w14:textId="77777777" w:rsidR="00A2606C" w:rsidRPr="00A2606C" w:rsidRDefault="00A2606C" w:rsidP="00A2606C">
      <w:pPr>
        <w:rPr>
          <w:rFonts w:ascii="Times New Roman" w:hAnsi="Times New Roman" w:cs="Times New Roman"/>
          <w:sz w:val="28"/>
          <w:szCs w:val="28"/>
        </w:rPr>
      </w:pPr>
    </w:p>
    <w:p w14:paraId="6B248DCE" w14:textId="08508659" w:rsidR="00E67ED5" w:rsidRPr="00A2606C" w:rsidRDefault="00A2606C" w:rsidP="00A2606C">
      <w:pPr>
        <w:rPr>
          <w:rFonts w:ascii="Times New Roman" w:hAnsi="Times New Roman" w:cs="Times New Roman"/>
          <w:sz w:val="28"/>
          <w:szCs w:val="28"/>
        </w:rPr>
      </w:pPr>
      <w:r w:rsidRPr="00A2606C">
        <w:rPr>
          <w:rFonts w:ascii="Times New Roman" w:hAnsi="Times New Roman" w:cs="Times New Roman"/>
          <w:sz w:val="28"/>
          <w:szCs w:val="28"/>
        </w:rPr>
        <w:t xml:space="preserve">the E provisions of any other law for the time being in force, the custody of children in cases in which the parties are Muslims of the </w:t>
      </w:r>
      <w:proofErr w:type="spellStart"/>
      <w:r w:rsidRPr="00A2606C">
        <w:rPr>
          <w:rFonts w:ascii="Times New Roman" w:hAnsi="Times New Roman" w:cs="Times New Roman"/>
          <w:sz w:val="28"/>
          <w:szCs w:val="28"/>
        </w:rPr>
        <w:t>Ibathi</w:t>
      </w:r>
      <w:proofErr w:type="spellEnd"/>
      <w:r w:rsidRPr="00A2606C">
        <w:rPr>
          <w:rFonts w:ascii="Times New Roman" w:hAnsi="Times New Roman" w:cs="Times New Roman"/>
          <w:sz w:val="28"/>
          <w:szCs w:val="28"/>
        </w:rPr>
        <w:t xml:space="preserve"> sect or the Shafei sect. b. matters relating to wakfs, religious or charitable trusts inter </w:t>
      </w:r>
      <w:proofErr w:type="spellStart"/>
      <w:r w:rsidRPr="00A2606C">
        <w:rPr>
          <w:rFonts w:ascii="Times New Roman" w:hAnsi="Times New Roman" w:cs="Times New Roman"/>
          <w:sz w:val="28"/>
          <w:szCs w:val="28"/>
        </w:rPr>
        <w:t>vivos</w:t>
      </w:r>
      <w:proofErr w:type="spellEnd"/>
      <w:r w:rsidRPr="00A2606C">
        <w:rPr>
          <w:rFonts w:ascii="Times New Roman" w:hAnsi="Times New Roman" w:cs="Times New Roman"/>
          <w:sz w:val="28"/>
          <w:szCs w:val="28"/>
        </w:rPr>
        <w:t xml:space="preserve"> and inheritance where the claim in respect of any such matter does not exceed five thousand shillings, F in cases in which the parties are Muslims of the </w:t>
      </w:r>
      <w:proofErr w:type="spellStart"/>
      <w:r w:rsidRPr="00A2606C">
        <w:rPr>
          <w:rFonts w:ascii="Times New Roman" w:hAnsi="Times New Roman" w:cs="Times New Roman"/>
          <w:sz w:val="28"/>
          <w:szCs w:val="28"/>
        </w:rPr>
        <w:t>Ibathi</w:t>
      </w:r>
      <w:proofErr w:type="spellEnd"/>
      <w:r w:rsidRPr="00A2606C">
        <w:rPr>
          <w:rFonts w:ascii="Times New Roman" w:hAnsi="Times New Roman" w:cs="Times New Roman"/>
          <w:sz w:val="28"/>
          <w:szCs w:val="28"/>
        </w:rPr>
        <w:t xml:space="preserve"> sect or the Shafei sect; c. claims for maintenance, where such claims are for a lump gift inter </w:t>
      </w:r>
      <w:proofErr w:type="spellStart"/>
      <w:r w:rsidRPr="00A2606C">
        <w:rPr>
          <w:rFonts w:ascii="Times New Roman" w:hAnsi="Times New Roman" w:cs="Times New Roman"/>
          <w:sz w:val="28"/>
          <w:szCs w:val="28"/>
        </w:rPr>
        <w:t>vivos</w:t>
      </w:r>
      <w:proofErr w:type="spellEnd"/>
      <w:r w:rsidRPr="00A2606C">
        <w:rPr>
          <w:rFonts w:ascii="Times New Roman" w:hAnsi="Times New Roman" w:cs="Times New Roman"/>
          <w:sz w:val="28"/>
          <w:szCs w:val="28"/>
        </w:rPr>
        <w:t xml:space="preserve"> and inheritance where the claim in respect of any such matter does not exceed five thousand shillings, in cases in which the parties are Muslims of the </w:t>
      </w:r>
      <w:proofErr w:type="spellStart"/>
      <w:r w:rsidRPr="00A2606C">
        <w:rPr>
          <w:rFonts w:ascii="Times New Roman" w:hAnsi="Times New Roman" w:cs="Times New Roman"/>
          <w:sz w:val="28"/>
          <w:szCs w:val="28"/>
        </w:rPr>
        <w:t>Ibathi</w:t>
      </w:r>
      <w:proofErr w:type="spellEnd"/>
      <w:r w:rsidRPr="00A2606C">
        <w:rPr>
          <w:rFonts w:ascii="Times New Roman" w:hAnsi="Times New Roman" w:cs="Times New Roman"/>
          <w:sz w:val="28"/>
          <w:szCs w:val="28"/>
        </w:rPr>
        <w:t xml:space="preserve"> sect or the Shafei sect; G The law applicable in Kadhi's courts is Islamic law and once a person is a </w:t>
      </w:r>
      <w:proofErr w:type="spellStart"/>
      <w:r w:rsidRPr="00A2606C">
        <w:rPr>
          <w:rFonts w:ascii="Times New Roman" w:hAnsi="Times New Roman" w:cs="Times New Roman"/>
          <w:sz w:val="28"/>
          <w:szCs w:val="28"/>
        </w:rPr>
        <w:t>moslem</w:t>
      </w:r>
      <w:proofErr w:type="spellEnd"/>
      <w:r w:rsidRPr="00A2606C">
        <w:rPr>
          <w:rFonts w:ascii="Times New Roman" w:hAnsi="Times New Roman" w:cs="Times New Roman"/>
          <w:sz w:val="28"/>
          <w:szCs w:val="28"/>
        </w:rPr>
        <w:t xml:space="preserve"> he automatically falls under the jurisdiction of these courts. Of course, depending on the H circumstances of the case, a case like the present one, which would otherwise be tried by Kadhi's court can be opened in the High Court. However, generally all cases involving personal matters and in which the parties are </w:t>
      </w:r>
      <w:proofErr w:type="spellStart"/>
      <w:r w:rsidRPr="00A2606C">
        <w:rPr>
          <w:rFonts w:ascii="Times New Roman" w:hAnsi="Times New Roman" w:cs="Times New Roman"/>
          <w:sz w:val="28"/>
          <w:szCs w:val="28"/>
        </w:rPr>
        <w:t>moslems</w:t>
      </w:r>
      <w:proofErr w:type="spellEnd"/>
      <w:r w:rsidRPr="00A2606C">
        <w:rPr>
          <w:rFonts w:ascii="Times New Roman" w:hAnsi="Times New Roman" w:cs="Times New Roman"/>
          <w:sz w:val="28"/>
          <w:szCs w:val="28"/>
        </w:rPr>
        <w:t xml:space="preserve">, are to be tried by </w:t>
      </w:r>
      <w:proofErr w:type="spellStart"/>
      <w:r w:rsidRPr="00A2606C">
        <w:rPr>
          <w:rFonts w:ascii="Times New Roman" w:hAnsi="Times New Roman" w:cs="Times New Roman"/>
          <w:sz w:val="28"/>
          <w:szCs w:val="28"/>
        </w:rPr>
        <w:t>Kadhis</w:t>
      </w:r>
      <w:proofErr w:type="spellEnd"/>
      <w:r w:rsidRPr="00A2606C">
        <w:rPr>
          <w:rFonts w:ascii="Times New Roman" w:hAnsi="Times New Roman" w:cs="Times New Roman"/>
          <w:sz w:val="28"/>
          <w:szCs w:val="28"/>
        </w:rPr>
        <w:t xml:space="preserve">' courts in accordance with Islamic law. From the above lengthy discussion, this court is of the view that the marriage of the I petitioner and the respondent though contracted as a civil marriage is subject to Islamic law. One of the salient features of Islamic Marriage is that A it allows plurality of wives. A </w:t>
      </w:r>
      <w:proofErr w:type="spellStart"/>
      <w:r w:rsidRPr="00A2606C">
        <w:rPr>
          <w:rFonts w:ascii="Times New Roman" w:hAnsi="Times New Roman" w:cs="Times New Roman"/>
          <w:sz w:val="28"/>
          <w:szCs w:val="28"/>
        </w:rPr>
        <w:t>moslem</w:t>
      </w:r>
      <w:proofErr w:type="spellEnd"/>
      <w:r w:rsidRPr="00A2606C">
        <w:rPr>
          <w:rFonts w:ascii="Times New Roman" w:hAnsi="Times New Roman" w:cs="Times New Roman"/>
          <w:sz w:val="28"/>
          <w:szCs w:val="28"/>
        </w:rPr>
        <w:t xml:space="preserve"> husband is allowed to marry up to four wives provided that he can maintain them sufficiently and impartially. Hence when the petitioner married the second wife, he was doing nothing more than exercising his legal B option. It was culpable, to say the least, for the respondent to treat it as a ground for leaving the matrimonial home. By leaving her husband and refusing to return after being asked to do so, according to Islamic law, the respondent is labelled as an insolent or disobedient wife who according to Islamic law is known as "</w:t>
      </w:r>
      <w:proofErr w:type="spellStart"/>
      <w:r w:rsidRPr="00A2606C">
        <w:rPr>
          <w:rFonts w:ascii="Times New Roman" w:hAnsi="Times New Roman" w:cs="Times New Roman"/>
          <w:sz w:val="28"/>
          <w:szCs w:val="28"/>
        </w:rPr>
        <w:t>Nashiza</w:t>
      </w:r>
      <w:proofErr w:type="spellEnd"/>
      <w:r w:rsidRPr="00A2606C">
        <w:rPr>
          <w:rFonts w:ascii="Times New Roman" w:hAnsi="Times New Roman" w:cs="Times New Roman"/>
          <w:sz w:val="28"/>
          <w:szCs w:val="28"/>
        </w:rPr>
        <w:t xml:space="preserve">". A wife's disobedience is a good ground for divorce. C All in all, I am satisfied with the petitioner's case. The evidence adduced in support of the suit is weighty. Hence as ordered earlier the marriage between the petitioner and the respondent is hereby dissolved. </w:t>
      </w:r>
      <w:r w:rsidRPr="00A2606C">
        <w:rPr>
          <w:rFonts w:ascii="Times New Roman" w:hAnsi="Times New Roman" w:cs="Times New Roman"/>
          <w:b/>
          <w:bCs/>
          <w:sz w:val="28"/>
          <w:szCs w:val="28"/>
        </w:rPr>
        <w:t>D Order accordingly.</w:t>
      </w:r>
    </w:p>
    <w:p w14:paraId="3F3E333B" w14:textId="77777777" w:rsidR="00A2606C" w:rsidRPr="00A2606C" w:rsidRDefault="00A2606C" w:rsidP="00A2606C">
      <w:pPr>
        <w:rPr>
          <w:rFonts w:ascii="Times New Roman" w:hAnsi="Times New Roman" w:cs="Times New Roman"/>
          <w:sz w:val="28"/>
          <w:szCs w:val="28"/>
        </w:rPr>
      </w:pPr>
    </w:p>
    <w:sectPr w:rsidR="00A2606C" w:rsidRPr="00A2606C" w:rsidSect="00A36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6C"/>
    <w:rsid w:val="002626FD"/>
    <w:rsid w:val="00297C4C"/>
    <w:rsid w:val="002D260A"/>
    <w:rsid w:val="00625659"/>
    <w:rsid w:val="00963E52"/>
    <w:rsid w:val="00A2606C"/>
    <w:rsid w:val="00A36C56"/>
    <w:rsid w:val="00CA6ADC"/>
    <w:rsid w:val="00E12F30"/>
    <w:rsid w:val="00E67ED5"/>
    <w:rsid w:val="00F35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EE1E"/>
  <w15:chartTrackingRefBased/>
  <w15:docId w15:val="{CBF20850-F2F8-443E-A150-52CBA29CF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0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0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0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06C"/>
    <w:rPr>
      <w:rFonts w:eastAsiaTheme="majorEastAsia" w:cstheme="majorBidi"/>
      <w:color w:val="272727" w:themeColor="text1" w:themeTint="D8"/>
    </w:rPr>
  </w:style>
  <w:style w:type="paragraph" w:styleId="Title">
    <w:name w:val="Title"/>
    <w:basedOn w:val="Normal"/>
    <w:next w:val="Normal"/>
    <w:link w:val="TitleChar"/>
    <w:uiPriority w:val="10"/>
    <w:qFormat/>
    <w:rsid w:val="00A26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06C"/>
    <w:pPr>
      <w:spacing w:before="160"/>
      <w:jc w:val="center"/>
    </w:pPr>
    <w:rPr>
      <w:i/>
      <w:iCs/>
      <w:color w:val="404040" w:themeColor="text1" w:themeTint="BF"/>
    </w:rPr>
  </w:style>
  <w:style w:type="character" w:customStyle="1" w:styleId="QuoteChar">
    <w:name w:val="Quote Char"/>
    <w:basedOn w:val="DefaultParagraphFont"/>
    <w:link w:val="Quote"/>
    <w:uiPriority w:val="29"/>
    <w:rsid w:val="00A2606C"/>
    <w:rPr>
      <w:i/>
      <w:iCs/>
      <w:color w:val="404040" w:themeColor="text1" w:themeTint="BF"/>
    </w:rPr>
  </w:style>
  <w:style w:type="paragraph" w:styleId="ListParagraph">
    <w:name w:val="List Paragraph"/>
    <w:basedOn w:val="Normal"/>
    <w:uiPriority w:val="34"/>
    <w:qFormat/>
    <w:rsid w:val="00A2606C"/>
    <w:pPr>
      <w:ind w:left="720"/>
      <w:contextualSpacing/>
    </w:pPr>
  </w:style>
  <w:style w:type="character" w:styleId="IntenseEmphasis">
    <w:name w:val="Intense Emphasis"/>
    <w:basedOn w:val="DefaultParagraphFont"/>
    <w:uiPriority w:val="21"/>
    <w:qFormat/>
    <w:rsid w:val="00A2606C"/>
    <w:rPr>
      <w:i/>
      <w:iCs/>
      <w:color w:val="2F5496" w:themeColor="accent1" w:themeShade="BF"/>
    </w:rPr>
  </w:style>
  <w:style w:type="paragraph" w:styleId="IntenseQuote">
    <w:name w:val="Intense Quote"/>
    <w:basedOn w:val="Normal"/>
    <w:next w:val="Normal"/>
    <w:link w:val="IntenseQuoteChar"/>
    <w:uiPriority w:val="30"/>
    <w:qFormat/>
    <w:rsid w:val="00A26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06C"/>
    <w:rPr>
      <w:i/>
      <w:iCs/>
      <w:color w:val="2F5496" w:themeColor="accent1" w:themeShade="BF"/>
    </w:rPr>
  </w:style>
  <w:style w:type="character" w:styleId="IntenseReference">
    <w:name w:val="Intense Reference"/>
    <w:basedOn w:val="DefaultParagraphFont"/>
    <w:uiPriority w:val="32"/>
    <w:qFormat/>
    <w:rsid w:val="00A260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1950</Words>
  <Characters>11115</Characters>
  <Application>Microsoft Office Word</Application>
  <DocSecurity>0</DocSecurity>
  <Lines>92</Lines>
  <Paragraphs>26</Paragraphs>
  <ScaleCrop>false</ScaleCrop>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mkmb</dc:creator>
  <cp:keywords/>
  <dc:description/>
  <cp:lastModifiedBy>salim mkmb</cp:lastModifiedBy>
  <cp:revision>1</cp:revision>
  <dcterms:created xsi:type="dcterms:W3CDTF">2026-05-27T14:26:00Z</dcterms:created>
  <dcterms:modified xsi:type="dcterms:W3CDTF">2026-05-27T14:28:00Z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9768e565-507a-4284-b443-c737ff877d25</vt:lpwstr>
  </property>
</Properties>
</file>