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24"/>
          <w:szCs w:val="24"/>
        </w:rPr>
        <w:t xml:space="preserve">EduWand</w:t>
      </w:r>
    </w:p>
    <w:p>
      <w:pPr>
        <w:spacing w:after="100"/>
      </w:pPr>
      <w:r>
        <w:rPr>
          <w:rFonts w:ascii="Calibri" w:cs="Calibri" w:eastAsia="Calibri" w:hAnsi="Calibri"/>
          <w:b/>
          <w:bCs/>
          <w:sz w:val="40"/>
          <w:szCs w:val="40"/>
        </w:rPr>
        <w:t xml:space="preserve">Cloud Hosting Assessment: AWS Dependency and Migration Options</w:t>
      </w:r>
    </w:p>
    <w:p>
      <w:pPr>
        <w:spacing w:after="120"/>
        <w:rPr>
          <w:color w:val="595959"/>
        </w:rPr>
      </w:pPr>
      <w:r>
        <w:rPr>
          <w:rFonts w:ascii="Calibri" w:cs="Calibri" w:eastAsia="Calibri" w:hAnsi="Calibri"/>
          <w:color w:val="595959"/>
          <w:sz w:val="22"/>
          <w:szCs w:val="22"/>
        </w:rPr>
        <w:t xml:space="preserve">Prepared: 30 September 2026</w:t>
      </w:r>
    </w:p>
    <w:p>
      <w:pPr>
        <w:pStyle w:val="Heading1"/>
        <w:spacing w:after="140" w:before="320"/>
      </w:pPr>
      <w:r>
        <w:rPr>
          <w:rFonts w:ascii="Calibri" w:cs="Calibri" w:eastAsia="Calibri" w:hAnsi="Calibri"/>
        </w:rPr>
        <w:t xml:space="preserve">1. Summary</w:t>
      </w:r>
    </w:p>
    <w:p>
      <w:pPr>
        <w:spacing w:after="120"/>
      </w:pPr>
      <w:r>
        <w:rPr>
          <w:rFonts w:ascii="Calibri" w:cs="Calibri" w:eastAsia="Calibri" w:hAnsi="Calibri"/>
          <w:sz w:val="22"/>
          <w:szCs w:val="22"/>
        </w:rPr>
        <w:t xml:space="preserve">EduWand is currently deployed on Amazon Web Services (AWS). We reviewed the codebase to see how much the product depends on AWS, what the alternatives are, and what a move to DigitalOcean would involve.</w:t>
      </w:r>
    </w:p>
    <w:p>
      <w:pPr>
        <w:pStyle w:val="ListParagraph"/>
        <w:numPr>
          <w:ilvl w:val="0"/>
          <w:numId w:val="2"/>
        </w:numPr>
        <w:spacing w:after="80"/>
      </w:pPr>
      <w:r>
        <w:rPr>
          <w:rFonts w:ascii="Calibri" w:cs="Calibri" w:eastAsia="Calibri" w:hAnsi="Calibri"/>
          <w:b/>
          <w:bCs/>
          <w:sz w:val="22"/>
          <w:szCs w:val="22"/>
        </w:rPr>
        <w:t xml:space="preserve">Dependency on AWS is small. </w:t>
      </w:r>
      <w:r>
        <w:rPr>
          <w:rFonts w:ascii="Calibri" w:cs="Calibri" w:eastAsia="Calibri" w:hAnsi="Calibri"/>
          <w:sz w:val="22"/>
          <w:szCs w:val="22"/>
        </w:rPr>
        <w:t xml:space="preserve">Only two features in the code use AWS services: the AI engine (Amazon Bedrock) and transactional email (Amazon SES). Everything else runs on standard, portable technology (Docker containers and PostgreSQL).</w:t>
      </w:r>
    </w:p>
    <w:p>
      <w:pPr>
        <w:pStyle w:val="ListParagraph"/>
        <w:numPr>
          <w:ilvl w:val="0"/>
          <w:numId w:val="2"/>
        </w:numPr>
        <w:spacing w:after="80"/>
      </w:pPr>
      <w:r>
        <w:rPr>
          <w:rFonts w:ascii="Calibri" w:cs="Calibri" w:eastAsia="Calibri" w:hAnsi="Calibri"/>
          <w:b/>
          <w:bCs/>
          <w:sz w:val="22"/>
          <w:szCs w:val="22"/>
        </w:rPr>
        <w:t xml:space="preserve">Leaving AWS completely is realistic. </w:t>
      </w:r>
      <w:r>
        <w:rPr>
          <w:rFonts w:ascii="Calibri" w:cs="Calibri" w:eastAsia="Calibri" w:hAnsi="Calibri"/>
          <w:sz w:val="22"/>
          <w:szCs w:val="22"/>
        </w:rPr>
        <w:t xml:space="preserve">We estimate about 1 to 1.5 weeks of work for one developer to move hosting, database and email, including a safety period. Switching the AI provider as well adds about 1 to 2 days of development.</w:t>
      </w:r>
    </w:p>
    <w:p>
      <w:pPr>
        <w:pStyle w:val="ListParagraph"/>
        <w:numPr>
          <w:ilvl w:val="0"/>
          <w:numId w:val="2"/>
        </w:numPr>
        <w:spacing w:after="80"/>
      </w:pPr>
      <w:r>
        <w:rPr>
          <w:rFonts w:ascii="Calibri" w:cs="Calibri" w:eastAsia="Calibri" w:hAnsi="Calibri"/>
          <w:b/>
          <w:bCs/>
          <w:sz w:val="22"/>
          <w:szCs w:val="22"/>
        </w:rPr>
        <w:t xml:space="preserve">Recommended target: </w:t>
      </w:r>
      <w:r>
        <w:rPr>
          <w:rFonts w:ascii="Calibri" w:cs="Calibri" w:eastAsia="Calibri" w:hAnsi="Calibri"/>
          <w:sz w:val="22"/>
          <w:szCs w:val="22"/>
        </w:rPr>
        <w:t xml:space="preserve">DigitalOcean App Platform with a Managed PostgreSQL database. It needs little infrastructure knowledge, includes HTTPS and automatic deployment, and has an estimated running cost of about USD 50 to 70 per month before AI and SMS usage.</w:t>
      </w:r>
    </w:p>
    <w:p>
      <w:pPr>
        <w:spacing w:after="120"/>
      </w:pPr>
      <w:r>
        <w:rPr>
          <w:rFonts w:ascii="Calibri" w:cs="Calibri" w:eastAsia="Calibri" w:hAnsi="Calibri"/>
          <w:sz w:val="22"/>
          <w:szCs w:val="22"/>
        </w:rPr>
        <w:t xml:space="preserve">Costs and timings in this document are estimates based on our review of the code and published pricing. They have not been measured against production traffic or your AWS bill, and should be confirmed before a decision is made.</w:t>
      </w:r>
    </w:p>
    <w:p>
      <w:pPr>
        <w:pStyle w:val="Heading1"/>
        <w:spacing w:after="140" w:before="320"/>
      </w:pPr>
      <w:r>
        <w:rPr>
          <w:rFonts w:ascii="Calibri" w:cs="Calibri" w:eastAsia="Calibri" w:hAnsi="Calibri"/>
        </w:rPr>
        <w:t xml:space="preserve">2. How EduWand depends on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3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we found</w:t>
            </w:r>
          </w:p>
        </w:tc>
        <w:tc>
          <w:tcPr>
            <w:tcW w:type="dxa" w:w="31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Effort to replace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 (Amazon Bedrock)</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All AI features call Claude Haiku 4.5 through one function in the backend. It connects with an API key over standard HTTPS, so it works from any hosting provider.</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Medium. The only substantial dependency.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 (Amazon SES)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Transactional emails are sent through one small, self-contained component. It is the only AWS software library in the project.</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 Replace one component and verify the sending domain.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SMS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Not on AWS. SMS and WhatsApp messages are currently logged only (not sent). A Twilio integration exists in the code.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 migration needed. An SMS provider still has to be selected and registered.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Files and images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Handled by Cloudinary, not AWS storage.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Payments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Razorpay.</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Servers and database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The app ships as standard Docker containers with PostgreSQL. There are no AWS-specific services such as Lambda, S3, SQS or Cognito in the code.</w:t>
            </w:r>
          </w:p>
        </w:tc>
        <w:tc>
          <w:tcPr>
            <w:tcW w:type="dxa" w:w="3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Low. Redeploy elsewhere and move the data.</w:t>
            </w:r>
          </w:p>
        </w:tc>
      </w:tr>
    </w:tbl>
    <w:p>
      <w:pPr>
        <w:pStyle w:val="Heading1"/>
        <w:spacing w:after="140" w:before="320"/>
      </w:pPr>
      <w:r>
        <w:rPr>
          <w:rFonts w:ascii="Calibri" w:cs="Calibri" w:eastAsia="Calibri" w:hAnsi="Calibri"/>
        </w:rPr>
        <w:t xml:space="preserve">3. Alternatives if we leave AWS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71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Options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AI</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Anthropic API directly: same Claude models, about 1 to 2 days to adapt the integration. (b) Google Gemini: partly integrated already and typically cheaper, but output quality differs and must be re-tested. (c) Keep Bedrock: it needs only an API key and works from any host, so it can stay even when servers move.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Email</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Resend, Brevo or Postmark, or standard SMTP. Each needs a new sending component and domain verification (SPF and DKIM records).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SMS</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MSG91 (common in India, supports DLT registration) or Twilio (integration already exists in the code).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Hosting</w:t>
            </w:r>
          </w:p>
        </w:tc>
        <w:tc>
          <w:tcPr>
            <w:tcW w:type="dxa" w:w="71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DigitalOcean, Render, Railway, Hetzner or Fly.io. DigitalOcean is a good fit for a team that wants managed deployment without deep infrastructure work.</w:t>
            </w:r>
          </w:p>
        </w:tc>
      </w:tr>
    </w:tbl>
    <w:p>
      <w:pPr>
        <w:pStyle w:val="Heading1"/>
        <w:spacing w:after="140" w:before="320"/>
      </w:pPr>
      <w:r>
        <w:rPr>
          <w:rFonts w:ascii="Calibri" w:cs="Calibri" w:eastAsia="Calibri" w:hAnsi="Calibri"/>
        </w:rPr>
        <w:t xml:space="preserve">4. Recommended DigitalOcean setup</w:t>
      </w:r>
    </w:p>
    <w:p>
      <w:pPr>
        <w:pStyle w:val="Heading2"/>
        <w:spacing w:after="100" w:before="200"/>
      </w:pPr>
      <w:r>
        <w:rPr>
          <w:rFonts w:ascii="Calibri" w:cs="Calibri" w:eastAsia="Calibri" w:hAnsi="Calibri"/>
        </w:rPr>
        <w:t xml:space="preserve">Option A (recommended): App Platform and Managed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Suggested starting size</w:t>
            </w:r>
          </w:p>
        </w:tc>
        <w:tc>
          <w:tcPr>
            <w:tcW w:type="dxa" w:w="28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Approx. monthly cost (USD)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Backend API</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vCPU / 2 GB, single instance</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25 to 30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Admin dashboard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Static site or small container</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0 to 5</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PostgreSQL database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vCPU / 2 GB (a 15 USD tier is enough for a pilot)</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15 to 30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Estimated total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Before AI and SMS usage</w:t>
            </w:r>
          </w:p>
        </w:tc>
        <w:tc>
          <w:tcPr>
            <w:tcW w:type="dxa" w:w="2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about 50 to 70</w:t>
            </w:r>
          </w:p>
        </w:tc>
      </w:tr>
    </w:tbl>
    <w:p>
      <w:pPr>
        <w:spacing w:after="80"/>
      </w:pPr>
    </w:p>
    <w:p>
      <w:pPr>
        <w:spacing w:after="120"/>
      </w:pPr>
      <w:r>
        <w:rPr>
          <w:rFonts w:ascii="Calibri" w:cs="Calibri" w:eastAsia="Calibri" w:hAnsi="Calibri"/>
          <w:sz w:val="22"/>
          <w:szCs w:val="22"/>
        </w:rPr>
        <w:t xml:space="preserve">Traffic capacity. The backend is a Node.js (Fastify) application. On this size it can serve hundreds of requests per second for normal operations. Its practical limits are the database and the external AI calls, which wait on the AI provider and use little processing power. We expect this to be comfortable for a school or trust platform with a few thousand users. This is an expectation, not a load test, and we recommend a short load test before launch.</w:t>
      </w:r>
    </w:p>
    <w:p>
      <w:pPr>
        <w:spacing w:after="120"/>
      </w:pPr>
      <w:r>
        <w:rPr>
          <w:rFonts w:ascii="Calibri" w:cs="Calibri" w:eastAsia="Calibri" w:hAnsi="Calibri"/>
          <w:sz w:val="22"/>
          <w:szCs w:val="22"/>
        </w:rPr>
        <w:t xml:space="preserve">Load balancer. Not needed at the start. App Platform already includes request routing and HTTPS. A separate load balancer (about USD 12 per month) becomes relevant only when running several backend instances. Before adding a second instance, the rate-limiting and any in-memory state must be checked, since they are per-instance by default.</w:t>
      </w:r>
    </w:p>
    <w:p>
      <w:pPr>
        <w:spacing w:after="120"/>
      </w:pPr>
      <w:r>
        <w:rPr>
          <w:rFonts w:ascii="Calibri" w:cs="Calibri" w:eastAsia="Calibri" w:hAnsi="Calibri"/>
          <w:sz w:val="22"/>
          <w:szCs w:val="22"/>
        </w:rPr>
        <w:t xml:space="preserve">One item to test. AI requests in the application may run for up to 240 seconds. App Platform may enforce a shorter request timeout, so a long AI generation must be tested there before committing.</w:t>
      </w:r>
    </w:p>
    <w:p>
      <w:pPr>
        <w:pStyle w:val="Heading2"/>
        <w:spacing w:after="100" w:before="200"/>
      </w:pPr>
      <w:r>
        <w:rPr>
          <w:rFonts w:ascii="Calibri" w:cs="Calibri" w:eastAsia="Calibri" w:hAnsi="Calibri"/>
        </w:rPr>
        <w:t xml:space="preserve">Option B (fallback): a Droplet (virtual server)</w:t>
      </w:r>
    </w:p>
    <w:p>
      <w:pPr>
        <w:spacing w:after="120"/>
      </w:pPr>
      <w:r>
        <w:rPr>
          <w:rFonts w:ascii="Calibri" w:cs="Calibri" w:eastAsia="Calibri" w:hAnsi="Calibri"/>
          <w:sz w:val="22"/>
          <w:szCs w:val="22"/>
        </w:rPr>
        <w:t xml:space="preserve">If the timeout test fails, the same containers can run on a single DigitalOcean Droplet (about USD 24 per month for 2 vCPU / 4 GB) with the existing docker-compose file and an HTTPS proxy. This is cheaper and has no request timeout, but the team is then responsible for operating system updates and firewall settings.</w:t>
      </w:r>
    </w:p>
    <w:p>
      <w:pPr>
        <w:pStyle w:val="Heading1"/>
        <w:spacing w:after="140" w:before="320"/>
      </w:pPr>
      <w:r>
        <w:rPr>
          <w:rFonts w:ascii="Calibri" w:cs="Calibri" w:eastAsia="Calibri" w:hAnsi="Calibri"/>
        </w:rPr>
        <w:t xml:space="preserve">5. Backups</w:t>
      </w:r>
    </w:p>
    <w:p>
      <w:pPr>
        <w:pStyle w:val="ListParagraph"/>
        <w:numPr>
          <w:ilvl w:val="0"/>
          <w:numId w:val="2"/>
        </w:numPr>
        <w:spacing w:after="80"/>
      </w:pPr>
      <w:r>
        <w:rPr>
          <w:rFonts w:ascii="Calibri" w:cs="Calibri" w:eastAsia="Calibri" w:hAnsi="Calibri"/>
          <w:b/>
          <w:bCs/>
          <w:sz w:val="22"/>
          <w:szCs w:val="22"/>
        </w:rPr>
        <w:t xml:space="preserve">Database: </w:t>
      </w:r>
      <w:r>
        <w:rPr>
          <w:rFonts w:ascii="Calibri" w:cs="Calibri" w:eastAsia="Calibri" w:hAnsi="Calibri"/>
          <w:sz w:val="22"/>
          <w:szCs w:val="22"/>
        </w:rPr>
        <w:t xml:space="preserve">DigitalOcean Managed PostgreSQL includes daily automatic backups with point-in-time recovery, at no additional charge.</w:t>
      </w:r>
    </w:p>
    <w:p>
      <w:pPr>
        <w:pStyle w:val="ListParagraph"/>
        <w:numPr>
          <w:ilvl w:val="0"/>
          <w:numId w:val="2"/>
        </w:numPr>
        <w:spacing w:after="80"/>
      </w:pPr>
      <w:r>
        <w:rPr>
          <w:rFonts w:ascii="Calibri" w:cs="Calibri" w:eastAsia="Calibri" w:hAnsi="Calibri"/>
          <w:b/>
          <w:bCs/>
          <w:sz w:val="22"/>
          <w:szCs w:val="22"/>
        </w:rPr>
        <w:t xml:space="preserve">Extra safety copy: </w:t>
      </w:r>
      <w:r>
        <w:rPr>
          <w:rFonts w:ascii="Calibri" w:cs="Calibri" w:eastAsia="Calibri" w:hAnsi="Calibri"/>
          <w:sz w:val="22"/>
          <w:szCs w:val="22"/>
        </w:rPr>
        <w:t xml:space="preserve">a weekly database export stored separately (for example DigitalOcean Spaces, about USD 5 per month).</w:t>
      </w:r>
    </w:p>
    <w:p>
      <w:pPr>
        <w:pStyle w:val="ListParagraph"/>
        <w:numPr>
          <w:ilvl w:val="0"/>
          <w:numId w:val="2"/>
        </w:numPr>
        <w:spacing w:after="80"/>
      </w:pPr>
      <w:r>
        <w:rPr>
          <w:rFonts w:ascii="Calibri" w:cs="Calibri" w:eastAsia="Calibri" w:hAnsi="Calibri"/>
          <w:b/>
          <w:bCs/>
          <w:sz w:val="22"/>
          <w:szCs w:val="22"/>
        </w:rPr>
        <w:t xml:space="preserve">Restore test: </w:t>
      </w:r>
      <w:r>
        <w:rPr>
          <w:rFonts w:ascii="Calibri" w:cs="Calibri" w:eastAsia="Calibri" w:hAnsi="Calibri"/>
          <w:sz w:val="22"/>
          <w:szCs w:val="22"/>
        </w:rPr>
        <w:t xml:space="preserve">perform at least one full test restore before go-live. A backup that has never been restored cannot be relied on.</w:t>
      </w:r>
    </w:p>
    <w:p>
      <w:pPr>
        <w:pStyle w:val="ListParagraph"/>
        <w:numPr>
          <w:ilvl w:val="0"/>
          <w:numId w:val="2"/>
        </w:numPr>
        <w:spacing w:after="80"/>
      </w:pPr>
      <w:r>
        <w:rPr>
          <w:rFonts w:ascii="Calibri" w:cs="Calibri" w:eastAsia="Calibri" w:hAnsi="Calibri"/>
          <w:b/>
          <w:bCs/>
          <w:sz w:val="22"/>
          <w:szCs w:val="22"/>
        </w:rPr>
        <w:t xml:space="preserve">Code and configuration: </w:t>
      </w:r>
      <w:r>
        <w:rPr>
          <w:rFonts w:ascii="Calibri" w:cs="Calibri" w:eastAsia="Calibri" w:hAnsi="Calibri"/>
          <w:sz w:val="22"/>
          <w:szCs w:val="22"/>
        </w:rPr>
        <w:t xml:space="preserve">source code is kept in git. Environment variables and secrets should also be kept in a password manager, so they can be recovered if an account is lost.</w:t>
      </w:r>
    </w:p>
    <w:p>
      <w:pPr>
        <w:pStyle w:val="ListParagraph"/>
        <w:numPr>
          <w:ilvl w:val="0"/>
          <w:numId w:val="2"/>
        </w:numPr>
        <w:spacing w:after="80"/>
      </w:pPr>
      <w:r>
        <w:rPr>
          <w:rFonts w:ascii="Calibri" w:cs="Calibri" w:eastAsia="Calibri" w:hAnsi="Calibri"/>
          <w:b/>
          <w:bCs/>
          <w:sz w:val="22"/>
          <w:szCs w:val="22"/>
        </w:rPr>
        <w:t xml:space="preserve">Files: </w:t>
      </w:r>
      <w:r>
        <w:rPr>
          <w:rFonts w:ascii="Calibri" w:cs="Calibri" w:eastAsia="Calibri" w:hAnsi="Calibri"/>
          <w:sz w:val="22"/>
          <w:szCs w:val="22"/>
        </w:rPr>
        <w:t xml:space="preserve">images remain with Cloudinary, so there is nothing additional to back up.</w:t>
      </w:r>
    </w:p>
    <w:p>
      <w:pPr>
        <w:pStyle w:val="Heading1"/>
        <w:spacing w:after="140" w:before="320"/>
      </w:pPr>
      <w:r>
        <w:rPr>
          <w:rFonts w:ascii="Calibri" w:cs="Calibri" w:eastAsia="Calibri" w:hAnsi="Calibri"/>
        </w:rPr>
        <w:t xml:space="preserve">6. CI/CD (automated testing and deployment)</w:t>
      </w:r>
    </w:p>
    <w:p>
      <w:pPr>
        <w:spacing w:after="120"/>
      </w:pPr>
      <w:r>
        <w:rPr>
          <w:rFonts w:ascii="Calibri" w:cs="Calibri" w:eastAsia="Calibri" w:hAnsi="Calibri"/>
          <w:sz w:val="22"/>
          <w:szCs w:val="22"/>
        </w:rPr>
        <w:t xml:space="preserve">The repository has no CI/CD configuration of its own today. We recommend the simplest workable pipeline, about half a day to set up:</w:t>
      </w:r>
    </w:p>
    <w:p>
      <w:pPr>
        <w:spacing w:after="80"/>
      </w:pPr>
    </w:p>
    <w:p>
      <w:pPr>
        <w:pStyle w:val="ListParagraph"/>
        <w:numPr>
          <w:ilvl w:val="0"/>
          <w:numId w:val="3"/>
        </w:numPr>
        <w:spacing w:after="80"/>
      </w:pPr>
      <w:r>
        <w:rPr>
          <w:rFonts w:ascii="Calibri" w:cs="Calibri" w:eastAsia="Calibri" w:hAnsi="Calibri"/>
          <w:sz w:val="22"/>
          <w:szCs w:val="22"/>
        </w:rPr>
        <w:t xml:space="preserve">On every pull request, GitHub Actions runs type checks and the existing automated tests.</w:t>
      </w:r>
    </w:p>
    <w:p>
      <w:pPr>
        <w:pStyle w:val="ListParagraph"/>
        <w:numPr>
          <w:ilvl w:val="0"/>
          <w:numId w:val="3"/>
        </w:numPr>
        <w:spacing w:after="80"/>
      </w:pPr>
      <w:r>
        <w:rPr>
          <w:rFonts w:ascii="Calibri" w:cs="Calibri" w:eastAsia="Calibri" w:hAnsi="Calibri"/>
          <w:sz w:val="22"/>
          <w:szCs w:val="22"/>
        </w:rPr>
        <w:t xml:space="preserve">When changes are merged to the main branch, App Platform builds the container and deploys automatically. No custom deploy scripts are needed.</w:t>
      </w:r>
    </w:p>
    <w:p>
      <w:pPr>
        <w:pStyle w:val="ListParagraph"/>
        <w:numPr>
          <w:ilvl w:val="0"/>
          <w:numId w:val="3"/>
        </w:numPr>
        <w:spacing w:after="80"/>
      </w:pPr>
      <w:r>
        <w:rPr>
          <w:rFonts w:ascii="Calibri" w:cs="Calibri" w:eastAsia="Calibri" w:hAnsi="Calibri"/>
          <w:sz w:val="22"/>
          <w:szCs w:val="22"/>
        </w:rPr>
        <w:t xml:space="preserve">Database migrations (Prisma) run as a pre-deploy step on each release.</w:t>
      </w:r>
    </w:p>
    <w:p>
      <w:pPr>
        <w:pStyle w:val="ListParagraph"/>
        <w:numPr>
          <w:ilvl w:val="0"/>
          <w:numId w:val="3"/>
        </w:numPr>
        <w:spacing w:after="80"/>
      </w:pPr>
      <w:r>
        <w:rPr>
          <w:rFonts w:ascii="Calibri" w:cs="Calibri" w:eastAsia="Calibri" w:hAnsi="Calibri"/>
          <w:sz w:val="22"/>
          <w:szCs w:val="22"/>
        </w:rPr>
        <w:t xml:space="preserve">A small staging environment (or a separate database) is used to try migrations before production.</w:t>
      </w:r>
    </w:p>
    <w:p>
      <w:pPr>
        <w:pStyle w:val="ListParagraph"/>
        <w:numPr>
          <w:ilvl w:val="0"/>
          <w:numId w:val="3"/>
        </w:numPr>
        <w:spacing w:after="80"/>
      </w:pPr>
      <w:r>
        <w:rPr>
          <w:rFonts w:ascii="Calibri" w:cs="Calibri" w:eastAsia="Calibri" w:hAnsi="Calibri"/>
          <w:sz w:val="22"/>
          <w:szCs w:val="22"/>
        </w:rPr>
        <w:t xml:space="preserve">The mobile app is built separately through Expo EAS and only needs the API address.</w:t>
      </w:r>
    </w:p>
    <w:p>
      <w:pPr>
        <w:pStyle w:val="Heading1"/>
        <w:spacing w:after="140" w:before="320"/>
      </w:pPr>
      <w:r>
        <w:rPr>
          <w:rFonts w:ascii="Calibri" w:cs="Calibri" w:eastAsia="Calibri" w:hAnsi="Calibri"/>
        </w:rPr>
        <w:t xml:space="preserve">7. Migration plan (live system)</w:t>
      </w:r>
    </w:p>
    <w:p>
      <w:pPr>
        <w:spacing w:after="120"/>
      </w:pPr>
      <w:r>
        <w:rPr>
          <w:rFonts w:ascii="Calibri" w:cs="Calibri" w:eastAsia="Calibri" w:hAnsi="Calibri"/>
          <w:sz w:val="22"/>
          <w:szCs w:val="22"/>
        </w:rPr>
        <w:t xml:space="preserve">Because EduWand is already live on AWS, this is a migration with a planned cutover.</w:t>
      </w:r>
    </w:p>
    <w:p>
      <w:pPr>
        <w:spacing w:after="80"/>
      </w:pPr>
    </w:p>
    <w:p>
      <w:pPr>
        <w:pStyle w:val="ListParagraph"/>
        <w:numPr>
          <w:ilvl w:val="0"/>
          <w:numId w:val="4"/>
        </w:numPr>
        <w:spacing w:after="80"/>
      </w:pPr>
      <w:r>
        <w:rPr>
          <w:rFonts w:ascii="Calibri" w:cs="Calibri" w:eastAsia="Calibri" w:hAnsi="Calibri"/>
          <w:b/>
          <w:bCs/>
          <w:sz w:val="22"/>
          <w:szCs w:val="22"/>
        </w:rPr>
        <w:t xml:space="preserve">Inventory. </w:t>
      </w:r>
      <w:r>
        <w:rPr>
          <w:rFonts w:ascii="Calibri" w:cs="Calibri" w:eastAsia="Calibri" w:hAnsi="Calibri"/>
          <w:sz w:val="22"/>
          <w:szCs w:val="22"/>
        </w:rPr>
        <w:t xml:space="preserve">Confirm what currently runs on AWS (compute, database, load balancer, networking) and obtain last month's bill by service. The bill may reveal savings that do not require migration.</w:t>
      </w:r>
    </w:p>
    <w:p>
      <w:pPr>
        <w:pStyle w:val="ListParagraph"/>
        <w:numPr>
          <w:ilvl w:val="0"/>
          <w:numId w:val="4"/>
        </w:numPr>
        <w:spacing w:after="80"/>
      </w:pPr>
      <w:r>
        <w:rPr>
          <w:rFonts w:ascii="Calibri" w:cs="Calibri" w:eastAsia="Calibri" w:hAnsi="Calibri"/>
          <w:b/>
          <w:bCs/>
          <w:sz w:val="22"/>
          <w:szCs w:val="22"/>
        </w:rPr>
        <w:t xml:space="preserve">Build in parallel. </w:t>
      </w:r>
      <w:r>
        <w:rPr>
          <w:rFonts w:ascii="Calibri" w:cs="Calibri" w:eastAsia="Calibri" w:hAnsi="Calibri"/>
          <w:sz w:val="22"/>
          <w:szCs w:val="22"/>
        </w:rPr>
        <w:t xml:space="preserve">Set up DigitalOcean and deploy the same version of the application. AWS continues to serve users throughout.</w:t>
      </w:r>
    </w:p>
    <w:p>
      <w:pPr>
        <w:pStyle w:val="ListParagraph"/>
        <w:numPr>
          <w:ilvl w:val="0"/>
          <w:numId w:val="4"/>
        </w:numPr>
        <w:spacing w:after="80"/>
      </w:pPr>
      <w:r>
        <w:rPr>
          <w:rFonts w:ascii="Calibri" w:cs="Calibri" w:eastAsia="Calibri" w:hAnsi="Calibri"/>
          <w:b/>
          <w:bCs/>
          <w:sz w:val="22"/>
          <w:szCs w:val="22"/>
        </w:rPr>
        <w:t xml:space="preserve">Rehearse the data move. </w:t>
      </w:r>
      <w:r>
        <w:rPr>
          <w:rFonts w:ascii="Calibri" w:cs="Calibri" w:eastAsia="Calibri" w:hAnsi="Calibri"/>
          <w:sz w:val="22"/>
          <w:szCs w:val="22"/>
        </w:rPr>
        <w:t xml:space="preserve">Export and restore the database into DigitalOcean and run the migrations, to confirm timing and correctness.</w:t>
      </w:r>
    </w:p>
    <w:p>
      <w:pPr>
        <w:pStyle w:val="ListParagraph"/>
        <w:numPr>
          <w:ilvl w:val="0"/>
          <w:numId w:val="4"/>
        </w:numPr>
        <w:spacing w:after="80"/>
      </w:pPr>
      <w:r>
        <w:rPr>
          <w:rFonts w:ascii="Calibri" w:cs="Calibri" w:eastAsia="Calibri" w:hAnsi="Calibri"/>
          <w:b/>
          <w:bCs/>
          <w:sz w:val="22"/>
          <w:szCs w:val="22"/>
        </w:rPr>
        <w:t xml:space="preserve">Switch email (and SMS) </w:t>
      </w:r>
      <w:r>
        <w:rPr>
          <w:rFonts w:ascii="Calibri" w:cs="Calibri" w:eastAsia="Calibri" w:hAnsi="Calibri"/>
          <w:sz w:val="22"/>
          <w:szCs w:val="22"/>
        </w:rPr>
        <w:t xml:space="preserve">to their new providers and test before cutover.</w:t>
      </w:r>
    </w:p>
    <w:p>
      <w:pPr>
        <w:pStyle w:val="ListParagraph"/>
        <w:numPr>
          <w:ilvl w:val="0"/>
          <w:numId w:val="4"/>
        </w:numPr>
        <w:spacing w:after="80"/>
      </w:pPr>
      <w:r>
        <w:rPr>
          <w:rFonts w:ascii="Calibri" w:cs="Calibri" w:eastAsia="Calibri" w:hAnsi="Calibri"/>
          <w:b/>
          <w:bCs/>
          <w:sz w:val="22"/>
          <w:szCs w:val="22"/>
        </w:rPr>
        <w:t xml:space="preserve">Cutover. </w:t>
      </w:r>
      <w:r>
        <w:rPr>
          <w:rFonts w:ascii="Calibri" w:cs="Calibri" w:eastAsia="Calibri" w:hAnsi="Calibri"/>
          <w:sz w:val="22"/>
          <w:szCs w:val="22"/>
        </w:rPr>
        <w:t xml:space="preserve">A short write freeze (about 10 to 30 minutes), a final data export and restore, then the domain is pointed at DigitalOcean. Reduce the DNS TTL a day earlier.</w:t>
      </w:r>
    </w:p>
    <w:p>
      <w:pPr>
        <w:pStyle w:val="ListParagraph"/>
        <w:numPr>
          <w:ilvl w:val="0"/>
          <w:numId w:val="4"/>
        </w:numPr>
        <w:spacing w:after="80"/>
      </w:pPr>
      <w:r>
        <w:rPr>
          <w:rFonts w:ascii="Calibri" w:cs="Calibri" w:eastAsia="Calibri" w:hAnsi="Calibri"/>
          <w:b/>
          <w:bCs/>
          <w:sz w:val="22"/>
          <w:szCs w:val="22"/>
        </w:rPr>
        <w:t xml:space="preserve">Fallback and teardown. </w:t>
      </w:r>
      <w:r>
        <w:rPr>
          <w:rFonts w:ascii="Calibri" w:cs="Calibri" w:eastAsia="Calibri" w:hAnsi="Calibri"/>
          <w:sz w:val="22"/>
          <w:szCs w:val="22"/>
        </w:rPr>
        <w:t xml:space="preserve">Keep AWS available for about a week, then remove all resources. Leftover items such as NAT gateways, Elastic IPs and snapshots continue to be billed if not removed.</w:t>
      </w:r>
    </w:p>
    <w:p>
      <w:pPr>
        <w:spacing w:after="120"/>
      </w:pPr>
      <w:r>
        <w:rPr>
          <w:rFonts w:ascii="Calibri" w:cs="Calibri" w:eastAsia="Calibri" w:hAnsi="Calibri"/>
          <w:sz w:val="22"/>
          <w:szCs w:val="22"/>
        </w:rPr>
        <w:t xml:space="preserve">Mobile app check: if the installed mobile app points at an AWS-provided web address instead of a custom domain, users of the old version would lose access at cutover. This must be confirmed before the migration date.</w:t>
      </w:r>
    </w:p>
    <w:p>
      <w:pPr>
        <w:pStyle w:val="Heading1"/>
        <w:spacing w:after="140" w:before="320"/>
      </w:pPr>
      <w:r>
        <w:rPr>
          <w:rFonts w:ascii="Calibri" w:cs="Calibri" w:eastAsia="Calibri" w:hAnsi="Calibri"/>
        </w:rPr>
        <w:t xml:space="preserve">8.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4026"/>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rFonts w:ascii="Calibri" w:cs="Calibri" w:eastAsia="Calibri" w:hAnsi="Calibri"/>
                <w:b/>
                <w:bCs/>
                <w:color w:val="FFFFFF"/>
                <w:sz w:val="20"/>
                <w:szCs w:val="20"/>
              </w:rPr>
              <w:t xml:space="preserve">Estimated effort</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Code changes (email provider, optional AI provider change)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1 to 2 days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DigitalOcean setup, data rehearsal, testing</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2 to 3 days</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Cutover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About 1 day</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Fallback period, then AWS teardown</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About 1 week (low effort)</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for one developer</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About 1 to 1.5 weeks</w:t>
            </w:r>
          </w:p>
        </w:tc>
      </w:tr>
    </w:tbl>
    <w:p>
      <w:pPr>
        <w:spacing w:after="80"/>
      </w:pPr>
    </w:p>
    <w:p>
      <w:pPr>
        <w:spacing w:after="120"/>
      </w:pPr>
      <w:r>
        <w:rPr>
          <w:rFonts w:ascii="Calibri" w:cs="Calibri" w:eastAsia="Calibri" w:hAnsi="Calibri"/>
          <w:sz w:val="22"/>
          <w:szCs w:val="22"/>
        </w:rPr>
        <w:t xml:space="preserve">If the AI provider is also changed and SMS registration (DLT) is required, allow 2 to 3 weeks in total. The longest waits are SMS registration and email domain verification, not development.</w:t>
      </w:r>
    </w:p>
    <w:p>
      <w:pPr>
        <w:pStyle w:val="Heading1"/>
        <w:spacing w:after="140" w:before="320"/>
      </w:pPr>
      <w:r>
        <w:rPr>
          <w:rFonts w:ascii="Calibri" w:cs="Calibri" w:eastAsia="Calibri" w:hAnsi="Calibri"/>
        </w:rPr>
        <w:t xml:space="preserve">9. Recommendation and next steps</w:t>
      </w:r>
    </w:p>
    <w:p>
      <w:pPr>
        <w:spacing w:after="120"/>
      </w:pPr>
      <w:r>
        <w:rPr>
          <w:rFonts w:ascii="Calibri" w:cs="Calibri" w:eastAsia="Calibri" w:hAnsi="Calibri"/>
          <w:sz w:val="22"/>
          <w:szCs w:val="22"/>
        </w:rPr>
        <w:t xml:space="preserve">We recommend moving in two stages:</w:t>
      </w:r>
    </w:p>
    <w:p>
      <w:pPr>
        <w:spacing w:after="80"/>
      </w:pPr>
    </w:p>
    <w:p>
      <w:pPr>
        <w:pStyle w:val="ListParagraph"/>
        <w:numPr>
          <w:ilvl w:val="0"/>
          <w:numId w:val="5"/>
        </w:numPr>
        <w:spacing w:after="80"/>
      </w:pPr>
      <w:r>
        <w:rPr>
          <w:rFonts w:ascii="Calibri" w:cs="Calibri" w:eastAsia="Calibri" w:hAnsi="Calibri"/>
          <w:b/>
          <w:bCs/>
          <w:sz w:val="22"/>
          <w:szCs w:val="22"/>
        </w:rPr>
        <w:t xml:space="preserve">Stage 1: </w:t>
      </w:r>
      <w:r>
        <w:rPr>
          <w:rFonts w:ascii="Calibri" w:cs="Calibri" w:eastAsia="Calibri" w:hAnsi="Calibri"/>
          <w:sz w:val="22"/>
          <w:szCs w:val="22"/>
        </w:rPr>
        <w:t xml:space="preserve">move hosting, database and email to DigitalOcean, and keep Amazon Bedrock for AI for now (it only needs an API key). This removes the infrastructure cost and complexity within about 2 to 3 days of effort plus cutover.</w:t>
      </w:r>
    </w:p>
    <w:p>
      <w:pPr>
        <w:pStyle w:val="ListParagraph"/>
        <w:numPr>
          <w:ilvl w:val="0"/>
          <w:numId w:val="5"/>
        </w:numPr>
        <w:spacing w:after="80"/>
      </w:pPr>
      <w:r>
        <w:rPr>
          <w:rFonts w:ascii="Calibri" w:cs="Calibri" w:eastAsia="Calibri" w:hAnsi="Calibri"/>
          <w:b/>
          <w:bCs/>
          <w:sz w:val="22"/>
          <w:szCs w:val="22"/>
        </w:rPr>
        <w:t xml:space="preserve">Stage 2: </w:t>
      </w:r>
      <w:r>
        <w:rPr>
          <w:rFonts w:ascii="Calibri" w:cs="Calibri" w:eastAsia="Calibri" w:hAnsi="Calibri"/>
          <w:sz w:val="22"/>
          <w:szCs w:val="22"/>
        </w:rPr>
        <w:t xml:space="preserve">decide whether to change the AI provider, using real usage numbers from the AI cost log that the application already records.</w:t>
      </w:r>
    </w:p>
    <w:p>
      <w:pPr>
        <w:spacing w:after="120"/>
      </w:pPr>
      <w:r>
        <w:rPr>
          <w:rFonts w:ascii="Calibri" w:cs="Calibri" w:eastAsia="Calibri" w:hAnsi="Calibri"/>
          <w:sz w:val="22"/>
          <w:szCs w:val="22"/>
        </w:rPr>
        <w:t xml:space="preserve">Information needed to proceed:</w:t>
      </w:r>
    </w:p>
    <w:p>
      <w:pPr>
        <w:pStyle w:val="ListParagraph"/>
        <w:numPr>
          <w:ilvl w:val="0"/>
          <w:numId w:val="2"/>
        </w:numPr>
        <w:spacing w:after="80"/>
      </w:pPr>
      <w:r>
        <w:rPr>
          <w:rFonts w:ascii="Calibri" w:cs="Calibri" w:eastAsia="Calibri" w:hAnsi="Calibri"/>
          <w:sz w:val="22"/>
          <w:szCs w:val="22"/>
        </w:rPr>
        <w:t xml:space="preserve">Last month's AWS bill broken down by service.</w:t>
      </w:r>
    </w:p>
    <w:p>
      <w:pPr>
        <w:pStyle w:val="ListParagraph"/>
        <w:numPr>
          <w:ilvl w:val="0"/>
          <w:numId w:val="2"/>
        </w:numPr>
        <w:spacing w:after="80"/>
      </w:pPr>
      <w:r>
        <w:rPr>
          <w:rFonts w:ascii="Calibri" w:cs="Calibri" w:eastAsia="Calibri" w:hAnsi="Calibri"/>
          <w:sz w:val="22"/>
          <w:szCs w:val="22"/>
        </w:rPr>
        <w:t xml:space="preserve">Description of the current AWS deployment (compute, database, networking).</w:t>
      </w:r>
    </w:p>
    <w:p>
      <w:pPr>
        <w:pStyle w:val="ListParagraph"/>
        <w:numPr>
          <w:ilvl w:val="0"/>
          <w:numId w:val="2"/>
        </w:numPr>
        <w:spacing w:after="80"/>
      </w:pPr>
      <w:r>
        <w:rPr>
          <w:rFonts w:ascii="Calibri" w:cs="Calibri" w:eastAsia="Calibri" w:hAnsi="Calibri"/>
          <w:sz w:val="22"/>
          <w:szCs w:val="22"/>
        </w:rPr>
        <w:t xml:space="preserve">Confirmation of the address the mobile app uses to reach the API.</w:t>
      </w:r>
    </w:p>
    <w:p>
      <w:pPr>
        <w:pStyle w:val="ListParagraph"/>
        <w:numPr>
          <w:ilvl w:val="0"/>
          <w:numId w:val="2"/>
        </w:numPr>
        <w:spacing w:after="80"/>
      </w:pPr>
      <w:r>
        <w:rPr>
          <w:rFonts w:ascii="Calibri" w:cs="Calibri" w:eastAsia="Calibri" w:hAnsi="Calibri"/>
          <w:sz w:val="22"/>
          <w:szCs w:val="22"/>
        </w:rPr>
        <w:t xml:space="preserve">Preferred email and SMS providers (our suggestion: Resend for email and MSG91 for SMS).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Hosting Assessment</dc:title>
  <dc:creator>EduWand</dc:creator>
  <cp:lastModifiedBy>Un-named</cp:lastModifiedBy>
  <cp:revision>1</cp:revision>
  <dcterms:created xsi:type="dcterms:W3CDTF">2026-09-30T16:47:00.827Z</dcterms:created>
  <dcterms:modified xsi:type="dcterms:W3CDTF">2026-09-30T16:47:00.828Z</dcterms:modified>
</cp:coreProperties>
</file>

<file path=docProps/custom.xml><?xml version="1.0" encoding="utf-8"?>
<Properties xmlns="http://schemas.openxmlformats.org/officeDocument/2006/custom-properties" xmlns:vt="http://schemas.openxmlformats.org/officeDocument/2006/docPropsVTypes"/>
</file>