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18097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314325"/>
                    </a:xfrm>
                    <a:prstGeom prst="rect">
                      <a:avLst/>
                    </a:prstGeom>
                  </pic:spPr>
                </pic:pic>
              </a:graphicData>
            </a:graphic>
          </wp:inline>
        </w:drawing>
      </w:r>
    </w:p>
    <w:p>
      <w:pPr>
        <w:spacing w:after="80"/>
      </w:pPr>
      <w:r>
        <w:rPr>
          <w:rFonts w:ascii="Calibri" w:cs="Calibri" w:eastAsia="Calibri" w:hAnsi="Calibri"/>
          <w:b/>
          <w:bCs/>
          <w:color w:val="0B243A"/>
          <w:sz w:val="40"/>
          <w:szCs w:val="40"/>
        </w:rPr>
        <w:t xml:space="preserve">Speaker Packet</w:t>
      </w:r>
    </w:p>
    <w:p>
      <w:pPr>
        <w:pBdr>
          <w:bottom w:val="single" w:color="4F98CA" w:sz="12" w:space="8"/>
        </w:pBdr>
        <w:spacing w:after="320"/>
      </w:pPr>
      <w:r>
        <w:rPr>
          <w:rFonts w:ascii="Calibri" w:cs="Calibri" w:eastAsia="Calibri" w:hAnsi="Calibri"/>
          <w:caps/>
          <w:color w:val="1D6091"/>
          <w:spacing w:val="30"/>
          <w:sz w:val="20"/>
          <w:szCs w:val="20"/>
        </w:rPr>
        <w:t xml:space="preserve">What we need from you, and when</w:t>
      </w:r>
    </w:p>
    <w:p>
      <w:pPr>
        <w:spacing w:after="140"/>
      </w:pPr>
      <w:r>
        <w:rPr>
          <w:rFonts w:ascii="Calibri" w:cs="Calibri" w:eastAsia="Calibri" w:hAnsi="Calibri"/>
          <w:color w:val="1A1A1A"/>
          <w:sz w:val="22"/>
          <w:szCs w:val="22"/>
        </w:rPr>
        <w:t xml:space="preserve">Thank you for agreeing to present for NACBA. This packet contains everything you need to submit, the deadlines that apply, and the templates to use. Our members invest time and money to attend, and a consistent, professional set of materials is how we honor that.</w:t>
      </w:r>
    </w:p>
    <w:p>
      <w:pPr>
        <w:spacing w:after="240"/>
      </w:pPr>
      <w:r>
        <w:rPr>
          <w:rFonts w:ascii="Calibri" w:cs="Calibri" w:eastAsia="Calibri" w:hAnsi="Calibri"/>
          <w:color w:val="1A1A1A"/>
          <w:sz w:val="22"/>
          <w:szCs w:val="22"/>
        </w:rPr>
        <w:t xml:space="preserve">Every deadline below is counted backward from your webinar date. Your program coordinator will confirm the actual calendar dates when you are booked.</w:t>
      </w:r>
    </w:p>
    <w:p>
      <w:pPr>
        <w:spacing w:after="140" w:before="340"/>
      </w:pPr>
      <w:r>
        <w:rPr>
          <w:rFonts w:ascii="Calibri" w:cs="Calibri" w:eastAsia="Calibri" w:hAnsi="Calibri"/>
          <w:b/>
          <w:bCs/>
          <w:color w:val="0B243A"/>
          <w:sz w:val="26"/>
          <w:szCs w:val="26"/>
        </w:rPr>
        <w:t xml:space="preserve">What is due</w:t>
      </w:r>
    </w:p>
    <w:tbl>
      <w:tblPr>
        <w:tblW w:type="dxa" w:w="10080"/>
        <w:tblBorders>
          <w:top w:val="none"/>
          <w:left w:val="none"/>
          <w:bottom w:val="none"/>
          <w:right w:val="none"/>
          <w:insideH w:val="single" w:color="D9E0E7" w:sz="4"/>
          <w:insideV w:val="none"/>
        </w:tblBorders>
      </w:tblPr>
      <w:tblGrid>
        <w:gridCol w:w="3400"/>
        <w:gridCol w:w="3600"/>
        <w:gridCol w:w="3080"/>
      </w:tblGrid>
      <w:tr>
        <w:trPr>
          <w:tblHeader/>
        </w:trPr>
        <w:tc>
          <w:tcPr>
            <w:tcW w:type="dxa" w:w="3400"/>
            <w:shd w:fill="0B243A" w:val="clear"/>
            <w:tcMar>
              <w:top w:type="dxa" w:w="110"/>
              <w:left w:type="dxa" w:w="140"/>
              <w:bottom w:type="dxa" w:w="110"/>
              <w:right w:type="dxa" w:w="140"/>
            </w:tcMar>
          </w:tcPr>
          <w:p>
            <w:r>
              <w:rPr>
                <w:rFonts w:ascii="Calibri" w:cs="Calibri" w:eastAsia="Calibri" w:hAnsi="Calibri"/>
                <w:b/>
                <w:bCs/>
                <w:caps/>
                <w:color w:val="FFFFFF"/>
                <w:spacing w:val="20"/>
                <w:sz w:val="18"/>
                <w:szCs w:val="18"/>
              </w:rPr>
              <w:t xml:space="preserve">Item</w:t>
            </w:r>
          </w:p>
        </w:tc>
        <w:tc>
          <w:tcPr>
            <w:tcW w:type="dxa" w:w="3600"/>
            <w:shd w:fill="0B243A" w:val="clear"/>
            <w:tcMar>
              <w:top w:type="dxa" w:w="110"/>
              <w:left w:type="dxa" w:w="140"/>
              <w:bottom w:type="dxa" w:w="110"/>
              <w:right w:type="dxa" w:w="140"/>
            </w:tcMar>
          </w:tcPr>
          <w:p>
            <w:r>
              <w:rPr>
                <w:rFonts w:ascii="Calibri" w:cs="Calibri" w:eastAsia="Calibri" w:hAnsi="Calibri"/>
                <w:b/>
                <w:bCs/>
                <w:caps/>
                <w:color w:val="FFFFFF"/>
                <w:spacing w:val="20"/>
                <w:sz w:val="18"/>
                <w:szCs w:val="18"/>
              </w:rPr>
              <w:t xml:space="preserve">Due</w:t>
            </w:r>
          </w:p>
        </w:tc>
        <w:tc>
          <w:tcPr>
            <w:tcW w:type="dxa" w:w="3080"/>
            <w:shd w:fill="0B243A" w:val="clear"/>
            <w:tcMar>
              <w:top w:type="dxa" w:w="110"/>
              <w:left w:type="dxa" w:w="140"/>
              <w:bottom w:type="dxa" w:w="110"/>
              <w:right w:type="dxa" w:w="140"/>
            </w:tcMar>
          </w:tcPr>
          <w:p>
            <w:r>
              <w:rPr>
                <w:rFonts w:ascii="Calibri" w:cs="Calibri" w:eastAsia="Calibri" w:hAnsi="Calibri"/>
                <w:b/>
                <w:bCs/>
                <w:caps/>
                <w:color w:val="FFFFFF"/>
                <w:spacing w:val="20"/>
                <w:sz w:val="18"/>
                <w:szCs w:val="18"/>
              </w:rPr>
              <w:t xml:space="preserve">Template</w:t>
            </w:r>
          </w:p>
        </w:tc>
      </w:tr>
      <w:tr>
        <w:tc>
          <w:tcPr>
            <w:tcW w:type="dxa" w:w="3400"/>
            <w:shd w:fill="FFFFFF" w:val="clear"/>
            <w:tcMar>
              <w:top w:type="dxa" w:w="110"/>
              <w:left w:type="dxa" w:w="140"/>
              <w:bottom w:type="dxa" w:w="110"/>
              <w:right w:type="dxa" w:w="140"/>
            </w:tcMar>
            <w:vAlign w:val="top"/>
          </w:tcPr>
          <w:p>
            <w:r>
              <w:rPr>
                <w:rFonts w:ascii="Calibri" w:cs="Calibri" w:eastAsia="Calibri" w:hAnsi="Calibri"/>
                <w:b/>
                <w:bCs/>
                <w:color w:val="0B243A"/>
                <w:sz w:val="21"/>
                <w:szCs w:val="21"/>
              </w:rPr>
              <w:t xml:space="preserve">Signed Speaker Agreement</w:t>
            </w:r>
          </w:p>
        </w:tc>
        <w:tc>
          <w:tcPr>
            <w:tcW w:type="dxa" w:w="3600"/>
            <w:shd w:fill="FFFFFF"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Before any marketing is published — normally 5 weeks out</w:t>
            </w:r>
          </w:p>
        </w:tc>
        <w:tc>
          <w:tcPr>
            <w:tcW w:type="dxa" w:w="3080"/>
            <w:shd w:fill="FFFFFF"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Provided (item 4)</w:t>
            </w:r>
          </w:p>
        </w:tc>
      </w:tr>
      <w:tr>
        <w:tc>
          <w:tcPr>
            <w:tcW w:type="dxa" w:w="3400"/>
            <w:shd w:fill="F6F8FA" w:val="clear"/>
            <w:tcMar>
              <w:top w:type="dxa" w:w="110"/>
              <w:left w:type="dxa" w:w="140"/>
              <w:bottom w:type="dxa" w:w="110"/>
              <w:right w:type="dxa" w:w="140"/>
            </w:tcMar>
            <w:vAlign w:val="top"/>
          </w:tcPr>
          <w:p>
            <w:r>
              <w:rPr>
                <w:rFonts w:ascii="Calibri" w:cs="Calibri" w:eastAsia="Calibri" w:hAnsi="Calibri"/>
                <w:b/>
                <w:bCs/>
                <w:color w:val="0B243A"/>
                <w:sz w:val="21"/>
                <w:szCs w:val="21"/>
              </w:rPr>
              <w:t xml:space="preserve">Professional biography</w:t>
            </w:r>
          </w:p>
        </w:tc>
        <w:tc>
          <w:tcPr>
            <w:tcW w:type="dxa" w:w="3600"/>
            <w:shd w:fill="F6F8FA"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3 weeks before the webinar</w:t>
            </w:r>
          </w:p>
        </w:tc>
        <w:tc>
          <w:tcPr>
            <w:tcW w:type="dxa" w:w="3080"/>
            <w:shd w:fill="F6F8FA"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Provided (item 2)</w:t>
            </w:r>
          </w:p>
        </w:tc>
      </w:tr>
      <w:tr>
        <w:tc>
          <w:tcPr>
            <w:tcW w:type="dxa" w:w="3400"/>
            <w:shd w:fill="FFFFFF" w:val="clear"/>
            <w:tcMar>
              <w:top w:type="dxa" w:w="110"/>
              <w:left w:type="dxa" w:w="140"/>
              <w:bottom w:type="dxa" w:w="110"/>
              <w:right w:type="dxa" w:w="140"/>
            </w:tcMar>
            <w:vAlign w:val="top"/>
          </w:tcPr>
          <w:p>
            <w:r>
              <w:rPr>
                <w:rFonts w:ascii="Calibri" w:cs="Calibri" w:eastAsia="Calibri" w:hAnsi="Calibri"/>
                <w:b/>
                <w:bCs/>
                <w:color w:val="0B243A"/>
                <w:sz w:val="21"/>
                <w:szCs w:val="21"/>
              </w:rPr>
              <w:t xml:space="preserve">High-resolution headshot</w:t>
            </w:r>
          </w:p>
        </w:tc>
        <w:tc>
          <w:tcPr>
            <w:tcW w:type="dxa" w:w="3600"/>
            <w:shd w:fill="FFFFFF"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3 weeks before the webinar</w:t>
            </w:r>
          </w:p>
        </w:tc>
        <w:tc>
          <w:tcPr>
            <w:tcW w:type="dxa" w:w="3080"/>
            <w:shd w:fill="FFFFFF"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See specification below</w:t>
            </w:r>
          </w:p>
        </w:tc>
      </w:tr>
      <w:tr>
        <w:tc>
          <w:tcPr>
            <w:tcW w:type="dxa" w:w="3400"/>
            <w:shd w:fill="F6F8FA" w:val="clear"/>
            <w:tcMar>
              <w:top w:type="dxa" w:w="110"/>
              <w:left w:type="dxa" w:w="140"/>
              <w:bottom w:type="dxa" w:w="110"/>
              <w:right w:type="dxa" w:w="140"/>
            </w:tcMar>
            <w:vAlign w:val="top"/>
          </w:tcPr>
          <w:p>
            <w:r>
              <w:rPr>
                <w:rFonts w:ascii="Calibri" w:cs="Calibri" w:eastAsia="Calibri" w:hAnsi="Calibri"/>
                <w:b/>
                <w:bCs/>
                <w:color w:val="0B243A"/>
                <w:sz w:val="21"/>
                <w:szCs w:val="21"/>
              </w:rPr>
              <w:t xml:space="preserve">Branded written outline</w:t>
            </w:r>
          </w:p>
        </w:tc>
        <w:tc>
          <w:tcPr>
            <w:tcW w:type="dxa" w:w="3600"/>
            <w:shd w:fill="F6F8FA"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2 weeks before — final 1 week before</w:t>
            </w:r>
          </w:p>
        </w:tc>
        <w:tc>
          <w:tcPr>
            <w:tcW w:type="dxa" w:w="3080"/>
            <w:shd w:fill="F6F8FA"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Provided (item 3)</w:t>
            </w:r>
          </w:p>
        </w:tc>
      </w:tr>
      <w:tr>
        <w:tc>
          <w:tcPr>
            <w:tcW w:type="dxa" w:w="3400"/>
            <w:shd w:fill="FFFFFF" w:val="clear"/>
            <w:tcMar>
              <w:top w:type="dxa" w:w="110"/>
              <w:left w:type="dxa" w:w="140"/>
              <w:bottom w:type="dxa" w:w="110"/>
              <w:right w:type="dxa" w:w="140"/>
            </w:tcMar>
            <w:vAlign w:val="top"/>
          </w:tcPr>
          <w:p>
            <w:r>
              <w:rPr>
                <w:rFonts w:ascii="Calibri" w:cs="Calibri" w:eastAsia="Calibri" w:hAnsi="Calibri"/>
                <w:b/>
                <w:bCs/>
                <w:color w:val="0B243A"/>
                <w:sz w:val="21"/>
                <w:szCs w:val="21"/>
              </w:rPr>
              <w:t xml:space="preserve">PowerPoint presentation</w:t>
            </w:r>
          </w:p>
        </w:tc>
        <w:tc>
          <w:tcPr>
            <w:tcW w:type="dxa" w:w="3600"/>
            <w:shd w:fill="FFFFFF"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2 weeks before — final 1 week before</w:t>
            </w:r>
          </w:p>
        </w:tc>
        <w:tc>
          <w:tcPr>
            <w:tcW w:type="dxa" w:w="3080"/>
            <w:shd w:fill="FFFFFF" w:val="clear"/>
            <w:tcMar>
              <w:top w:type="dxa" w:w="110"/>
              <w:left w:type="dxa" w:w="140"/>
              <w:bottom w:type="dxa" w:w="110"/>
              <w:right w:type="dxa" w:w="140"/>
            </w:tcMar>
            <w:vAlign w:val="top"/>
          </w:tcPr>
          <w:p>
            <w:r>
              <w:rPr>
                <w:rFonts w:ascii="Calibri" w:cs="Calibri" w:eastAsia="Calibri" w:hAnsi="Calibri"/>
                <w:b w:val="false"/>
                <w:bCs w:val="false"/>
                <w:color w:val="1A1A1A"/>
                <w:sz w:val="21"/>
                <w:szCs w:val="21"/>
              </w:rPr>
              <w:t xml:space="preserve">Provided (item 5), optional</w:t>
            </w:r>
          </w:p>
        </w:tc>
      </w:tr>
    </w:tbl>
    <w:p>
      <w:pPr>
        <w:spacing w:before="260"/>
      </w:pPr>
    </w:p>
    <w:tbl>
      <w:tblPr>
        <w:tblW w:type="dxa" w:w="10080"/>
        <w:tblBorders>
          <w:top w:val="single" w:color="4F98CA" w:sz="2"/>
          <w:left w:val="single" w:color="4F98CA" w:sz="18"/>
          <w:bottom w:val="single" w:color="4F98CA" w:sz="2"/>
          <w:right w:val="single" w:color="4F98CA" w:sz="2"/>
          <w:insideH w:val="none"/>
          <w:insideV w:val="none"/>
        </w:tblBorders>
      </w:tblPr>
      <w:tblGrid>
        <w:gridCol w:w="10080"/>
      </w:tblGrid>
      <w:tr>
        <w:tc>
          <w:tcPr>
            <w:tcW w:type="dxa" w:w="10080"/>
            <w:shd w:fill="F2F8FC" w:val="clear"/>
            <w:tcMar>
              <w:top w:type="dxa" w:w="160"/>
              <w:left w:type="dxa" w:w="200"/>
              <w:bottom w:type="dxa" w:w="160"/>
              <w:right w:type="dxa" w:w="200"/>
            </w:tcMar>
          </w:tcPr>
          <w:p>
            <w:pPr>
              <w:spacing w:after="90"/>
            </w:pPr>
            <w:r>
              <w:rPr>
                <w:rFonts w:ascii="Calibri" w:cs="Calibri" w:eastAsia="Calibri" w:hAnsi="Calibri"/>
                <w:b/>
                <w:bCs/>
                <w:caps/>
                <w:color w:val="1D6091"/>
                <w:spacing w:val="20"/>
                <w:sz w:val="20"/>
                <w:szCs w:val="20"/>
              </w:rPr>
              <w:t xml:space="preserve">The one deadline that cannot move</w:t>
            </w:r>
          </w:p>
          <w:p>
            <w:pPr>
              <w:spacing w:after="90"/>
            </w:pPr>
            <w:r>
              <w:rPr>
                <w:rFonts w:ascii="Calibri" w:cs="Calibri" w:eastAsia="Calibri" w:hAnsi="Calibri"/>
                <w:color w:val="1A1A1A"/>
                <w:sz w:val="21"/>
                <w:szCs w:val="21"/>
              </w:rPr>
              <w:t xml:space="preserve">Written materials are due two weeks before your webinar, and in no event later than one week before.</w:t>
            </w:r>
          </w:p>
          <w:p>
            <w:pPr>
              <w:spacing w:after="0"/>
            </w:pPr>
            <w:r>
              <w:rPr>
                <w:rFonts w:ascii="Calibri" w:cs="Calibri" w:eastAsia="Calibri" w:hAnsi="Calibri"/>
                <w:color w:val="1A1A1A"/>
                <w:sz w:val="21"/>
                <w:szCs w:val="21"/>
              </w:rPr>
              <w:t xml:space="preserve">That final date is set by continuing legal education filing requirements, not by NACBA. Materials arriving after it may mean the program cannot be offered for CLE credit in every state where we have applied.</w:t>
            </w:r>
          </w:p>
        </w:tc>
      </w:tr>
    </w:tbl>
    <w:p>
      <w:pPr>
        <w:spacing w:after="140" w:before="340"/>
      </w:pPr>
      <w:r>
        <w:rPr>
          <w:rFonts w:ascii="Calibri" w:cs="Calibri" w:eastAsia="Calibri" w:hAnsi="Calibri"/>
          <w:b/>
          <w:bCs/>
          <w:color w:val="0B243A"/>
          <w:sz w:val="26"/>
          <w:szCs w:val="26"/>
        </w:rPr>
        <w:t xml:space="preserve">Headshot specification</w:t>
      </w:r>
    </w:p>
    <w:p>
      <w:pPr>
        <w:pStyle w:val="ListParagraph"/>
        <w:numPr>
          <w:ilvl w:val="0"/>
          <w:numId w:val="2"/>
        </w:numPr>
        <w:spacing w:after="90"/>
      </w:pPr>
      <w:r>
        <w:rPr>
          <w:rFonts w:ascii="Calibri" w:cs="Calibri" w:eastAsia="Calibri" w:hAnsi="Calibri"/>
          <w:color w:val="1A1A1A"/>
          <w:sz w:val="22"/>
          <w:szCs w:val="22"/>
        </w:rPr>
        <w:t xml:space="preserve">High resolution — at least 1200 pixels on the shorter side.</w:t>
      </w:r>
    </w:p>
    <w:p>
      <w:pPr>
        <w:pStyle w:val="ListParagraph"/>
        <w:numPr>
          <w:ilvl w:val="0"/>
          <w:numId w:val="2"/>
        </w:numPr>
        <w:spacing w:after="90"/>
      </w:pPr>
      <w:r>
        <w:rPr>
          <w:rFonts w:ascii="Calibri" w:cs="Calibri" w:eastAsia="Calibri" w:hAnsi="Calibri"/>
          <w:color w:val="1A1A1A"/>
          <w:sz w:val="22"/>
          <w:szCs w:val="22"/>
        </w:rPr>
        <w:t xml:space="preserve">JPG or PNG. Please do not send a headshot embedded in a Word or PDF file.</w:t>
      </w:r>
    </w:p>
    <w:p>
      <w:pPr>
        <w:pStyle w:val="ListParagraph"/>
        <w:numPr>
          <w:ilvl w:val="0"/>
          <w:numId w:val="2"/>
        </w:numPr>
        <w:spacing w:after="90"/>
      </w:pPr>
      <w:r>
        <w:rPr>
          <w:rFonts w:ascii="Calibri" w:cs="Calibri" w:eastAsia="Calibri" w:hAnsi="Calibri"/>
          <w:color w:val="1A1A1A"/>
          <w:sz w:val="22"/>
          <w:szCs w:val="22"/>
        </w:rPr>
        <w:t xml:space="preserve">Professional, current, and cropped to head and shoulders.</w:t>
      </w:r>
    </w:p>
    <w:p>
      <w:pPr>
        <w:spacing w:after="140"/>
      </w:pPr>
      <w:r>
        <w:rPr>
          <w:rFonts w:ascii="Calibri" w:cs="Calibri" w:eastAsia="Calibri" w:hAnsi="Calibri"/>
          <w:color w:val="52657A"/>
          <w:sz w:val="21"/>
          <w:szCs w:val="21"/>
        </w:rPr>
        <w:t xml:space="preserve">Your headshot is used for NACBA advertising and promotion only. It is never included in the materials attendees download.</w:t>
      </w:r>
    </w:p>
    <w:p>
      <w:pPr>
        <w:spacing w:after="140" w:before="340"/>
      </w:pPr>
      <w:r>
        <w:rPr>
          <w:rFonts w:ascii="Calibri" w:cs="Calibri" w:eastAsia="Calibri" w:hAnsi="Calibri"/>
          <w:b/>
          <w:bCs/>
          <w:color w:val="0B243A"/>
          <w:sz w:val="26"/>
          <w:szCs w:val="26"/>
        </w:rPr>
        <w:t xml:space="preserve">Materials standards</w:t>
      </w:r>
    </w:p>
    <w:p>
      <w:pPr>
        <w:pStyle w:val="ListParagraph"/>
        <w:numPr>
          <w:ilvl w:val="0"/>
          <w:numId w:val="2"/>
        </w:numPr>
        <w:spacing w:after="90"/>
      </w:pPr>
      <w:r>
        <w:rPr>
          <w:rFonts w:ascii="Calibri" w:cs="Calibri" w:eastAsia="Calibri" w:hAnsi="Calibri"/>
          <w:color w:val="1A1A1A"/>
          <w:sz w:val="22"/>
          <w:szCs w:val="22"/>
        </w:rPr>
        <w:t xml:space="preserve">Submit final written materials as a single PDF, using the outline template provided.</w:t>
      </w:r>
    </w:p>
    <w:p>
      <w:pPr>
        <w:pStyle w:val="ListParagraph"/>
        <w:numPr>
          <w:ilvl w:val="0"/>
          <w:numId w:val="2"/>
        </w:numPr>
        <w:spacing w:after="90"/>
      </w:pPr>
      <w:r>
        <w:rPr>
          <w:rFonts w:ascii="Calibri" w:cs="Calibri" w:eastAsia="Calibri" w:hAnsi="Calibri"/>
          <w:color w:val="1A1A1A"/>
          <w:sz w:val="22"/>
          <w:szCs w:val="22"/>
        </w:rPr>
        <w:t xml:space="preserve">Biographies should be no longer than one page. If yours is taken from a firm website, please add the firm name and city.</w:t>
      </w:r>
    </w:p>
    <w:p>
      <w:pPr>
        <w:pStyle w:val="ListParagraph"/>
        <w:numPr>
          <w:ilvl w:val="0"/>
          <w:numId w:val="2"/>
        </w:numPr>
        <w:spacing w:after="90"/>
      </w:pPr>
      <w:r>
        <w:rPr>
          <w:rFonts w:ascii="Calibri" w:cs="Calibri" w:eastAsia="Calibri" w:hAnsi="Calibri"/>
          <w:color w:val="1A1A1A"/>
          <w:sz w:val="22"/>
          <w:szCs w:val="22"/>
        </w:rPr>
        <w:t xml:space="preserve">Do not submit photocopies of pleadings with sensitive material blacked out by hand. Provide PDF copies and use the PDF redaction feature.</w:t>
      </w:r>
    </w:p>
    <w:p>
      <w:pPr>
        <w:pStyle w:val="ListParagraph"/>
        <w:numPr>
          <w:ilvl w:val="0"/>
          <w:numId w:val="2"/>
        </w:numPr>
        <w:spacing w:after="90"/>
      </w:pPr>
      <w:r>
        <w:rPr>
          <w:rFonts w:ascii="Calibri" w:cs="Calibri" w:eastAsia="Calibri" w:hAnsi="Calibri"/>
          <w:color w:val="1A1A1A"/>
          <w:sz w:val="22"/>
          <w:szCs w:val="22"/>
        </w:rPr>
        <w:t xml:space="preserve">Check that scanned photographs and exhibits are neither too dark nor blurred.</w:t>
      </w:r>
    </w:p>
    <w:p>
      <w:pPr>
        <w:pStyle w:val="ListParagraph"/>
        <w:numPr>
          <w:ilvl w:val="0"/>
          <w:numId w:val="2"/>
        </w:numPr>
        <w:spacing w:after="90"/>
      </w:pPr>
      <w:r>
        <w:rPr>
          <w:rFonts w:ascii="Calibri" w:cs="Calibri" w:eastAsia="Calibri" w:hAnsi="Calibri"/>
          <w:color w:val="1A1A1A"/>
          <w:sz w:val="22"/>
          <w:szCs w:val="22"/>
        </w:rPr>
        <w:t xml:space="preserve">A table of contents, bookmarks, and page numbers are welcome but not required.</w:t>
      </w:r>
    </w:p>
    <w:p>
      <w:pPr>
        <w:pStyle w:val="ListParagraph"/>
        <w:numPr>
          <w:ilvl w:val="0"/>
          <w:numId w:val="2"/>
        </w:numPr>
        <w:spacing w:after="90"/>
      </w:pPr>
      <w:r>
        <w:rPr>
          <w:rFonts w:ascii="Calibri" w:cs="Calibri" w:eastAsia="Calibri" w:hAnsi="Calibri"/>
          <w:color w:val="1A1A1A"/>
          <w:sz w:val="22"/>
          <w:szCs w:val="22"/>
        </w:rPr>
        <w:t xml:space="preserve">If any of your material comes from a copyrighted publication, tell your coordinator early. NACBA must obtain written permission to reprint, and that takes time.</w:t>
      </w:r>
    </w:p>
    <w:p>
      <w:pPr>
        <w:spacing w:after="140" w:before="340"/>
      </w:pPr>
      <w:r>
        <w:rPr>
          <w:rFonts w:ascii="Calibri" w:cs="Calibri" w:eastAsia="Calibri" w:hAnsi="Calibri"/>
          <w:b/>
          <w:bCs/>
          <w:color w:val="0B243A"/>
          <w:sz w:val="26"/>
          <w:szCs w:val="26"/>
        </w:rPr>
        <w:t xml:space="preserve">Program neutrality and conduct</w:t>
      </w:r>
    </w:p>
    <w:p>
      <w:pPr>
        <w:spacing w:after="140"/>
      </w:pPr>
      <w:r>
        <w:rPr>
          <w:rFonts w:ascii="Calibri" w:cs="Calibri" w:eastAsia="Calibri" w:hAnsi="Calibri"/>
          <w:color w:val="1A1A1A"/>
          <w:sz w:val="22"/>
          <w:szCs w:val="22"/>
        </w:rPr>
        <w:t xml:space="preserve">Two commitments in the Speaker Agreement are worth knowing before you start writing, because they shape your materials:</w:t>
      </w:r>
    </w:p>
    <w:p>
      <w:pPr>
        <w:pStyle w:val="ListParagraph"/>
        <w:numPr>
          <w:ilvl w:val="0"/>
          <w:numId w:val="2"/>
        </w:numPr>
        <w:spacing w:after="90"/>
      </w:pPr>
      <w:r>
        <w:rPr>
          <w:rFonts w:ascii="Calibri" w:cs="Calibri" w:eastAsia="Calibri" w:hAnsi="Calibri"/>
          <w:color w:val="1A1A1A"/>
          <w:sz w:val="22"/>
          <w:szCs w:val="22"/>
        </w:rPr>
        <w:t xml:space="preserve">NACBA programs are educational, not promotional. Please do not disparage or endorse any vendor, product, or service. If a tool is relevant, describe it as your own practice choice — and if an attendee asks what you use, answer briefly and move on.</w:t>
      </w:r>
    </w:p>
    <w:p>
      <w:pPr>
        <w:pStyle w:val="ListParagraph"/>
        <w:numPr>
          <w:ilvl w:val="0"/>
          <w:numId w:val="2"/>
        </w:numPr>
        <w:spacing w:after="90"/>
      </w:pPr>
      <w:r>
        <w:rPr>
          <w:rFonts w:ascii="Calibri" w:cs="Calibri" w:eastAsia="Calibri" w:hAnsi="Calibri"/>
          <w:color w:val="1A1A1A"/>
          <w:sz w:val="22"/>
          <w:szCs w:val="22"/>
        </w:rPr>
        <w:t xml:space="preserve">NACBA has a Diversity, Equity, and Inclusion Policy, and speakers agree to conduct themselves consistently with it. In practice this means respectful treatment of everyone in the room, inclusive examples and humor, and language about debtors that does not stigmatize them for seeking relief the law provides.</w:t>
      </w:r>
    </w:p>
    <w:p>
      <w:pPr>
        <w:pStyle w:val="ListParagraph"/>
        <w:numPr>
          <w:ilvl w:val="0"/>
          <w:numId w:val="2"/>
        </w:numPr>
        <w:spacing w:after="90"/>
      </w:pPr>
      <w:r>
        <w:rPr>
          <w:rFonts w:ascii="Calibri" w:cs="Calibri" w:eastAsia="Calibri" w:hAnsi="Calibri"/>
          <w:color w:val="1A1A1A"/>
          <w:sz w:val="22"/>
          <w:szCs w:val="22"/>
        </w:rPr>
        <w:t xml:space="preserve">If you have a sponsorship, referral arrangement, ownership interest, or any compensation from a vendor you expect to mention, disclose it to NACBA in advance.</w:t>
      </w:r>
    </w:p>
    <w:p>
      <w:pPr>
        <w:spacing w:after="140" w:before="340"/>
      </w:pPr>
      <w:r>
        <w:rPr>
          <w:rFonts w:ascii="Calibri" w:cs="Calibri" w:eastAsia="Calibri" w:hAnsi="Calibri"/>
          <w:b/>
          <w:bCs/>
          <w:color w:val="0B243A"/>
          <w:sz w:val="26"/>
          <w:szCs w:val="26"/>
        </w:rPr>
        <w:t xml:space="preserve">What NACBA provides</w:t>
      </w:r>
    </w:p>
    <w:p>
      <w:pPr>
        <w:pStyle w:val="ListParagraph"/>
        <w:numPr>
          <w:ilvl w:val="0"/>
          <w:numId w:val="2"/>
        </w:numPr>
        <w:spacing w:after="90"/>
      </w:pPr>
      <w:r>
        <w:rPr>
          <w:rFonts w:ascii="Calibri" w:cs="Calibri" w:eastAsia="Calibri" w:hAnsi="Calibri"/>
          <w:color w:val="1A1A1A"/>
          <w:sz w:val="22"/>
          <w:szCs w:val="22"/>
        </w:rPr>
        <w:t xml:space="preserve">Marketing graphics and suggested post copy for your own social media, delivered no later than two weeks before the program.</w:t>
      </w:r>
    </w:p>
    <w:p>
      <w:pPr>
        <w:pStyle w:val="ListParagraph"/>
        <w:numPr>
          <w:ilvl w:val="0"/>
          <w:numId w:val="2"/>
        </w:numPr>
        <w:spacing w:after="90"/>
      </w:pPr>
      <w:r>
        <w:rPr>
          <w:rFonts w:ascii="Calibri" w:cs="Calibri" w:eastAsia="Calibri" w:hAnsi="Calibri"/>
          <w:color w:val="1A1A1A"/>
          <w:sz w:val="22"/>
          <w:szCs w:val="22"/>
        </w:rPr>
        <w:t xml:space="preserve">Promotion of the webinar to our membership, including your name, headshot, and firm.</w:t>
      </w:r>
    </w:p>
    <w:p>
      <w:pPr>
        <w:pStyle w:val="ListParagraph"/>
        <w:numPr>
          <w:ilvl w:val="0"/>
          <w:numId w:val="2"/>
        </w:numPr>
        <w:spacing w:after="90"/>
      </w:pPr>
      <w:r>
        <w:rPr>
          <w:rFonts w:ascii="Calibri" w:cs="Calibri" w:eastAsia="Calibri" w:hAnsi="Calibri"/>
          <w:color w:val="1A1A1A"/>
          <w:sz w:val="22"/>
          <w:szCs w:val="22"/>
        </w:rPr>
        <w:t xml:space="preserve">A technology check before the program covering microphone, camera, lighting, connection, and background.</w:t>
      </w:r>
    </w:p>
    <w:p>
      <w:pPr>
        <w:pStyle w:val="ListParagraph"/>
        <w:numPr>
          <w:ilvl w:val="0"/>
          <w:numId w:val="2"/>
        </w:numPr>
        <w:spacing w:after="90"/>
      </w:pPr>
      <w:r>
        <w:rPr>
          <w:rFonts w:ascii="Calibri" w:cs="Calibri" w:eastAsia="Calibri" w:hAnsi="Calibri"/>
          <w:color w:val="1A1A1A"/>
          <w:sz w:val="22"/>
          <w:szCs w:val="22"/>
        </w:rPr>
        <w:t xml:space="preserve">A recording of your presentation, which NACBA makes available in its online store.</w:t>
      </w:r>
    </w:p>
    <w:p>
      <w:pPr>
        <w:spacing w:after="140" w:before="340"/>
      </w:pPr>
      <w:r>
        <w:rPr>
          <w:rFonts w:ascii="Calibri" w:cs="Calibri" w:eastAsia="Calibri" w:hAnsi="Calibri"/>
          <w:b/>
          <w:bCs/>
          <w:color w:val="0B243A"/>
          <w:sz w:val="26"/>
          <w:szCs w:val="26"/>
        </w:rPr>
        <w:t xml:space="preserve">A note on review</w:t>
      </w:r>
    </w:p>
    <w:p>
      <w:pPr>
        <w:spacing w:after="140"/>
      </w:pPr>
      <w:r>
        <w:rPr>
          <w:rFonts w:ascii="Calibri" w:cs="Calibri" w:eastAsia="Calibri" w:hAnsi="Calibri"/>
          <w:color w:val="1A1A1A"/>
          <w:sz w:val="22"/>
          <w:szCs w:val="22"/>
        </w:rPr>
        <w:t xml:space="preserve">All submissions are reviewed by NACBA's education chairs for content and style. Materials may occasionally be returned for additional work, which is why the two-week target exists ahead of the one-week deadline — it leaves room for a revision without putting CLE accreditation at risk.</w:t>
      </w:r>
    </w:p>
    <w:p>
      <w:pPr>
        <w:pBdr>
          <w:top w:val="single" w:color="D9E0E7" w:sz="6" w:space="8"/>
        </w:pBdr>
        <w:spacing w:before="420"/>
      </w:pPr>
      <w:r>
        <w:rPr>
          <w:rFonts w:ascii="Calibri" w:cs="Calibri" w:eastAsia="Calibri" w:hAnsi="Calibri"/>
          <w:color w:val="52657A"/>
          <w:sz w:val="16"/>
          <w:szCs w:val="16"/>
        </w:rPr>
        <w:t xml:space="preserve">National Association of Consumer Bankruptcy Attorneys  ·  Education Committee  ·  Questions: admin@nacba.com  ·  (800) 499-9040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4F98C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da55b8219fb5d2b5ef8174433bc291707456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2026-08-14T23:56:46.977Z</dcterms:created>
  <dcterms:modified xsi:type="dcterms:W3CDTF">2026-08-14T23:56:46.978Z</dcterms:modified>
</cp:coreProperties>
</file>

<file path=docProps/custom.xml><?xml version="1.0" encoding="utf-8"?>
<Properties xmlns="http://schemas.openxmlformats.org/officeDocument/2006/custom-properties" xmlns:vt="http://schemas.openxmlformats.org/officeDocument/2006/docPropsVTypes"/>
</file>