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r>
        <w:drawing>
          <wp:inline distT="0" distB="0" distL="0" distR="0">
            <wp:extent cx="20955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361950"/>
                    </a:xfrm>
                    <a:prstGeom prst="rect">
                      <a:avLst/>
                    </a:prstGeom>
                  </pic:spPr>
                </pic:pic>
              </a:graphicData>
            </a:graphic>
          </wp:inline>
        </w:drawing>
      </w:r>
    </w:p>
    <w:p>
      <w:pPr>
        <w:spacing w:after="120" w:before="900"/>
      </w:pPr>
      <w:r>
        <w:rPr>
          <w:rFonts w:ascii="Calibri" w:cs="Calibri" w:eastAsia="Calibri" w:hAnsi="Calibri"/>
          <w:b/>
          <w:bCs/>
          <w:color w:val="0B243A"/>
          <w:sz w:val="44"/>
          <w:szCs w:val="44"/>
        </w:rPr>
        <w:t xml:space="preserve">[PROGRAM TITLE]</w:t>
      </w:r>
    </w:p>
    <w:p>
      <w:pPr>
        <w:spacing w:after="60"/>
      </w:pPr>
      <w:r>
        <w:rPr>
          <w:rFonts w:ascii="Calibri" w:cs="Calibri" w:eastAsia="Calibri" w:hAnsi="Calibri"/>
          <w:color w:val="1D6091"/>
          <w:sz w:val="26"/>
          <w:szCs w:val="26"/>
        </w:rPr>
        <w:t xml:space="preserve">[Month Day, 2026]</w:t>
      </w:r>
    </w:p>
    <w:p>
      <w:pPr>
        <w:pBdr>
          <w:bottom w:val="single" w:color="4F98CA" w:sz="12" w:space="10"/>
        </w:pBdr>
        <w:spacing w:after="500"/>
      </w:pPr>
      <w:r>
        <w:rPr>
          <w:rFonts w:ascii="Calibri" w:cs="Calibri" w:eastAsia="Calibri" w:hAnsi="Calibri"/>
          <w:color w:val="1D6091"/>
          <w:sz w:val="26"/>
          <w:szCs w:val="26"/>
        </w:rPr>
        <w:t xml:space="preserve">12:00 – 1:30 p.m. Pacific</w:t>
      </w:r>
    </w:p>
    <w:p>
      <w:pPr>
        <w:spacing w:after="100"/>
      </w:pPr>
      <w:r>
        <w:rPr>
          <w:rFonts w:ascii="Calibri" w:cs="Calibri" w:eastAsia="Calibri" w:hAnsi="Calibri"/>
          <w:caps/>
          <w:color w:val="52657A"/>
          <w:spacing w:val="30"/>
          <w:sz w:val="18"/>
          <w:szCs w:val="18"/>
        </w:rPr>
        <w:t xml:space="preserve">PRESENTED BY</w:t>
      </w:r>
    </w:p>
    <w:p>
      <w:pPr>
        <w:spacing w:after="140"/>
      </w:pPr>
      <w:r>
        <w:rPr>
          <w:rFonts w:ascii="Calibri" w:cs="Calibri" w:eastAsia="Calibri" w:hAnsi="Calibri"/>
          <w:color w:val="1A1A1A"/>
          <w:sz w:val="24"/>
          <w:szCs w:val="24"/>
        </w:rPr>
        <w:t xml:space="preserve">[Speaker name, credentials — Firm, City, State]</w:t>
      </w:r>
    </w:p>
    <w:p>
      <w:pPr>
        <w:spacing w:after="700"/>
      </w:pPr>
      <w:r>
        <w:rPr>
          <w:rFonts w:ascii="Calibri" w:cs="Calibri" w:eastAsia="Calibri" w:hAnsi="Calibri"/>
          <w:color w:val="1A1A1A"/>
          <w:sz w:val="24"/>
          <w:szCs w:val="24"/>
        </w:rPr>
        <w:t xml:space="preserve">[Speaker name, credentials — Firm, City, State]</w:t>
      </w:r>
    </w:p>
    <w:p>
      <w:pPr>
        <w:spacing w:after="0"/>
      </w:pPr>
      <w:r>
        <w:rPr>
          <w:rFonts w:ascii="Calibri" w:cs="Calibri" w:eastAsia="Calibri" w:hAnsi="Calibri"/>
          <w:i/>
          <w:iCs/>
          <w:color w:val="52657A"/>
          <w:sz w:val="17"/>
          <w:szCs w:val="17"/>
        </w:rPr>
        <w:t xml:space="preserve">These materials are protected by copyright and may not be reprinted, shared, or redistributed without the express written permission of the National Association of Consumer Bankruptcy Attorneys. This webinar and its materials are available for purchase in the NACBA online store.</w:t>
      </w:r>
    </w:p>
    <w:p>
      <w:r>
        <w:br w:type="page"/>
      </w:r>
    </w:p>
    <w:p>
      <w:pPr>
        <w:spacing w:after="260"/>
      </w:pPr>
      <w:r>
        <w:drawing>
          <wp:inline distT="0" distB="0" distL="0" distR="0">
            <wp:extent cx="14287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47650"/>
                    </a:xfrm>
                    <a:prstGeom prst="rect">
                      <a:avLst/>
                    </a:prstGeom>
                  </pic:spPr>
                </pic:pic>
              </a:graphicData>
            </a:graphic>
          </wp:inline>
        </w:drawing>
      </w:r>
    </w:p>
    <w:p>
      <w:pPr>
        <w:spacing w:after="80"/>
      </w:pPr>
      <w:r>
        <w:rPr>
          <w:rFonts w:ascii="Calibri" w:cs="Calibri" w:eastAsia="Calibri" w:hAnsi="Calibri"/>
          <w:b/>
          <w:bCs/>
          <w:color w:val="0B243A"/>
          <w:sz w:val="40"/>
          <w:szCs w:val="40"/>
        </w:rPr>
        <w:t xml:space="preserve">Program Overview</w:t>
      </w:r>
    </w:p>
    <w:p>
      <w:pPr>
        <w:pBdr>
          <w:bottom w:val="single" w:color="4F98CA" w:sz="12" w:space="8"/>
        </w:pBdr>
        <w:spacing w:after="320"/>
      </w:pPr>
      <w:r>
        <w:rPr>
          <w:rFonts w:ascii="Calibri" w:cs="Calibri" w:eastAsia="Calibri" w:hAnsi="Calibri"/>
          <w:caps/>
          <w:color w:val="1D6091"/>
          <w:spacing w:val="30"/>
          <w:sz w:val="20"/>
          <w:szCs w:val="20"/>
        </w:rPr>
        <w:t xml:space="preserve">What this session covers</w:t>
      </w:r>
    </w:p>
    <w:p>
      <w:pPr>
        <w:spacing w:after="140"/>
      </w:pPr>
      <w:r>
        <w:rPr>
          <w:rFonts w:ascii="Calibri" w:cs="Calibri" w:eastAsia="Calibri" w:hAnsi="Calibri"/>
          <w:i/>
          <w:iCs/>
          <w:color w:val="808A94"/>
          <w:sz w:val="22"/>
          <w:szCs w:val="22"/>
        </w:rPr>
        <w:t xml:space="preserve">[Two or three paragraphs describing the program. This is the substantive introduction attendees read before the session begins — not the marketing description used for registration.]</w:t>
      </w:r>
    </w:p>
    <w:p>
      <w:pPr>
        <w:spacing w:after="140" w:before="340"/>
      </w:pPr>
      <w:r>
        <w:rPr>
          <w:rFonts w:ascii="Calibri" w:cs="Calibri" w:eastAsia="Calibri" w:hAnsi="Calibri"/>
          <w:b/>
          <w:bCs/>
          <w:color w:val="0B243A"/>
          <w:sz w:val="26"/>
          <w:szCs w:val="26"/>
        </w:rPr>
        <w:t xml:space="preserve">Goals and Takeaways</w:t>
      </w:r>
    </w:p>
    <w:tbl>
      <w:tblPr>
        <w:tblW w:type="dxa" w:w="10080"/>
        <w:tblBorders>
          <w:top w:val="single" w:color="4F98CA" w:sz="2"/>
          <w:left w:val="single" w:color="4F98CA" w:sz="18"/>
          <w:bottom w:val="single" w:color="4F98CA" w:sz="2"/>
          <w:right w:val="single" w:color="4F98CA" w:sz="2"/>
          <w:insideH w:val="none"/>
          <w:insideV w:val="none"/>
        </w:tblBorders>
      </w:tblPr>
      <w:tblGrid>
        <w:gridCol w:w="10080"/>
      </w:tblGrid>
      <w:tr>
        <w:tc>
          <w:tcPr>
            <w:tcW w:type="dxa" w:w="10080"/>
            <w:shd w:fill="F2F8FC" w:val="clear"/>
            <w:tcMar>
              <w:top w:type="dxa" w:w="160"/>
              <w:left w:type="dxa" w:w="200"/>
              <w:bottom w:type="dxa" w:w="160"/>
              <w:right w:type="dxa" w:w="200"/>
            </w:tcMar>
          </w:tcPr>
          <w:p>
            <w:pPr>
              <w:spacing w:after="90"/>
            </w:pPr>
            <w:r>
              <w:rPr>
                <w:rFonts w:ascii="Calibri" w:cs="Calibri" w:eastAsia="Calibri" w:hAnsi="Calibri"/>
                <w:b/>
                <w:bCs/>
                <w:caps/>
                <w:color w:val="1D6091"/>
                <w:spacing w:val="20"/>
                <w:sz w:val="20"/>
                <w:szCs w:val="20"/>
              </w:rPr>
              <w:t xml:space="preserve">Why we ask for this</w:t>
            </w:r>
          </w:p>
          <w:p>
            <w:pPr>
              <w:spacing w:after="90"/>
            </w:pPr>
            <w:r>
              <w:rPr>
                <w:rFonts w:ascii="Calibri" w:cs="Calibri" w:eastAsia="Calibri" w:hAnsi="Calibri"/>
                <w:color w:val="1A1A1A"/>
                <w:sz w:val="21"/>
                <w:szCs w:val="21"/>
              </w:rPr>
              <w:t xml:space="preserve">Clear goals and takeaways are what separate a good CLE program from a forgettable one. They also help our education chairs confirm the program delivers what the registration page promised.</w:t>
            </w:r>
          </w:p>
          <w:p>
            <w:pPr>
              <w:spacing w:after="0"/>
            </w:pPr>
            <w:r>
              <w:rPr>
                <w:rFonts w:ascii="Calibri" w:cs="Calibri" w:eastAsia="Calibri" w:hAnsi="Calibri"/>
                <w:color w:val="1A1A1A"/>
                <w:sz w:val="21"/>
                <w:szCs w:val="21"/>
              </w:rPr>
              <w:t xml:space="preserve">Delete this box and the example below before submitting.</w:t>
            </w:r>
          </w:p>
        </w:tc>
      </w:tr>
    </w:tbl>
    <w:p>
      <w:pPr>
        <w:spacing w:before="240"/>
      </w:pPr>
    </w:p>
    <w:p>
      <w:pPr>
        <w:spacing w:after="140"/>
      </w:pPr>
      <w:r>
        <w:rPr>
          <w:rFonts w:ascii="Calibri" w:cs="Calibri" w:eastAsia="Calibri" w:hAnsi="Calibri"/>
          <w:b/>
          <w:bCs/>
          <w:color w:val="0B243A"/>
          <w:sz w:val="22"/>
          <w:szCs w:val="22"/>
        </w:rPr>
        <w:t xml:space="preserve">Example — goals:</w:t>
      </w:r>
    </w:p>
    <w:p>
      <w:pPr>
        <w:pStyle w:val="ListParagraph"/>
        <w:numPr>
          <w:ilvl w:val="0"/>
          <w:numId w:val="2"/>
        </w:numPr>
        <w:spacing w:after="90"/>
      </w:pPr>
      <w:r>
        <w:rPr>
          <w:rFonts w:ascii="Calibri" w:cs="Calibri" w:eastAsia="Calibri" w:hAnsi="Calibri"/>
          <w:color w:val="1A1A1A"/>
          <w:sz w:val="22"/>
          <w:szCs w:val="22"/>
        </w:rPr>
        <w:t xml:space="preserve">Explain the legal standard courts apply to the issue.</w:t>
      </w:r>
    </w:p>
    <w:p>
      <w:pPr>
        <w:pStyle w:val="ListParagraph"/>
        <w:numPr>
          <w:ilvl w:val="0"/>
          <w:numId w:val="2"/>
        </w:numPr>
        <w:spacing w:after="90"/>
      </w:pPr>
      <w:r>
        <w:rPr>
          <w:rFonts w:ascii="Calibri" w:cs="Calibri" w:eastAsia="Calibri" w:hAnsi="Calibri"/>
          <w:color w:val="1A1A1A"/>
          <w:sz w:val="22"/>
          <w:szCs w:val="22"/>
        </w:rPr>
        <w:t xml:space="preserve">Provide practical strategies for presenting evidence.</w:t>
      </w:r>
    </w:p>
    <w:p>
      <w:pPr>
        <w:spacing w:after="140"/>
      </w:pPr>
      <w:r>
        <w:rPr>
          <w:rFonts w:ascii="Calibri" w:cs="Calibri" w:eastAsia="Calibri" w:hAnsi="Calibri"/>
          <w:b/>
          <w:bCs/>
          <w:color w:val="0B243A"/>
          <w:sz w:val="22"/>
          <w:szCs w:val="22"/>
        </w:rPr>
        <w:t xml:space="preserve">Example — takeaways:</w:t>
      </w:r>
    </w:p>
    <w:p>
      <w:pPr>
        <w:pStyle w:val="ListParagraph"/>
        <w:numPr>
          <w:ilvl w:val="0"/>
          <w:numId w:val="2"/>
        </w:numPr>
        <w:spacing w:after="90"/>
      </w:pPr>
      <w:r>
        <w:rPr>
          <w:rFonts w:ascii="Calibri" w:cs="Calibri" w:eastAsia="Calibri" w:hAnsi="Calibri"/>
          <w:color w:val="1A1A1A"/>
          <w:sz w:val="22"/>
          <w:szCs w:val="22"/>
        </w:rPr>
        <w:t xml:space="preserve">Identify the elements a court will look for.</w:t>
      </w:r>
    </w:p>
    <w:p>
      <w:pPr>
        <w:pStyle w:val="ListParagraph"/>
        <w:numPr>
          <w:ilvl w:val="0"/>
          <w:numId w:val="2"/>
        </w:numPr>
        <w:spacing w:after="90"/>
      </w:pPr>
      <w:r>
        <w:rPr>
          <w:rFonts w:ascii="Calibri" w:cs="Calibri" w:eastAsia="Calibri" w:hAnsi="Calibri"/>
          <w:color w:val="1A1A1A"/>
          <w:sz w:val="22"/>
          <w:szCs w:val="22"/>
        </w:rPr>
        <w:t xml:space="preserve">Explain how recent case law changes the analysis.</w:t>
      </w:r>
    </w:p>
    <w:p>
      <w:pPr>
        <w:pStyle w:val="ListParagraph"/>
        <w:numPr>
          <w:ilvl w:val="0"/>
          <w:numId w:val="2"/>
        </w:numPr>
        <w:spacing w:after="90"/>
      </w:pPr>
      <w:r>
        <w:rPr>
          <w:rFonts w:ascii="Calibri" w:cs="Calibri" w:eastAsia="Calibri" w:hAnsi="Calibri"/>
          <w:color w:val="1A1A1A"/>
          <w:sz w:val="22"/>
          <w:szCs w:val="22"/>
        </w:rPr>
        <w:t xml:space="preserve">Prepare a client for what the process requires of them.</w:t>
      </w:r>
    </w:p>
    <w:p>
      <w:pPr>
        <w:pStyle w:val="ListParagraph"/>
        <w:numPr>
          <w:ilvl w:val="0"/>
          <w:numId w:val="2"/>
        </w:numPr>
        <w:spacing w:after="90"/>
      </w:pPr>
      <w:r>
        <w:rPr>
          <w:rFonts w:ascii="Calibri" w:cs="Calibri" w:eastAsia="Calibri" w:hAnsi="Calibri"/>
          <w:color w:val="1A1A1A"/>
          <w:sz w:val="22"/>
          <w:szCs w:val="22"/>
        </w:rPr>
        <w:t xml:space="preserve">Evaluate alternatives when the primary route is unavailable.</w:t>
      </w:r>
    </w:p>
    <w:p>
      <w:pPr>
        <w:spacing w:before="260"/>
      </w:pPr>
    </w:p>
    <w:p>
      <w:pPr>
        <w:spacing w:after="140"/>
      </w:pPr>
      <w:r>
        <w:rPr>
          <w:rFonts w:ascii="Calibri" w:cs="Calibri" w:eastAsia="Calibri" w:hAnsi="Calibri"/>
          <w:b/>
          <w:bCs/>
          <w:color w:val="0B243A"/>
          <w:sz w:val="22"/>
          <w:szCs w:val="22"/>
        </w:rPr>
        <w:t xml:space="preserve">Your goals:</w:t>
      </w:r>
    </w:p>
    <w:p>
      <w:pPr>
        <w:spacing w:after="140"/>
      </w:pPr>
      <w:r>
        <w:rPr>
          <w:rFonts w:ascii="Calibri" w:cs="Calibri" w:eastAsia="Calibri" w:hAnsi="Calibri"/>
          <w:i/>
          <w:iCs/>
          <w:color w:val="808A94"/>
          <w:sz w:val="22"/>
          <w:szCs w:val="22"/>
        </w:rPr>
        <w:t xml:space="preserve">[List them here]</w:t>
      </w:r>
    </w:p>
    <w:p>
      <w:pPr>
        <w:spacing w:after="140"/>
      </w:pPr>
      <w:r>
        <w:rPr>
          <w:rFonts w:ascii="Calibri" w:cs="Calibri" w:eastAsia="Calibri" w:hAnsi="Calibri"/>
          <w:b/>
          <w:bCs/>
          <w:color w:val="0B243A"/>
          <w:sz w:val="22"/>
          <w:szCs w:val="22"/>
        </w:rPr>
        <w:t xml:space="preserve">Your takeaways:</w:t>
      </w:r>
    </w:p>
    <w:p>
      <w:pPr>
        <w:spacing w:after="140"/>
      </w:pPr>
      <w:r>
        <w:rPr>
          <w:rFonts w:ascii="Calibri" w:cs="Calibri" w:eastAsia="Calibri" w:hAnsi="Calibri"/>
          <w:i/>
          <w:iCs/>
          <w:color w:val="808A94"/>
          <w:sz w:val="22"/>
          <w:szCs w:val="22"/>
        </w:rPr>
        <w:t xml:space="preserve">[List them here]</w:t>
      </w:r>
    </w:p>
    <w:p>
      <w:r>
        <w:br w:type="page"/>
      </w:r>
    </w:p>
    <w:p>
      <w:pPr>
        <w:spacing w:after="260"/>
      </w:pPr>
      <w:r>
        <w:drawing>
          <wp:inline distT="0" distB="0" distL="0" distR="0">
            <wp:extent cx="14287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47650"/>
                    </a:xfrm>
                    <a:prstGeom prst="rect">
                      <a:avLst/>
                    </a:prstGeom>
                  </pic:spPr>
                </pic:pic>
              </a:graphicData>
            </a:graphic>
          </wp:inline>
        </w:drawing>
      </w:r>
    </w:p>
    <w:p>
      <w:pPr>
        <w:spacing w:after="80"/>
      </w:pPr>
      <w:r>
        <w:rPr>
          <w:rFonts w:ascii="Calibri" w:cs="Calibri" w:eastAsia="Calibri" w:hAnsi="Calibri"/>
          <w:b/>
          <w:bCs/>
          <w:color w:val="0B243A"/>
          <w:sz w:val="40"/>
          <w:szCs w:val="40"/>
        </w:rPr>
        <w:t xml:space="preserve">Outline</w:t>
      </w:r>
    </w:p>
    <w:p>
      <w:pPr>
        <w:pBdr>
          <w:bottom w:val="single" w:color="4F98CA" w:sz="12" w:space="8"/>
        </w:pBdr>
        <w:spacing w:after="320"/>
      </w:pPr>
      <w:r>
        <w:rPr>
          <w:rFonts w:ascii="Calibri" w:cs="Calibri" w:eastAsia="Calibri" w:hAnsi="Calibri"/>
          <w:caps/>
          <w:color w:val="1D6091"/>
          <w:spacing w:val="30"/>
          <w:sz w:val="20"/>
          <w:szCs w:val="20"/>
        </w:rPr>
        <w:t xml:space="preserve">The substance of your presentation</w:t>
      </w:r>
    </w:p>
    <w:p>
      <w:pPr>
        <w:spacing w:after="140"/>
      </w:pPr>
      <w:r>
        <w:rPr>
          <w:rFonts w:ascii="Calibri" w:cs="Calibri" w:eastAsia="Calibri" w:hAnsi="Calibri"/>
          <w:i/>
          <w:iCs/>
          <w:color w:val="808A94"/>
          <w:sz w:val="22"/>
          <w:szCs w:val="22"/>
        </w:rPr>
        <w:t xml:space="preserve">[Your written materials begin here. Use headings to mirror the structure of your presentation so attendees can follow along and refer back afterward. Include statutes, case citations, practice tips, sample language, checklists, and forms wherever they help.]</w:t>
      </w:r>
    </w:p>
    <w:p>
      <w:pPr>
        <w:spacing w:after="140" w:before="340"/>
      </w:pPr>
      <w:r>
        <w:rPr>
          <w:rFonts w:ascii="Calibri" w:cs="Calibri" w:eastAsia="Calibri" w:hAnsi="Calibri"/>
          <w:b/>
          <w:bCs/>
          <w:color w:val="0B243A"/>
          <w:sz w:val="26"/>
          <w:szCs w:val="26"/>
        </w:rPr>
        <w:t xml:space="preserve">I.  [First main section]</w:t>
      </w:r>
    </w:p>
    <w:p>
      <w:pPr>
        <w:spacing w:after="140"/>
      </w:pPr>
      <w:r>
        <w:rPr>
          <w:rFonts w:ascii="Calibri" w:cs="Calibri" w:eastAsia="Calibri" w:hAnsi="Calibri"/>
          <w:i/>
          <w:iCs/>
          <w:color w:val="808A94"/>
          <w:sz w:val="22"/>
          <w:szCs w:val="22"/>
        </w:rPr>
        <w:t xml:space="preserve">[Content]</w:t>
      </w:r>
    </w:p>
    <w:p>
      <w:pPr>
        <w:spacing w:after="140" w:before="340"/>
      </w:pPr>
      <w:r>
        <w:rPr>
          <w:rFonts w:ascii="Calibri" w:cs="Calibri" w:eastAsia="Calibri" w:hAnsi="Calibri"/>
          <w:b/>
          <w:bCs/>
          <w:color w:val="0B243A"/>
          <w:sz w:val="26"/>
          <w:szCs w:val="26"/>
        </w:rPr>
        <w:t xml:space="preserve">II.  [Second main section]</w:t>
      </w:r>
    </w:p>
    <w:p>
      <w:pPr>
        <w:spacing w:after="140"/>
      </w:pPr>
      <w:r>
        <w:rPr>
          <w:rFonts w:ascii="Calibri" w:cs="Calibri" w:eastAsia="Calibri" w:hAnsi="Calibri"/>
          <w:i/>
          <w:iCs/>
          <w:color w:val="808A94"/>
          <w:sz w:val="22"/>
          <w:szCs w:val="22"/>
        </w:rPr>
        <w:t xml:space="preserve">[Content]</w:t>
      </w:r>
    </w:p>
    <w:p>
      <w:pPr>
        <w:spacing w:after="140" w:before="340"/>
      </w:pPr>
      <w:r>
        <w:rPr>
          <w:rFonts w:ascii="Calibri" w:cs="Calibri" w:eastAsia="Calibri" w:hAnsi="Calibri"/>
          <w:b/>
          <w:bCs/>
          <w:color w:val="0B243A"/>
          <w:sz w:val="26"/>
          <w:szCs w:val="26"/>
        </w:rPr>
        <w:t xml:space="preserve">III.  [Third main section]</w:t>
      </w:r>
    </w:p>
    <w:p>
      <w:pPr>
        <w:spacing w:after="140"/>
      </w:pPr>
      <w:r>
        <w:rPr>
          <w:rFonts w:ascii="Calibri" w:cs="Calibri" w:eastAsia="Calibri" w:hAnsi="Calibri"/>
          <w:i/>
          <w:iCs/>
          <w:color w:val="808A94"/>
          <w:sz w:val="22"/>
          <w:szCs w:val="22"/>
        </w:rPr>
        <w:t xml:space="preserve">[Content]</w:t>
      </w:r>
    </w:p>
    <w:p>
      <w:r>
        <w:br w:type="page"/>
      </w:r>
    </w:p>
    <w:p>
      <w:pPr>
        <w:spacing w:after="260"/>
      </w:pPr>
      <w:r>
        <w:drawing>
          <wp:inline distT="0" distB="0" distL="0" distR="0">
            <wp:extent cx="14287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247650"/>
                    </a:xfrm>
                    <a:prstGeom prst="rect">
                      <a:avLst/>
                    </a:prstGeom>
                  </pic:spPr>
                </pic:pic>
              </a:graphicData>
            </a:graphic>
          </wp:inline>
        </w:drawing>
      </w:r>
    </w:p>
    <w:p>
      <w:pPr>
        <w:spacing w:after="80"/>
      </w:pPr>
      <w:r>
        <w:rPr>
          <w:rFonts w:ascii="Calibri" w:cs="Calibri" w:eastAsia="Calibri" w:hAnsi="Calibri"/>
          <w:b/>
          <w:bCs/>
          <w:color w:val="0B243A"/>
          <w:sz w:val="40"/>
          <w:szCs w:val="40"/>
        </w:rPr>
        <w:t xml:space="preserve">Resources</w:t>
      </w:r>
    </w:p>
    <w:p>
      <w:pPr>
        <w:pBdr>
          <w:bottom w:val="single" w:color="4F98CA" w:sz="12" w:space="8"/>
        </w:pBdr>
        <w:spacing w:after="320"/>
      </w:pPr>
      <w:r>
        <w:rPr>
          <w:rFonts w:ascii="Calibri" w:cs="Calibri" w:eastAsia="Calibri" w:hAnsi="Calibri"/>
          <w:caps/>
          <w:color w:val="1D6091"/>
          <w:spacing w:val="30"/>
          <w:sz w:val="20"/>
          <w:szCs w:val="20"/>
        </w:rPr>
        <w:t xml:space="preserve">Where attendees can go next</w:t>
      </w:r>
    </w:p>
    <w:p>
      <w:pPr>
        <w:spacing w:after="140"/>
      </w:pPr>
      <w:r>
        <w:rPr>
          <w:rFonts w:ascii="Calibri" w:cs="Calibri" w:eastAsia="Calibri" w:hAnsi="Calibri"/>
          <w:i/>
          <w:iCs/>
          <w:color w:val="808A94"/>
          <w:sz w:val="22"/>
          <w:szCs w:val="22"/>
        </w:rPr>
        <w:t xml:space="preserve">[Links to statutes, opinions, agency guidance, forms, sample pleadings, and further reading. Please confirm every link opens correctly before submitting.]</w:t>
      </w:r>
    </w:p>
    <w:p>
      <w:pPr>
        <w:spacing w:before="240"/>
      </w:pPr>
    </w:p>
    <w:tbl>
      <w:tblPr>
        <w:tblW w:type="dxa" w:w="10080"/>
        <w:tblBorders>
          <w:top w:val="single" w:color="4F98CA" w:sz="2"/>
          <w:left w:val="single" w:color="4F98CA" w:sz="18"/>
          <w:bottom w:val="single" w:color="4F98CA" w:sz="2"/>
          <w:right w:val="single" w:color="4F98CA" w:sz="2"/>
          <w:insideH w:val="none"/>
          <w:insideV w:val="none"/>
        </w:tblBorders>
      </w:tblPr>
      <w:tblGrid>
        <w:gridCol w:w="10080"/>
      </w:tblGrid>
      <w:tr>
        <w:tc>
          <w:tcPr>
            <w:tcW w:type="dxa" w:w="10080"/>
            <w:shd w:fill="F2F8FC" w:val="clear"/>
            <w:tcMar>
              <w:top w:type="dxa" w:w="160"/>
              <w:left w:type="dxa" w:w="200"/>
              <w:bottom w:type="dxa" w:w="160"/>
              <w:right w:type="dxa" w:w="200"/>
            </w:tcMar>
          </w:tcPr>
          <w:p>
            <w:pPr>
              <w:spacing w:after="90"/>
            </w:pPr>
            <w:r>
              <w:rPr>
                <w:rFonts w:ascii="Calibri" w:cs="Calibri" w:eastAsia="Calibri" w:hAnsi="Calibri"/>
                <w:b/>
                <w:bCs/>
                <w:caps/>
                <w:color w:val="1D6091"/>
                <w:spacing w:val="20"/>
                <w:sz w:val="20"/>
                <w:szCs w:val="20"/>
              </w:rPr>
              <w:t xml:space="preserve">Copyrighted material</w:t>
            </w:r>
          </w:p>
          <w:p>
            <w:pPr>
              <w:spacing w:after="0"/>
            </w:pPr>
            <w:r>
              <w:rPr>
                <w:rFonts w:ascii="Calibri" w:cs="Calibri" w:eastAsia="Calibri" w:hAnsi="Calibri"/>
                <w:color w:val="1A1A1A"/>
                <w:sz w:val="21"/>
                <w:szCs w:val="21"/>
              </w:rPr>
              <w:t xml:space="preserve">If any resource reproduces material from a copyrighted publication, tell your coordinator now. NACBA must collect written permission to reprint before the materials can be distributed, and the publisher may require specific attribution language.</w:t>
            </w:r>
          </w:p>
        </w:tc>
      </w:tr>
    </w:tbl>
    <w:p>
      <w:pPr>
        <w:pBdr>
          <w:top w:val="single" w:color="D9E0E7" w:sz="6" w:space="8"/>
        </w:pBdr>
        <w:spacing w:before="420"/>
      </w:pPr>
      <w:r>
        <w:rPr>
          <w:rFonts w:ascii="Calibri" w:cs="Calibri" w:eastAsia="Calibri" w:hAnsi="Calibri"/>
          <w:color w:val="52657A"/>
          <w:sz w:val="16"/>
          <w:szCs w:val="16"/>
        </w:rPr>
        <w:t xml:space="preserve">National Association of Consumer Bankruptcy Attorneys  ·  Webinar outline template  ·  Due two weeks before the program, final one week before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4F98C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da55b8219fb5d2b5ef8174433bc2917074568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2026-08-14T23:43:37.109Z</dcterms:created>
  <dcterms:modified xsi:type="dcterms:W3CDTF">2026-08-14T23:43:37.109Z</dcterms:modified>
</cp:coreProperties>
</file>

<file path=docProps/custom.xml><?xml version="1.0" encoding="utf-8"?>
<Properties xmlns="http://schemas.openxmlformats.org/officeDocument/2006/custom-properties" xmlns:vt="http://schemas.openxmlformats.org/officeDocument/2006/docPropsVTypes"/>
</file>