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Toc404174369" w:displacedByCustomXml="next"/>
    <w:bookmarkStart w:id="1" w:name="_Toc404174712" w:displacedByCustomXml="next"/>
    <w:bookmarkStart w:id="2" w:name="_Toc404606176" w:displacedByCustomXml="next"/>
    <w:bookmarkStart w:id="3" w:name="_Toc416446793" w:displacedByCustomXml="next"/>
    <w:bookmarkStart w:id="4" w:name="_Toc431484045" w:displacedByCustomXml="next"/>
    <w:bookmarkStart w:id="5" w:name="_Toc435193991" w:displacedByCustomXml="next"/>
    <w:bookmarkStart w:id="6" w:name="_Toc436559832" w:displacedByCustomXml="next"/>
    <w:bookmarkStart w:id="7" w:name="_Toc452993511" w:displacedByCustomXml="next"/>
    <w:bookmarkStart w:id="8" w:name="_Toc453144376" w:displacedByCustomXml="next"/>
    <w:sdt>
      <w:sdtPr>
        <w:id w:val="-255055889"/>
        <w:docPartObj>
          <w:docPartGallery w:val="Cover Pages"/>
          <w:docPartUnique/>
        </w:docPartObj>
      </w:sdtPr>
      <w:sdtEndPr>
        <w:rPr>
          <w:color w:val="5B9BD5" w:themeColor="accent1"/>
          <w:sz w:val="22"/>
          <w:szCs w:val="22"/>
        </w:rPr>
      </w:sdtEndPr>
      <w:sdtContent>
        <w:p w14:paraId="55B92AE7" w14:textId="06651B80" w:rsidR="009B45F0" w:rsidRPr="009B45F0" w:rsidRDefault="00AF0FBB" w:rsidP="009B45F0">
          <w:r>
            <w:rPr>
              <w:noProof/>
              <w:color w:val="1F497D"/>
            </w:rPr>
            <w:drawing>
              <wp:anchor distT="0" distB="0" distL="114300" distR="114300" simplePos="0" relativeHeight="251663360" behindDoc="0" locked="0" layoutInCell="1" allowOverlap="1" wp14:anchorId="0C9C0C27" wp14:editId="052E85BB">
                <wp:simplePos x="0" y="0"/>
                <wp:positionH relativeFrom="margin">
                  <wp:posOffset>0</wp:posOffset>
                </wp:positionH>
                <wp:positionV relativeFrom="paragraph">
                  <wp:posOffset>0</wp:posOffset>
                </wp:positionV>
                <wp:extent cx="1476375" cy="428625"/>
                <wp:effectExtent l="0" t="0" r="9525" b="9525"/>
                <wp:wrapThrough wrapText="bothSides">
                  <wp:wrapPolygon edited="0">
                    <wp:start x="0" y="0"/>
                    <wp:lineTo x="0" y="21120"/>
                    <wp:lineTo x="21461" y="21120"/>
                    <wp:lineTo x="21461" y="0"/>
                    <wp:lineTo x="0" y="0"/>
                  </wp:wrapPolygon>
                </wp:wrapThrough>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r:link="rId10">
                          <a:extLst>
                            <a:ext uri="{28A0092B-C50C-407E-A947-70E740481C1C}">
                              <a14:useLocalDpi xmlns:a14="http://schemas.microsoft.com/office/drawing/2010/main" val="0"/>
                            </a:ext>
                          </a:extLst>
                        </a:blip>
                        <a:srcRect/>
                        <a:stretch>
                          <a:fillRect/>
                        </a:stretch>
                      </pic:blipFill>
                      <pic:spPr bwMode="auto">
                        <a:xfrm>
                          <a:off x="0" y="0"/>
                          <a:ext cx="1476375" cy="428625"/>
                        </a:xfrm>
                        <a:prstGeom prst="rect">
                          <a:avLst/>
                        </a:prstGeom>
                        <a:noFill/>
                        <a:ln>
                          <a:noFill/>
                        </a:ln>
                      </pic:spPr>
                    </pic:pic>
                  </a:graphicData>
                </a:graphic>
              </wp:anchor>
            </w:drawing>
          </w:r>
        </w:p>
      </w:sdtContent>
    </w:sdt>
    <w:p w14:paraId="3102BD91" w14:textId="38681B6A" w:rsidR="00145FAD" w:rsidRDefault="00145FAD" w:rsidP="00145FAD"/>
    <w:p w14:paraId="11F1F36D" w14:textId="77777777" w:rsidR="00CD7EB3" w:rsidRDefault="00CD7EB3" w:rsidP="00CD7EB3">
      <w:pPr>
        <w:pStyle w:val="Heading1"/>
      </w:pPr>
      <w:r>
        <w:t>Microsoft Cloud AI Workforce Strategic Framework (Microsoft 365)</w:t>
      </w:r>
    </w:p>
    <w:p w14:paraId="0A145E04" w14:textId="77777777" w:rsidR="00CD7EB3" w:rsidRDefault="00CD7EB3" w:rsidP="00D53893">
      <w:pPr>
        <w:jc w:val="both"/>
      </w:pPr>
      <w:r>
        <w:rPr>
          <w:b/>
          <w:bCs/>
        </w:rPr>
        <w:t>A unified high-level framework for an AI-augmented workforce in Microsoft 365</w:t>
      </w:r>
      <w:r>
        <w:t xml:space="preserve"> provides partners and resellers with a reusable blueprint to drive productivity and innovation while ensuring </w:t>
      </w:r>
      <w:r>
        <w:rPr>
          <w:b/>
          <w:bCs/>
        </w:rPr>
        <w:t>responsible, compliant AI use</w:t>
      </w:r>
      <w:r>
        <w:t xml:space="preserve">. It emphasizes </w:t>
      </w:r>
      <w:r>
        <w:rPr>
          <w:b/>
          <w:bCs/>
        </w:rPr>
        <w:t>people-centric adoption</w:t>
      </w:r>
      <w:r>
        <w:t>, strong ethical governance, and alignment with global standards to foster trust and success in AI-driven modern work.</w:t>
      </w:r>
    </w:p>
    <w:p w14:paraId="4A676285" w14:textId="77777777" w:rsidR="00CD7EB3" w:rsidRDefault="00CD7EB3" w:rsidP="00D53893">
      <w:pPr>
        <w:jc w:val="both"/>
      </w:pPr>
      <w:r>
        <w:rPr>
          <w:b/>
          <w:bCs/>
        </w:rPr>
        <w:t>Core AI Workforce Domains and Objectives:</w:t>
      </w:r>
      <w:r>
        <w:t xml:space="preserve"> The framework is organized into several </w:t>
      </w:r>
      <w:r>
        <w:rPr>
          <w:b/>
          <w:bCs/>
        </w:rPr>
        <w:t>capability domains</w:t>
      </w:r>
      <w:r>
        <w:t xml:space="preserve">, each with a strategic objective, key governance principle, and compliance considerations. This ensures a </w:t>
      </w:r>
      <w:r>
        <w:rPr>
          <w:b/>
          <w:bCs/>
        </w:rPr>
        <w:t>consistent, high-level approach</w:t>
      </w:r>
      <w:r>
        <w:t xml:space="preserve"> to enabling an AI-augmented workforce across Microsoft 365:</w:t>
      </w:r>
    </w:p>
    <w:tbl>
      <w:tblPr>
        <w:tblStyle w:val="GridTable4-Accent1"/>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33"/>
        <w:gridCol w:w="2533"/>
        <w:gridCol w:w="2617"/>
        <w:gridCol w:w="2767"/>
      </w:tblGrid>
      <w:tr w:rsidR="00CD7EB3" w14:paraId="305DBA9D" w14:textId="77777777" w:rsidTr="00EC582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7B3B6274" w14:textId="77777777" w:rsidR="00CD7EB3" w:rsidRDefault="00CD7EB3" w:rsidP="00EC5822">
            <w:r>
              <w:t>AI Capability Domain</w:t>
            </w:r>
          </w:p>
        </w:tc>
        <w:tc>
          <w:tcPr>
            <w:tcW w:w="0" w:type="auto"/>
            <w:vAlign w:val="center"/>
          </w:tcPr>
          <w:p w14:paraId="303CE9B0" w14:textId="77777777" w:rsidR="00CD7EB3" w:rsidRDefault="00CD7EB3" w:rsidP="00EC5822">
            <w:pPr>
              <w:cnfStyle w:val="100000000000" w:firstRow="1" w:lastRow="0" w:firstColumn="0" w:lastColumn="0" w:oddVBand="0" w:evenVBand="0" w:oddHBand="0" w:evenHBand="0" w:firstRowFirstColumn="0" w:firstRowLastColumn="0" w:lastRowFirstColumn="0" w:lastRowLastColumn="0"/>
            </w:pPr>
            <w:r>
              <w:t>Strategic Objective (What)</w:t>
            </w:r>
          </w:p>
        </w:tc>
        <w:tc>
          <w:tcPr>
            <w:tcW w:w="0" w:type="auto"/>
            <w:vAlign w:val="center"/>
          </w:tcPr>
          <w:p w14:paraId="2BDDCDFF" w14:textId="77777777" w:rsidR="00CD7EB3" w:rsidRDefault="00CD7EB3" w:rsidP="00EC5822">
            <w:pPr>
              <w:cnfStyle w:val="100000000000" w:firstRow="1" w:lastRow="0" w:firstColumn="0" w:lastColumn="0" w:oddVBand="0" w:evenVBand="0" w:oddHBand="0" w:evenHBand="0" w:firstRowFirstColumn="0" w:firstRowLastColumn="0" w:lastRowFirstColumn="0" w:lastRowLastColumn="0"/>
            </w:pPr>
            <w:r>
              <w:t>Governance Principle (How)</w:t>
            </w:r>
          </w:p>
        </w:tc>
        <w:tc>
          <w:tcPr>
            <w:tcW w:w="0" w:type="auto"/>
            <w:vAlign w:val="center"/>
          </w:tcPr>
          <w:p w14:paraId="773466EE" w14:textId="77777777" w:rsidR="00CD7EB3" w:rsidRDefault="00CD7EB3" w:rsidP="00EC5822">
            <w:pPr>
              <w:cnfStyle w:val="100000000000" w:firstRow="1" w:lastRow="0" w:firstColumn="0" w:lastColumn="0" w:oddVBand="0" w:evenVBand="0" w:oddHBand="0" w:evenHBand="0" w:firstRowFirstColumn="0" w:firstRowLastColumn="0" w:lastRowFirstColumn="0" w:lastRowLastColumn="0"/>
            </w:pPr>
            <w:r>
              <w:t>Key Compliance Considerations (Why)</w:t>
            </w:r>
          </w:p>
        </w:tc>
      </w:tr>
      <w:tr w:rsidR="00CD7EB3" w14:paraId="064C657A" w14:textId="77777777" w:rsidTr="00EC58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16CCE025" w14:textId="77777777" w:rsidR="00CD7EB3" w:rsidRDefault="00CD7EB3" w:rsidP="00EC5822">
            <w:r>
              <w:t>AI-Enhanced Productivity &amp; Collaboration</w:t>
            </w:r>
          </w:p>
        </w:tc>
        <w:tc>
          <w:tcPr>
            <w:tcW w:w="0" w:type="auto"/>
            <w:vAlign w:val="center"/>
          </w:tcPr>
          <w:p w14:paraId="4CBFAD61" w14:textId="77777777" w:rsidR="00CD7EB3" w:rsidRDefault="00CD7EB3" w:rsidP="00D53893">
            <w:pPr>
              <w:jc w:val="both"/>
              <w:cnfStyle w:val="000000100000" w:firstRow="0" w:lastRow="0" w:firstColumn="0" w:lastColumn="0" w:oddVBand="0" w:evenVBand="0" w:oddHBand="1" w:evenHBand="0" w:firstRowFirstColumn="0" w:firstRowLastColumn="0" w:lastRowFirstColumn="0" w:lastRowLastColumn="0"/>
            </w:pPr>
            <w:r>
              <w:t>Enable AI to amplify employee productivity and teamwork, using tools like Microsoft 365 Copilot to automate routine tasks, generate insights, and streamline communication (</w:t>
            </w:r>
            <w:r>
              <w:rPr>
                <w:b/>
                <w:bCs/>
              </w:rPr>
              <w:t>AI as a co-pilot</w:t>
            </w:r>
            <w:r>
              <w:t xml:space="preserve"> for daily work). The goal is to free humans </w:t>
            </w:r>
            <w:proofErr w:type="gramStart"/>
            <w:r>
              <w:t>for</w:t>
            </w:r>
            <w:proofErr w:type="gramEnd"/>
            <w:r>
              <w:t xml:space="preserve"> higher-value activities while improving efficiency and innovation.</w:t>
            </w:r>
          </w:p>
        </w:tc>
        <w:tc>
          <w:tcPr>
            <w:tcW w:w="0" w:type="auto"/>
            <w:vAlign w:val="center"/>
          </w:tcPr>
          <w:p w14:paraId="706B3615" w14:textId="77777777" w:rsidR="00CD7EB3" w:rsidRDefault="00CD7EB3" w:rsidP="00D53893">
            <w:pPr>
              <w:jc w:val="both"/>
              <w:cnfStyle w:val="000000100000" w:firstRow="0" w:lastRow="0" w:firstColumn="0" w:lastColumn="0" w:oddVBand="0" w:evenVBand="0" w:oddHBand="1" w:evenHBand="0" w:firstRowFirstColumn="0" w:firstRowLastColumn="0" w:lastRowFirstColumn="0" w:lastRowLastColumn="0"/>
            </w:pPr>
            <w:r>
              <w:t xml:space="preserve">Integrate AI seamlessly into workflows with a </w:t>
            </w:r>
            <w:r>
              <w:rPr>
                <w:i/>
                <w:iCs/>
              </w:rPr>
              <w:t>human-in-the-loop</w:t>
            </w:r>
            <w:r>
              <w:t xml:space="preserve"> approach. Train employees to effectively use AI assistance for drafting content, data analysis, and meeting support, but also to critically review AI outputs. Encourage a culture where AI suggestions are verified and refined by people, reinforcing that AI </w:t>
            </w:r>
            <w:r>
              <w:rPr>
                <w:b/>
                <w:bCs/>
              </w:rPr>
              <w:t>augments rather than replaces</w:t>
            </w:r>
            <w:r>
              <w:t xml:space="preserve"> human judgment.</w:t>
            </w:r>
          </w:p>
        </w:tc>
        <w:tc>
          <w:tcPr>
            <w:tcW w:w="0" w:type="auto"/>
            <w:vAlign w:val="center"/>
          </w:tcPr>
          <w:p w14:paraId="5C06A748" w14:textId="77777777" w:rsidR="00CD7EB3" w:rsidRDefault="00CD7EB3" w:rsidP="00D53893">
            <w:pPr>
              <w:jc w:val="both"/>
              <w:cnfStyle w:val="000000100000" w:firstRow="0" w:lastRow="0" w:firstColumn="0" w:lastColumn="0" w:oddVBand="0" w:evenVBand="0" w:oddHBand="1" w:evenHBand="0" w:firstRowFirstColumn="0" w:firstRowLastColumn="0" w:lastRowFirstColumn="0" w:lastRowLastColumn="0"/>
            </w:pPr>
            <w:r>
              <w:t xml:space="preserve">Ensure transparent use of AI in business processes so that its involvement is clear to all stakeholders (meeting the </w:t>
            </w:r>
            <w:r>
              <w:rPr>
                <w:b/>
                <w:bCs/>
              </w:rPr>
              <w:t>EU AI Act’s transparency requirements</w:t>
            </w:r>
            <w:r>
              <w:t xml:space="preserve"> for generative AI outputs). Maintain human oversight especially for sensitive applications (e.g. client communications, decision support in HR) – the AI Act classifies such cases as higher-risk, necessitating human review and traceability of AI-assisted outcomes.</w:t>
            </w:r>
          </w:p>
        </w:tc>
      </w:tr>
      <w:tr w:rsidR="00CD7EB3" w14:paraId="042CC304" w14:textId="77777777" w:rsidTr="00EC5822">
        <w:tc>
          <w:tcPr>
            <w:cnfStyle w:val="001000000000" w:firstRow="0" w:lastRow="0" w:firstColumn="1" w:lastColumn="0" w:oddVBand="0" w:evenVBand="0" w:oddHBand="0" w:evenHBand="0" w:firstRowFirstColumn="0" w:firstRowLastColumn="0" w:lastRowFirstColumn="0" w:lastRowLastColumn="0"/>
            <w:tcW w:w="0" w:type="auto"/>
            <w:vAlign w:val="center"/>
          </w:tcPr>
          <w:p w14:paraId="3BDDB783" w14:textId="77777777" w:rsidR="00CD7EB3" w:rsidRDefault="00CD7EB3" w:rsidP="00EC5822">
            <w:r>
              <w:t>Responsible AI &amp; Ethics</w:t>
            </w:r>
          </w:p>
        </w:tc>
        <w:tc>
          <w:tcPr>
            <w:tcW w:w="0" w:type="auto"/>
            <w:vAlign w:val="center"/>
          </w:tcPr>
          <w:p w14:paraId="43D5ED4A" w14:textId="77777777" w:rsidR="00CD7EB3" w:rsidRDefault="00CD7EB3" w:rsidP="00D53893">
            <w:pPr>
              <w:jc w:val="both"/>
              <w:cnfStyle w:val="000000000000" w:firstRow="0" w:lastRow="0" w:firstColumn="0" w:lastColumn="0" w:oddVBand="0" w:evenVBand="0" w:oddHBand="0" w:evenHBand="0" w:firstRowFirstColumn="0" w:firstRowLastColumn="0" w:lastRowFirstColumn="0" w:lastRowLastColumn="0"/>
            </w:pPr>
            <w:r>
              <w:t>Uphold ethical AI use throughout the organization. All AI-driven solutions and assistants should adhere to core ethical principles like fairness, reliability, privacy, and transparency. The objective is to build trust in AI among employees and customers by ensuring AI behaves in line with company values and societal expectations.</w:t>
            </w:r>
          </w:p>
        </w:tc>
        <w:tc>
          <w:tcPr>
            <w:tcW w:w="0" w:type="auto"/>
            <w:vAlign w:val="center"/>
          </w:tcPr>
          <w:p w14:paraId="00FCFB6A" w14:textId="77777777" w:rsidR="00CD7EB3" w:rsidRDefault="00CD7EB3" w:rsidP="00D53893">
            <w:pPr>
              <w:jc w:val="both"/>
              <w:cnfStyle w:val="000000000000" w:firstRow="0" w:lastRow="0" w:firstColumn="0" w:lastColumn="0" w:oddVBand="0" w:evenVBand="0" w:oddHBand="0" w:evenHBand="0" w:firstRowFirstColumn="0" w:firstRowLastColumn="0" w:lastRowFirstColumn="0" w:lastRowLastColumn="0"/>
            </w:pPr>
            <w:r>
              <w:t xml:space="preserve">Establish a </w:t>
            </w:r>
            <w:r>
              <w:rPr>
                <w:b/>
                <w:bCs/>
              </w:rPr>
              <w:t>Responsible AI policy</w:t>
            </w:r>
            <w:r>
              <w:t xml:space="preserve"> that translates high-level principles (e.g. Microsoft’s fairness, transparency, accountability guidelines) into concrete </w:t>
            </w:r>
            <w:proofErr w:type="gramStart"/>
            <w:r>
              <w:t>do’s</w:t>
            </w:r>
            <w:proofErr w:type="gramEnd"/>
            <w:r>
              <w:t xml:space="preserve"> and don’ts for AI usage. Proactively evaluate AI systems for bias or harmful outcomes and put guardrails in place (for example, content filtering and bias testing for AI-generated content). All users and developers of AI should be trained </w:t>
            </w:r>
            <w:proofErr w:type="gramStart"/>
            <w:r>
              <w:t>on</w:t>
            </w:r>
            <w:proofErr w:type="gramEnd"/>
            <w:r>
              <w:t xml:space="preserve"> ethical AI practices, and certain </w:t>
            </w:r>
            <w:r>
              <w:rPr>
                <w:i/>
                <w:iCs/>
              </w:rPr>
              <w:t>use cases should be disallowed</w:t>
            </w:r>
            <w:r>
              <w:t xml:space="preserve"> </w:t>
            </w:r>
            <w:r>
              <w:lastRenderedPageBreak/>
              <w:t>(for instance, any AI use that could unfairly discriminate or breach privacy). Regular ethics reviews and an AI ethics board can provide ongoing oversight.</w:t>
            </w:r>
          </w:p>
        </w:tc>
        <w:tc>
          <w:tcPr>
            <w:tcW w:w="0" w:type="auto"/>
            <w:vAlign w:val="center"/>
          </w:tcPr>
          <w:p w14:paraId="0445C896" w14:textId="77777777" w:rsidR="00CD7EB3" w:rsidRDefault="00CD7EB3" w:rsidP="00D53893">
            <w:pPr>
              <w:jc w:val="both"/>
              <w:cnfStyle w:val="000000000000" w:firstRow="0" w:lastRow="0" w:firstColumn="0" w:lastColumn="0" w:oddVBand="0" w:evenVBand="0" w:oddHBand="0" w:evenHBand="0" w:firstRowFirstColumn="0" w:firstRowLastColumn="0" w:lastRowFirstColumn="0" w:lastRowLastColumn="0"/>
            </w:pPr>
            <w:r>
              <w:lastRenderedPageBreak/>
              <w:t xml:space="preserve">Align with global AI ethics standards and regulations. Incorporate </w:t>
            </w:r>
            <w:r>
              <w:rPr>
                <w:b/>
                <w:bCs/>
              </w:rPr>
              <w:t>privacy-by-design</w:t>
            </w:r>
            <w:r>
              <w:t xml:space="preserve"> and </w:t>
            </w:r>
            <w:r>
              <w:rPr>
                <w:b/>
                <w:bCs/>
              </w:rPr>
              <w:t>non-discrimination</w:t>
            </w:r>
            <w:r>
              <w:t xml:space="preserve"> measures to comply with laws like GDPR (which mandates fairness and lawfulness in automated processing). Follow frameworks such as </w:t>
            </w:r>
            <w:r>
              <w:rPr>
                <w:b/>
                <w:bCs/>
              </w:rPr>
              <w:t>ISO/IEC 42001</w:t>
            </w:r>
            <w:r>
              <w:t xml:space="preserve"> for AI management systems that require aligning AI operations with legal and ethical requirements. Comply with the </w:t>
            </w:r>
            <w:r>
              <w:rPr>
                <w:b/>
                <w:bCs/>
              </w:rPr>
              <w:t>EU AI Act’s risk-based rules</w:t>
            </w:r>
            <w:r>
              <w:t xml:space="preserve"> by avoiding prohibited AI uses (e.g. social scoring) and implementing rigorous </w:t>
            </w:r>
            <w:r>
              <w:lastRenderedPageBreak/>
              <w:t>documentation and monitoring for any high-risk AI applications.</w:t>
            </w:r>
          </w:p>
        </w:tc>
      </w:tr>
      <w:tr w:rsidR="00CD7EB3" w14:paraId="516B8891" w14:textId="77777777" w:rsidTr="00EC58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444228FB" w14:textId="77777777" w:rsidR="00CD7EB3" w:rsidRDefault="00CD7EB3" w:rsidP="00EC5822">
            <w:r>
              <w:lastRenderedPageBreak/>
              <w:t>Workforce Skills &amp; Change Management</w:t>
            </w:r>
          </w:p>
        </w:tc>
        <w:tc>
          <w:tcPr>
            <w:tcW w:w="0" w:type="auto"/>
            <w:vAlign w:val="center"/>
          </w:tcPr>
          <w:p w14:paraId="392B0C69" w14:textId="77777777" w:rsidR="00CD7EB3" w:rsidRDefault="00CD7EB3" w:rsidP="00D53893">
            <w:pPr>
              <w:jc w:val="both"/>
              <w:cnfStyle w:val="000000100000" w:firstRow="0" w:lastRow="0" w:firstColumn="0" w:lastColumn="0" w:oddVBand="0" w:evenVBand="0" w:oddHBand="1" w:evenHBand="0" w:firstRowFirstColumn="0" w:firstRowLastColumn="0" w:lastRowFirstColumn="0" w:lastRowLastColumn="0"/>
            </w:pPr>
            <w:r>
              <w:t xml:space="preserve">Continuously evolve workforce skills and roles to fully leverage AI capabilities. The objective is to create an </w:t>
            </w:r>
            <w:r>
              <w:rPr>
                <w:b/>
                <w:bCs/>
              </w:rPr>
              <w:t>AI-literate organization</w:t>
            </w:r>
            <w:r>
              <w:t xml:space="preserve"> where employees understand how to use AI tools and adapt to AI-driven changes in their job functions. This includes cultivating new digital skills, promoting a growth mindset, and redesigning workflows to integrate AI effectively.</w:t>
            </w:r>
          </w:p>
        </w:tc>
        <w:tc>
          <w:tcPr>
            <w:tcW w:w="0" w:type="auto"/>
            <w:vAlign w:val="center"/>
          </w:tcPr>
          <w:p w14:paraId="4387FDBF" w14:textId="77777777" w:rsidR="00CD7EB3" w:rsidRDefault="00CD7EB3" w:rsidP="00D53893">
            <w:pPr>
              <w:jc w:val="both"/>
              <w:cnfStyle w:val="000000100000" w:firstRow="0" w:lastRow="0" w:firstColumn="0" w:lastColumn="0" w:oddVBand="0" w:evenVBand="0" w:oddHBand="1" w:evenHBand="0" w:firstRowFirstColumn="0" w:firstRowLastColumn="0" w:lastRowFirstColumn="0" w:lastRowLastColumn="0"/>
            </w:pPr>
            <w:r>
              <w:t xml:space="preserve">Implement comprehensive change management programs that put people first. Provide tiered training – basic </w:t>
            </w:r>
            <w:r>
              <w:rPr>
                <w:b/>
                <w:bCs/>
              </w:rPr>
              <w:t>AI awareness for all staff</w:t>
            </w:r>
            <w:r>
              <w:t xml:space="preserve"> and advanced upskilling for key roles (a model where 100% of employees are “AI Aware,” many become “AI Proficient,” and some are “AI Experts”). Communicate clearly that AI is there to assist (not replace) employees, addressing cultural resistance openly. Identify “AI champions” in teams to support peers and gather feedback. Use pilot programs and success stories to demonstrate AI’s </w:t>
            </w:r>
            <w:proofErr w:type="gramStart"/>
            <w:r>
              <w:t>value, and</w:t>
            </w:r>
            <w:proofErr w:type="gramEnd"/>
            <w:r>
              <w:t xml:space="preserve"> refine adoption strategies based on what works.</w:t>
            </w:r>
          </w:p>
        </w:tc>
        <w:tc>
          <w:tcPr>
            <w:tcW w:w="0" w:type="auto"/>
            <w:vAlign w:val="center"/>
          </w:tcPr>
          <w:p w14:paraId="531E6DEA" w14:textId="77777777" w:rsidR="00CD7EB3" w:rsidRDefault="00CD7EB3" w:rsidP="00D53893">
            <w:pPr>
              <w:jc w:val="both"/>
              <w:cnfStyle w:val="000000100000" w:firstRow="0" w:lastRow="0" w:firstColumn="0" w:lastColumn="0" w:oddVBand="0" w:evenVBand="0" w:oddHBand="1" w:evenHBand="0" w:firstRowFirstColumn="0" w:firstRowLastColumn="0" w:lastRowFirstColumn="0" w:lastRowLastColumn="0"/>
            </w:pPr>
            <w:r>
              <w:t xml:space="preserve">By fostering AI competencies, the organization also meets emerging regulatory expectations (the EU AI Act’s early provisions call for basic </w:t>
            </w:r>
            <w:r>
              <w:rPr>
                <w:b/>
                <w:bCs/>
              </w:rPr>
              <w:t>AI literacy in organizations</w:t>
            </w:r>
            <w:r>
              <w:t xml:space="preserve"> as a compliance obligation). Proper training and oversight prevent misuse of AI, supporting compliance with data protection rules – employees learn, for example, how to avoid inputting personal or sensitive data into AI systems in ways that would violate </w:t>
            </w:r>
            <w:r>
              <w:rPr>
                <w:b/>
                <w:bCs/>
              </w:rPr>
              <w:t>GDPR</w:t>
            </w:r>
            <w:r>
              <w:t xml:space="preserve">. A well-managed change process, with documented training and ethical AI guidelines for staff, can also serve as evidence of due diligence in </w:t>
            </w:r>
            <w:r>
              <w:rPr>
                <w:b/>
                <w:bCs/>
              </w:rPr>
              <w:t>AI governance audits</w:t>
            </w:r>
            <w:r>
              <w:t xml:space="preserve"> or compliance assessments.</w:t>
            </w:r>
          </w:p>
        </w:tc>
      </w:tr>
      <w:tr w:rsidR="00CD7EB3" w14:paraId="3A60D801" w14:textId="77777777" w:rsidTr="00EC5822">
        <w:tc>
          <w:tcPr>
            <w:cnfStyle w:val="001000000000" w:firstRow="0" w:lastRow="0" w:firstColumn="1" w:lastColumn="0" w:oddVBand="0" w:evenVBand="0" w:oddHBand="0" w:evenHBand="0" w:firstRowFirstColumn="0" w:firstRowLastColumn="0" w:lastRowFirstColumn="0" w:lastRowLastColumn="0"/>
            <w:tcW w:w="0" w:type="auto"/>
            <w:vAlign w:val="center"/>
          </w:tcPr>
          <w:p w14:paraId="2563055C" w14:textId="77777777" w:rsidR="00CD7EB3" w:rsidRDefault="00CD7EB3" w:rsidP="00EC5822">
            <w:r>
              <w:t>Data Governance &amp; Privacy</w:t>
            </w:r>
          </w:p>
        </w:tc>
        <w:tc>
          <w:tcPr>
            <w:tcW w:w="0" w:type="auto"/>
            <w:vAlign w:val="center"/>
          </w:tcPr>
          <w:p w14:paraId="62D1565D" w14:textId="77777777" w:rsidR="00CD7EB3" w:rsidRDefault="00CD7EB3" w:rsidP="00D53893">
            <w:pPr>
              <w:jc w:val="both"/>
              <w:cnfStyle w:val="000000000000" w:firstRow="0" w:lastRow="0" w:firstColumn="0" w:lastColumn="0" w:oddVBand="0" w:evenVBand="0" w:oddHBand="0" w:evenHBand="0" w:firstRowFirstColumn="0" w:firstRowLastColumn="0" w:lastRowFirstColumn="0" w:lastRowLastColumn="0"/>
            </w:pPr>
            <w:r>
              <w:t xml:space="preserve">Ensure that data used in AI systems is properly managed, secure, and </w:t>
            </w:r>
            <w:proofErr w:type="gramStart"/>
            <w:r>
              <w:t>privacy-compliant</w:t>
            </w:r>
            <w:proofErr w:type="gramEnd"/>
            <w:r>
              <w:t>. High-quality, well-governed data is the foundation of trustworthy AI. The objective is to protect sensitive information and maintain user trust while enabling AI to access the data it needs.</w:t>
            </w:r>
          </w:p>
        </w:tc>
        <w:tc>
          <w:tcPr>
            <w:tcW w:w="0" w:type="auto"/>
            <w:vAlign w:val="center"/>
          </w:tcPr>
          <w:p w14:paraId="13EB139E" w14:textId="77777777" w:rsidR="00CD7EB3" w:rsidRDefault="00CD7EB3" w:rsidP="00D53893">
            <w:pPr>
              <w:jc w:val="both"/>
              <w:cnfStyle w:val="000000000000" w:firstRow="0" w:lastRow="0" w:firstColumn="0" w:lastColumn="0" w:oddVBand="0" w:evenVBand="0" w:oddHBand="0" w:evenHBand="0" w:firstRowFirstColumn="0" w:firstRowLastColumn="0" w:lastRowFirstColumn="0" w:lastRowLastColumn="0"/>
            </w:pPr>
            <w:r>
              <w:t xml:space="preserve">Establish strict data access and quality controls for AI. Define which data sources AI tools can tap (and which are off-limits) through a clear </w:t>
            </w:r>
            <w:r>
              <w:rPr>
                <w:b/>
                <w:bCs/>
              </w:rPr>
              <w:t>Data Governance Policy</w:t>
            </w:r>
            <w:r>
              <w:t xml:space="preserve"> – for example, restricting AI from using personal HR data or confidential financial records. Leverage Microsoft 365’s compliance features (like data loss prevention, sensitivity labels, and encryption) so AI-generated content and AI data access obey the same privacy and security rules as other data. </w:t>
            </w:r>
            <w:r>
              <w:lastRenderedPageBreak/>
              <w:t xml:space="preserve">Perform regular audits of AI data </w:t>
            </w:r>
            <w:proofErr w:type="gramStart"/>
            <w:r>
              <w:t>use, and</w:t>
            </w:r>
            <w:proofErr w:type="gramEnd"/>
            <w:r>
              <w:t xml:space="preserve"> put mechanisms in place to detect and prevent any unintended data exposure (for instance, alerts if AI outputs contain confidential info). Employees should be guided on data handling with AI (e.g. never paste sensitive client data into an external AI service).</w:t>
            </w:r>
          </w:p>
        </w:tc>
        <w:tc>
          <w:tcPr>
            <w:tcW w:w="0" w:type="auto"/>
            <w:vAlign w:val="center"/>
          </w:tcPr>
          <w:p w14:paraId="3C5C421B" w14:textId="77777777" w:rsidR="00CD7EB3" w:rsidRDefault="00CD7EB3" w:rsidP="00D53893">
            <w:pPr>
              <w:jc w:val="both"/>
              <w:cnfStyle w:val="000000000000" w:firstRow="0" w:lastRow="0" w:firstColumn="0" w:lastColumn="0" w:oddVBand="0" w:evenVBand="0" w:oddHBand="0" w:evenHBand="0" w:firstRowFirstColumn="0" w:firstRowLastColumn="0" w:lastRowFirstColumn="0" w:lastRowLastColumn="0"/>
            </w:pPr>
            <w:r>
              <w:lastRenderedPageBreak/>
              <w:t xml:space="preserve">Comply with data protection regulations (GDPR, etc.) by enforcing </w:t>
            </w:r>
            <w:r>
              <w:rPr>
                <w:b/>
                <w:bCs/>
              </w:rPr>
              <w:t>data minimization and consent</w:t>
            </w:r>
            <w:r>
              <w:t xml:space="preserve"> rules in AI processes – only the necessary data is used, and personal data is processed in accordance with user consents and lawful bases. All AI interactions in Microsoft 365 stay within the organization’s secure boundary (tenant), and content generated by AI inherits the organization’s compliance and access controls by design. Align data governance practices with standards like </w:t>
            </w:r>
            <w:r>
              <w:rPr>
                <w:b/>
                <w:bCs/>
              </w:rPr>
              <w:lastRenderedPageBreak/>
              <w:t>ISO 27001/27701</w:t>
            </w:r>
            <w:r>
              <w:t xml:space="preserve"> (information security and privacy) to ensure AI does not become a weak link in data management. Maintain documentation of where data comes from and how it’s used in AI, to support audits and accountability under frameworks like the AI Act.</w:t>
            </w:r>
          </w:p>
        </w:tc>
      </w:tr>
      <w:tr w:rsidR="00CD7EB3" w14:paraId="5D5E414D" w14:textId="77777777" w:rsidTr="00EC58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304B822B" w14:textId="77777777" w:rsidR="00CD7EB3" w:rsidRDefault="00CD7EB3" w:rsidP="00EC5822">
            <w:r>
              <w:lastRenderedPageBreak/>
              <w:t>AI Governance &amp; Oversight</w:t>
            </w:r>
          </w:p>
        </w:tc>
        <w:tc>
          <w:tcPr>
            <w:tcW w:w="0" w:type="auto"/>
            <w:vAlign w:val="center"/>
          </w:tcPr>
          <w:p w14:paraId="5BCD835C" w14:textId="77777777" w:rsidR="00CD7EB3" w:rsidRDefault="00CD7EB3" w:rsidP="00D53893">
            <w:pPr>
              <w:jc w:val="both"/>
              <w:cnfStyle w:val="000000100000" w:firstRow="0" w:lastRow="0" w:firstColumn="0" w:lastColumn="0" w:oddVBand="0" w:evenVBand="0" w:oddHBand="1" w:evenHBand="0" w:firstRowFirstColumn="0" w:firstRowLastColumn="0" w:lastRowFirstColumn="0" w:lastRowLastColumn="0"/>
            </w:pPr>
            <w:r>
              <w:t>Maintain centralized oversight of AI initiatives and risks. The objective is to have a governing body and processes that ensure AI deployments align with organizational strategy, manage risks, and remain in compliance over time. This keeps the AI adoption on track and trustworthy at scale.</w:t>
            </w:r>
          </w:p>
        </w:tc>
        <w:tc>
          <w:tcPr>
            <w:tcW w:w="0" w:type="auto"/>
            <w:vAlign w:val="center"/>
          </w:tcPr>
          <w:p w14:paraId="76355528" w14:textId="77777777" w:rsidR="00CD7EB3" w:rsidRDefault="00CD7EB3" w:rsidP="00D53893">
            <w:pPr>
              <w:jc w:val="both"/>
              <w:cnfStyle w:val="000000100000" w:firstRow="0" w:lastRow="0" w:firstColumn="0" w:lastColumn="0" w:oddVBand="0" w:evenVBand="0" w:oddHBand="1" w:evenHBand="0" w:firstRowFirstColumn="0" w:firstRowLastColumn="0" w:lastRowFirstColumn="0" w:lastRowLastColumn="0"/>
            </w:pPr>
            <w:r>
              <w:t xml:space="preserve">Set up an </w:t>
            </w:r>
            <w:r>
              <w:rPr>
                <w:b/>
                <w:bCs/>
              </w:rPr>
              <w:t>AI governance committee or steering group</w:t>
            </w:r>
            <w:r>
              <w:t xml:space="preserve"> with stakeholders from IT, security, compliance, HR, and business units. Define clear roles (e.g. AI owner, compliance officer, data custodian) and a RACI matrix for AI responsibilities. Develop formal procedures for AI use case approval, risk assessment, and monitoring: maintain an inventory of all AI systems and use cases, evaluate their risk level (using criteria from the AI Act’s risk categories), and require approval and documentation for higher-risk applications before deployment. Continuously monitor AI performance and adherence to policies (via audits, model performance reviews, feedback channels) and adjust governance measures as AI tools and regulations evolve.</w:t>
            </w:r>
          </w:p>
        </w:tc>
        <w:tc>
          <w:tcPr>
            <w:tcW w:w="0" w:type="auto"/>
            <w:vAlign w:val="center"/>
          </w:tcPr>
          <w:p w14:paraId="7710DF95" w14:textId="77777777" w:rsidR="00CD7EB3" w:rsidRDefault="00CD7EB3" w:rsidP="00D53893">
            <w:pPr>
              <w:jc w:val="both"/>
              <w:cnfStyle w:val="000000100000" w:firstRow="0" w:lastRow="0" w:firstColumn="0" w:lastColumn="0" w:oddVBand="0" w:evenVBand="0" w:oddHBand="1" w:evenHBand="0" w:firstRowFirstColumn="0" w:firstRowLastColumn="0" w:lastRowFirstColumn="0" w:lastRowLastColumn="0"/>
            </w:pPr>
            <w:r>
              <w:t xml:space="preserve">Demonstrate compliance and readiness </w:t>
            </w:r>
            <w:proofErr w:type="gramStart"/>
            <w:r>
              <w:t>to</w:t>
            </w:r>
            <w:proofErr w:type="gramEnd"/>
            <w:r>
              <w:t xml:space="preserve"> regulators and clients through a robust governance framework. By August 2026, the </w:t>
            </w:r>
            <w:r>
              <w:rPr>
                <w:b/>
                <w:bCs/>
              </w:rPr>
              <w:t>EU AI Act</w:t>
            </w:r>
            <w:r>
              <w:t xml:space="preserve"> will require organizations to have implemented AI risk management measures — including inventories of AI systems, risk classifications, documented policies and logging of AI decisions. Adopting an </w:t>
            </w:r>
            <w:r>
              <w:rPr>
                <w:b/>
                <w:bCs/>
              </w:rPr>
              <w:t>AI Management System</w:t>
            </w:r>
            <w:r>
              <w:t xml:space="preserve"> approach (akin to ISO/IEC 42001) helps meet these requirements by systematically aligning AI operations with legal and ethical mandates. Regular compliance audits (internal or external) should be conducted to ensure the AI program adheres to all relevant regulations (GDPR, AI Act, industry-specific rules) and to drive continuous improvement.</w:t>
            </w:r>
          </w:p>
        </w:tc>
      </w:tr>
    </w:tbl>
    <w:p w14:paraId="03FC0FA7" w14:textId="77777777" w:rsidR="00CD7EB3" w:rsidRDefault="00CD7EB3" w:rsidP="00CD7EB3">
      <w:r>
        <w:rPr>
          <w:b/>
          <w:bCs/>
        </w:rPr>
        <w:t>Key Principles in Practice:</w:t>
      </w:r>
      <w:r>
        <w:t xml:space="preserve"> This framework rests on several core principles that guide the successful integration of AI into the workforce:</w:t>
      </w:r>
    </w:p>
    <w:p w14:paraId="77F123A0" w14:textId="77777777" w:rsidR="00CD7EB3" w:rsidRDefault="00CD7EB3" w:rsidP="00D53893">
      <w:pPr>
        <w:pStyle w:val="ListParagraph"/>
        <w:numPr>
          <w:ilvl w:val="0"/>
          <w:numId w:val="18"/>
        </w:numPr>
        <w:spacing w:after="160" w:line="279" w:lineRule="auto"/>
        <w:jc w:val="both"/>
      </w:pPr>
      <w:r>
        <w:rPr>
          <w:b/>
          <w:bCs/>
        </w:rPr>
        <w:t>Human-Centered Adoption:</w:t>
      </w:r>
      <w:r>
        <w:t xml:space="preserve"> Keep employees at the center of AI initiatives. Every AI deployment should </w:t>
      </w:r>
      <w:r>
        <w:rPr>
          <w:b/>
          <w:bCs/>
        </w:rPr>
        <w:t>empower and assist workers, not displace them</w:t>
      </w:r>
      <w:r>
        <w:t xml:space="preserve">. Emphasize that AI (like Copilot) is a tool to reduce drudgery and enhance human creativity, so staff see it as a benefit. </w:t>
      </w:r>
      <w:r>
        <w:rPr>
          <w:b/>
          <w:bCs/>
        </w:rPr>
        <w:t>Human oversight</w:t>
      </w:r>
      <w:r>
        <w:t xml:space="preserve"> is mandatory – employees are encouraged to review AI outputs and use their judgment, ensuring final decisions stay with </w:t>
      </w:r>
      <w:r>
        <w:lastRenderedPageBreak/>
        <w:t>people. This principle builds trust and acceptance, making AI a welcome part of daily work rather than a source of fear.</w:t>
      </w:r>
    </w:p>
    <w:p w14:paraId="78F0A689" w14:textId="77777777" w:rsidR="00CD7EB3" w:rsidRDefault="00CD7EB3" w:rsidP="00D53893">
      <w:pPr>
        <w:pStyle w:val="ListParagraph"/>
        <w:numPr>
          <w:ilvl w:val="0"/>
          <w:numId w:val="18"/>
        </w:numPr>
        <w:spacing w:after="160" w:line="279" w:lineRule="auto"/>
        <w:jc w:val="both"/>
      </w:pPr>
      <w:r>
        <w:rPr>
          <w:b/>
          <w:bCs/>
        </w:rPr>
        <w:t>Continuous Learning &amp; Upskilling:</w:t>
      </w:r>
      <w:r>
        <w:t xml:space="preserve"> Treat AI workforce enablement as an ongoing journey. Provide training and resources so that all team members become comfortable with AI tools and improve their digital skills over time. From basic AI orientation for every employee to advanced training for specialists, investing in people’s skills is critical. </w:t>
      </w:r>
      <w:r>
        <w:rPr>
          <w:b/>
          <w:bCs/>
        </w:rPr>
        <w:t>Change management</w:t>
      </w:r>
      <w:r>
        <w:t xml:space="preserve"> efforts – clear communication, feedback loops, and celebrating quick wins – will help overcome hesitancy and create a culture of innovation. With proper support, employees are more likely to experiment with AI capabilities and discover new ways to be productive, driving sustained ROI from AI investments.</w:t>
      </w:r>
    </w:p>
    <w:p w14:paraId="4331C7E3" w14:textId="77777777" w:rsidR="00CD7EB3" w:rsidRDefault="00CD7EB3" w:rsidP="00D53893">
      <w:pPr>
        <w:pStyle w:val="ListParagraph"/>
        <w:numPr>
          <w:ilvl w:val="0"/>
          <w:numId w:val="18"/>
        </w:numPr>
        <w:spacing w:after="160" w:line="279" w:lineRule="auto"/>
        <w:jc w:val="both"/>
      </w:pPr>
      <w:r>
        <w:rPr>
          <w:b/>
          <w:bCs/>
        </w:rPr>
        <w:t>Responsible &amp; Ethical AI by Design:</w:t>
      </w:r>
      <w:r>
        <w:t xml:space="preserve"> Build and deploy AI solutions with ethics in mind from the start, rather than retrofitting ethics later. Microsoft’s Responsible AI principles (fairness, transparency, etc.) should be baked into how AI is used in Microsoft 365. Practically, this means setting rules on acceptable uses of AI (e.g. no use of AI for monitoring individuals in a way that violates privacy or rights</w:t>
      </w:r>
      <w:proofErr w:type="gramStart"/>
      <w:r>
        <w:t>), and</w:t>
      </w:r>
      <w:proofErr w:type="gramEnd"/>
      <w:r>
        <w:t xml:space="preserve"> implementing technical measures like bias checks and content filters. An </w:t>
      </w:r>
      <w:r>
        <w:rPr>
          <w:b/>
          <w:bCs/>
        </w:rPr>
        <w:t>ethical review process</w:t>
      </w:r>
      <w:r>
        <w:t xml:space="preserve"> for new AI use cases (potentially via an AI ethics committee) can catch and address issues early. This proactive stance not only prevents harm but also ensures compliance with emerging AI regulations that demand risk and bias mitigation.</w:t>
      </w:r>
    </w:p>
    <w:p w14:paraId="67CE1B84" w14:textId="77777777" w:rsidR="00CD7EB3" w:rsidRDefault="00CD7EB3" w:rsidP="00D53893">
      <w:pPr>
        <w:pStyle w:val="ListParagraph"/>
        <w:numPr>
          <w:ilvl w:val="0"/>
          <w:numId w:val="18"/>
        </w:numPr>
        <w:spacing w:after="160" w:line="279" w:lineRule="auto"/>
        <w:jc w:val="both"/>
      </w:pPr>
      <w:r>
        <w:rPr>
          <w:b/>
          <w:bCs/>
        </w:rPr>
        <w:t>Data Privacy &amp; Quality Assurance:</w:t>
      </w:r>
      <w:r>
        <w:t xml:space="preserve"> AI is only as reliable as the data it learns from and accesses. Safeguard privacy by keeping AI within approved data boundaries – for example, using Microsoft’s enterprise-grade AI which </w:t>
      </w:r>
      <w:r>
        <w:rPr>
          <w:b/>
          <w:bCs/>
        </w:rPr>
        <w:t>keeps organizational data insulated</w:t>
      </w:r>
      <w:r>
        <w:t xml:space="preserve"> and does not commingle it with public data. Enforce data governance policies so that any data fed to or produced by AI is handled according to its sensitivity (applying sensitivity labels, encryption, etc.). Equally important, maintain high data quality: outdated or incorrect data can lead AI to generate misleading results. Regular data audits and cleansing (removing stale or erroneous information that AI might use) are part of this principle. Through strong privacy and data management, the organization meets GDPR obligations and preserves trust as AI is rolled out.</w:t>
      </w:r>
    </w:p>
    <w:p w14:paraId="69027ECD" w14:textId="77777777" w:rsidR="00CD7EB3" w:rsidRDefault="00CD7EB3" w:rsidP="00D53893">
      <w:pPr>
        <w:pStyle w:val="ListParagraph"/>
        <w:numPr>
          <w:ilvl w:val="0"/>
          <w:numId w:val="18"/>
        </w:numPr>
        <w:spacing w:after="160" w:line="279" w:lineRule="auto"/>
        <w:jc w:val="both"/>
      </w:pPr>
      <w:r>
        <w:rPr>
          <w:b/>
          <w:bCs/>
        </w:rPr>
        <w:t>Robust Governance &amp; Compliance Oversight:</w:t>
      </w:r>
      <w:r>
        <w:t xml:space="preserve"> Steer AI adoption with clear governance structures and a continuous improvement mindset. This principle calls for defined leadership and accountability for AI (who owns AI strategy, who is accountable for compliance), as well as cross-functional collaboration. </w:t>
      </w:r>
      <w:r>
        <w:rPr>
          <w:b/>
          <w:bCs/>
        </w:rPr>
        <w:t>Policies and procedures</w:t>
      </w:r>
      <w:r>
        <w:t xml:space="preserve"> should evolve with the AI landscape – what works today might need updating next year as AI tools advance or new laws take effect. Having a formal governance framework (aligned to standards like ISO/IEC 42001) ensures that the AI program is auditable, transparent, and responsive to risks. It also signals to regulators and customers that the organization is serious about responsible AI. Regular reviews, risk assessments, and updates to the framework will keep the AI workforce strategy on course and legally compliant in all jurisdictions.</w:t>
      </w:r>
    </w:p>
    <w:p w14:paraId="1FC7753C" w14:textId="77777777" w:rsidR="00CD7EB3" w:rsidRDefault="00CD7EB3" w:rsidP="00D53893">
      <w:pPr>
        <w:jc w:val="both"/>
      </w:pPr>
      <w:r>
        <w:rPr>
          <w:b/>
          <w:bCs/>
        </w:rPr>
        <w:t>Executive Focus:</w:t>
      </w:r>
      <w:r>
        <w:t xml:space="preserve"> By championing the above framework, leadership can </w:t>
      </w:r>
      <w:r>
        <w:rPr>
          <w:b/>
          <w:bCs/>
        </w:rPr>
        <w:t>harness AI’s transformative benefits while maintaining control and trust</w:t>
      </w:r>
      <w:r>
        <w:t xml:space="preserve">. This strategic approach ensures AI-driven productivity gains do not come at the expense of ethics, privacy, or compliance. It provides a common blueprint for partners and resellers to guide organizations worldwide in evolving their workforce with AI – </w:t>
      </w:r>
      <w:r>
        <w:rPr>
          <w:b/>
          <w:bCs/>
        </w:rPr>
        <w:t>maximizing innovation and efficiency, underpinned by robust governance</w:t>
      </w:r>
      <w:r>
        <w:t>. In essence, the enterprise cultivates an AI-augmented workforce that is not only more capable and efficient, but also aligned with responsible principles and human values, securing long-term competitive advantage.</w:t>
      </w:r>
    </w:p>
    <w:p w14:paraId="10AB84BC" w14:textId="1F0FDD97" w:rsidR="00056D02" w:rsidRDefault="00056D02" w:rsidP="00145FAD"/>
    <w:bookmarkEnd w:id="8"/>
    <w:bookmarkEnd w:id="7"/>
    <w:bookmarkEnd w:id="6"/>
    <w:bookmarkEnd w:id="5"/>
    <w:bookmarkEnd w:id="4"/>
    <w:bookmarkEnd w:id="3"/>
    <w:bookmarkEnd w:id="2"/>
    <w:bookmarkEnd w:id="1"/>
    <w:bookmarkEnd w:id="0"/>
    <w:p w14:paraId="3EB4B3A9" w14:textId="355D3103" w:rsidR="00056D02" w:rsidRDefault="00056D02" w:rsidP="00145FAD"/>
    <w:sectPr w:rsidR="00056D02" w:rsidSect="00EE03B4">
      <w:headerReference w:type="default" r:id="rId11"/>
      <w:footerReference w:type="even" r:id="rId12"/>
      <w:footerReference w:type="default" r:id="rId13"/>
      <w:footerReference w:type="first" r:id="rId14"/>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9D4876" w14:textId="77777777" w:rsidR="00C07BDB" w:rsidRDefault="00C07BDB" w:rsidP="00EE03B4">
      <w:pPr>
        <w:spacing w:after="0" w:line="240" w:lineRule="auto"/>
      </w:pPr>
      <w:r>
        <w:separator/>
      </w:r>
    </w:p>
  </w:endnote>
  <w:endnote w:type="continuationSeparator" w:id="0">
    <w:p w14:paraId="7890D2E2" w14:textId="77777777" w:rsidR="00C07BDB" w:rsidRDefault="00C07BDB" w:rsidP="00EE03B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rebuchet MS">
    <w:panose1 w:val="020B0603020202020204"/>
    <w:charset w:val="00"/>
    <w:family w:val="swiss"/>
    <w:pitch w:val="variable"/>
    <w:sig w:usb0="00000687" w:usb1="00000000" w:usb2="00000000" w:usb3="00000000" w:csb0="0000009F" w:csb1="00000000"/>
  </w:font>
  <w:font w:name="Segoe Light">
    <w:altName w:val="Segoe UI"/>
    <w:charset w:val="00"/>
    <w:family w:val="swiss"/>
    <w:pitch w:val="variable"/>
    <w:sig w:usb0="00000001" w:usb1="4000205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EC9DE1" w14:textId="601D7625" w:rsidR="00A85AEE" w:rsidRDefault="00A85AEE">
    <w:pPr>
      <w:pStyle w:val="Footer"/>
    </w:pPr>
    <w:r>
      <w:rPr>
        <w:noProof/>
      </w:rPr>
      <mc:AlternateContent>
        <mc:Choice Requires="wps">
          <w:drawing>
            <wp:anchor distT="0" distB="0" distL="0" distR="0" simplePos="0" relativeHeight="251660288" behindDoc="0" locked="0" layoutInCell="1" allowOverlap="1" wp14:anchorId="654A51BD" wp14:editId="596EF212">
              <wp:simplePos x="635" y="635"/>
              <wp:positionH relativeFrom="page">
                <wp:align>left</wp:align>
              </wp:positionH>
              <wp:positionV relativeFrom="page">
                <wp:align>bottom</wp:align>
              </wp:positionV>
              <wp:extent cx="1946910" cy="361315"/>
              <wp:effectExtent l="0" t="0" r="15240" b="0"/>
              <wp:wrapNone/>
              <wp:docPr id="942435979" name="Text Box 4" descr="Information Classification: Public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946910" cy="361315"/>
                      </a:xfrm>
                      <a:prstGeom prst="rect">
                        <a:avLst/>
                      </a:prstGeom>
                      <a:noFill/>
                      <a:ln>
                        <a:noFill/>
                      </a:ln>
                    </wps:spPr>
                    <wps:txbx>
                      <w:txbxContent>
                        <w:p w14:paraId="2611434B" w14:textId="7F4F5282" w:rsidR="00A85AEE" w:rsidRPr="00A85AEE" w:rsidRDefault="00A85AEE" w:rsidP="00A85AEE">
                          <w:pPr>
                            <w:spacing w:after="0"/>
                            <w:rPr>
                              <w:rFonts w:ascii="Calibri" w:eastAsia="Calibri" w:hAnsi="Calibri" w:cs="Calibri"/>
                              <w:noProof/>
                              <w:color w:val="000000"/>
                            </w:rPr>
                          </w:pPr>
                          <w:r w:rsidRPr="00A85AEE">
                            <w:rPr>
                              <w:rFonts w:ascii="Calibri" w:eastAsia="Calibri" w:hAnsi="Calibri" w:cs="Calibri"/>
                              <w:noProof/>
                              <w:color w:val="000000"/>
                            </w:rPr>
                            <w:t xml:space="preserve">Information Classification: Public </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654A51BD" id="_x0000_t202" coordsize="21600,21600" o:spt="202" path="m,l,21600r21600,l21600,xe">
              <v:stroke joinstyle="miter"/>
              <v:path gradientshapeok="t" o:connecttype="rect"/>
            </v:shapetype>
            <v:shape id="Text Box 4" o:spid="_x0000_s1026" type="#_x0000_t202" alt="Information Classification: Public " style="position:absolute;margin-left:0;margin-top:0;width:153.3pt;height:28.45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" filled="f" stroked="f">
              <v:textbox style="mso-fit-shape-to-text:t" inset="20pt,0,0,15pt">
                <w:txbxContent>
                  <w:p w14:paraId="2611434B" w14:textId="7F4F5282" w:rsidR="00A85AEE" w:rsidRPr="00A85AEE" w:rsidRDefault="00A85AEE" w:rsidP="00A85AEE">
                    <w:pPr>
                      <w:spacing w:after="0"/>
                      <w:rPr>
                        <w:rFonts w:ascii="Calibri" w:eastAsia="Calibri" w:hAnsi="Calibri" w:cs="Calibri"/>
                        <w:noProof/>
                        <w:color w:val="000000"/>
                      </w:rPr>
                    </w:pPr>
                    <w:r w:rsidRPr="00A85AEE">
                      <w:rPr>
                        <w:rFonts w:ascii="Calibri" w:eastAsia="Calibri" w:hAnsi="Calibri" w:cs="Calibri"/>
                        <w:noProof/>
                        <w:color w:val="000000"/>
                      </w:rPr>
                      <w:t xml:space="preserve">Information Classification: Public </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9DFB52" w14:textId="716B4993" w:rsidR="004A7203" w:rsidRDefault="00A85AEE">
    <w:pPr>
      <w:pStyle w:val="Footer"/>
      <w:jc w:val="center"/>
    </w:pPr>
    <w:r>
      <w:rPr>
        <w:noProof/>
      </w:rPr>
      <mc:AlternateContent>
        <mc:Choice Requires="wps">
          <w:drawing>
            <wp:anchor distT="0" distB="0" distL="0" distR="0" simplePos="0" relativeHeight="251661312" behindDoc="0" locked="0" layoutInCell="1" allowOverlap="1" wp14:anchorId="3BF28004" wp14:editId="6865DB00">
              <wp:simplePos x="915035" y="9291955"/>
              <wp:positionH relativeFrom="page">
                <wp:align>left</wp:align>
              </wp:positionH>
              <wp:positionV relativeFrom="page">
                <wp:align>bottom</wp:align>
              </wp:positionV>
              <wp:extent cx="1946910" cy="361315"/>
              <wp:effectExtent l="0" t="0" r="15240" b="0"/>
              <wp:wrapNone/>
              <wp:docPr id="2020843777" name="Text Box 5" descr="Information Classification: Public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946910" cy="361315"/>
                      </a:xfrm>
                      <a:prstGeom prst="rect">
                        <a:avLst/>
                      </a:prstGeom>
                      <a:noFill/>
                      <a:ln>
                        <a:noFill/>
                      </a:ln>
                    </wps:spPr>
                    <wps:txbx>
                      <w:txbxContent>
                        <w:p w14:paraId="6BB5DA73" w14:textId="3A8A7074" w:rsidR="00A85AEE" w:rsidRPr="00A85AEE" w:rsidRDefault="00A85AEE" w:rsidP="00A85AEE">
                          <w:pPr>
                            <w:spacing w:after="0"/>
                            <w:rPr>
                              <w:rFonts w:ascii="Calibri" w:eastAsia="Calibri" w:hAnsi="Calibri" w:cs="Calibri"/>
                              <w:noProof/>
                              <w:color w:val="000000"/>
                            </w:rPr>
                          </w:pPr>
                          <w:r w:rsidRPr="00A85AEE">
                            <w:rPr>
                              <w:rFonts w:ascii="Calibri" w:eastAsia="Calibri" w:hAnsi="Calibri" w:cs="Calibri"/>
                              <w:noProof/>
                              <w:color w:val="000000"/>
                            </w:rPr>
                            <w:t xml:space="preserve">Information Classification: Public </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3BF28004" id="_x0000_t202" coordsize="21600,21600" o:spt="202" path="m,l,21600r21600,l21600,xe">
              <v:stroke joinstyle="miter"/>
              <v:path gradientshapeok="t" o:connecttype="rect"/>
            </v:shapetype>
            <v:shape id="Text Box 5" o:spid="_x0000_s1027" type="#_x0000_t202" alt="Information Classification: Public " style="position:absolute;left:0;text-align:left;margin-left:0;margin-top:0;width:153.3pt;height:28.45pt;z-index:251661312;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" filled="f" stroked="f">
              <v:textbox style="mso-fit-shape-to-text:t" inset="20pt,0,0,15pt">
                <w:txbxContent>
                  <w:p w14:paraId="6BB5DA73" w14:textId="3A8A7074" w:rsidR="00A85AEE" w:rsidRPr="00A85AEE" w:rsidRDefault="00A85AEE" w:rsidP="00A85AEE">
                    <w:pPr>
                      <w:spacing w:after="0"/>
                      <w:rPr>
                        <w:rFonts w:ascii="Calibri" w:eastAsia="Calibri" w:hAnsi="Calibri" w:cs="Calibri"/>
                        <w:noProof/>
                        <w:color w:val="000000"/>
                      </w:rPr>
                    </w:pPr>
                    <w:r w:rsidRPr="00A85AEE">
                      <w:rPr>
                        <w:rFonts w:ascii="Calibri" w:eastAsia="Calibri" w:hAnsi="Calibri" w:cs="Calibri"/>
                        <w:noProof/>
                        <w:color w:val="000000"/>
                      </w:rPr>
                      <w:t xml:space="preserve">Information Classification: Public </w:t>
                    </w:r>
                  </w:p>
                </w:txbxContent>
              </v:textbox>
              <w10:wrap anchorx="page" anchory="page"/>
            </v:shape>
          </w:pict>
        </mc:Fallback>
      </mc:AlternateContent>
    </w:r>
  </w:p>
  <w:p w14:paraId="62BF571F" w14:textId="77777777" w:rsidR="004A7203" w:rsidRDefault="004A720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0ADBE6" w14:textId="3A0816B5" w:rsidR="00A85AEE" w:rsidRDefault="00A85AEE">
    <w:pPr>
      <w:pStyle w:val="Footer"/>
    </w:pPr>
    <w:r>
      <w:rPr>
        <w:noProof/>
      </w:rPr>
      <mc:AlternateContent>
        <mc:Choice Requires="wps">
          <w:drawing>
            <wp:anchor distT="0" distB="0" distL="0" distR="0" simplePos="0" relativeHeight="251659264" behindDoc="0" locked="0" layoutInCell="1" allowOverlap="1" wp14:anchorId="635BF98A" wp14:editId="0ED82A58">
              <wp:simplePos x="914400" y="9448800"/>
              <wp:positionH relativeFrom="page">
                <wp:align>left</wp:align>
              </wp:positionH>
              <wp:positionV relativeFrom="page">
                <wp:align>bottom</wp:align>
              </wp:positionV>
              <wp:extent cx="1946910" cy="361315"/>
              <wp:effectExtent l="0" t="0" r="15240" b="0"/>
              <wp:wrapNone/>
              <wp:docPr id="1175924996" name="Text Box 3" descr="Information Classification: Public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946910" cy="361315"/>
                      </a:xfrm>
                      <a:prstGeom prst="rect">
                        <a:avLst/>
                      </a:prstGeom>
                      <a:noFill/>
                      <a:ln>
                        <a:noFill/>
                      </a:ln>
                    </wps:spPr>
                    <wps:txbx>
                      <w:txbxContent>
                        <w:p w14:paraId="286FF6D8" w14:textId="6A5D7962" w:rsidR="00A85AEE" w:rsidRPr="00A85AEE" w:rsidRDefault="00A85AEE" w:rsidP="00A85AEE">
                          <w:pPr>
                            <w:spacing w:after="0"/>
                            <w:rPr>
                              <w:rFonts w:ascii="Calibri" w:eastAsia="Calibri" w:hAnsi="Calibri" w:cs="Calibri"/>
                              <w:noProof/>
                              <w:color w:val="000000"/>
                            </w:rPr>
                          </w:pPr>
                          <w:r w:rsidRPr="00A85AEE">
                            <w:rPr>
                              <w:rFonts w:ascii="Calibri" w:eastAsia="Calibri" w:hAnsi="Calibri" w:cs="Calibri"/>
                              <w:noProof/>
                              <w:color w:val="000000"/>
                            </w:rPr>
                            <w:t xml:space="preserve">Information Classification: Public </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635BF98A" id="_x0000_t202" coordsize="21600,21600" o:spt="202" path="m,l,21600r21600,l21600,xe">
              <v:stroke joinstyle="miter"/>
              <v:path gradientshapeok="t" o:connecttype="rect"/>
            </v:shapetype>
            <v:shape id="Text Box 3" o:spid="_x0000_s1028" type="#_x0000_t202" alt="Information Classification: Public " style="position:absolute;margin-left:0;margin-top:0;width:153.3pt;height:28.45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" filled="f" stroked="f">
              <v:textbox style="mso-fit-shape-to-text:t" inset="20pt,0,0,15pt">
                <w:txbxContent>
                  <w:p w14:paraId="286FF6D8" w14:textId="6A5D7962" w:rsidR="00A85AEE" w:rsidRPr="00A85AEE" w:rsidRDefault="00A85AEE" w:rsidP="00A85AEE">
                    <w:pPr>
                      <w:spacing w:after="0"/>
                      <w:rPr>
                        <w:rFonts w:ascii="Calibri" w:eastAsia="Calibri" w:hAnsi="Calibri" w:cs="Calibri"/>
                        <w:noProof/>
                        <w:color w:val="000000"/>
                      </w:rPr>
                    </w:pPr>
                    <w:r w:rsidRPr="00A85AEE">
                      <w:rPr>
                        <w:rFonts w:ascii="Calibri" w:eastAsia="Calibri" w:hAnsi="Calibri" w:cs="Calibri"/>
                        <w:noProof/>
                        <w:color w:val="000000"/>
                      </w:rPr>
                      <w:t xml:space="preserve">Information Classification: Public </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72B35E" w14:textId="77777777" w:rsidR="00C07BDB" w:rsidRDefault="00C07BDB" w:rsidP="00EE03B4">
      <w:pPr>
        <w:spacing w:after="0" w:line="240" w:lineRule="auto"/>
      </w:pPr>
      <w:r>
        <w:separator/>
      </w:r>
    </w:p>
  </w:footnote>
  <w:footnote w:type="continuationSeparator" w:id="0">
    <w:p w14:paraId="6CA80E33" w14:textId="77777777" w:rsidR="00C07BDB" w:rsidRDefault="00C07BDB" w:rsidP="00EE03B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916FC8" w14:textId="1C176DA1" w:rsidR="004A7203" w:rsidRPr="00C82620" w:rsidRDefault="00AF0FBB" w:rsidP="00DE6D2C">
    <w:pPr>
      <w:pStyle w:val="Header"/>
      <w:rPr>
        <w:sz w:val="16"/>
        <w:szCs w:val="16"/>
      </w:rPr>
    </w:pPr>
    <w:r>
      <w:rPr>
        <w:noProof/>
        <w:color w:val="1F497D"/>
      </w:rPr>
      <w:drawing>
        <wp:anchor distT="0" distB="0" distL="114300" distR="114300" simplePos="0" relativeHeight="251658240" behindDoc="0" locked="0" layoutInCell="1" allowOverlap="1" wp14:anchorId="22415CB5" wp14:editId="00222BBF">
          <wp:simplePos x="0" y="0"/>
          <wp:positionH relativeFrom="margin">
            <wp:align>right</wp:align>
          </wp:positionH>
          <wp:positionV relativeFrom="paragraph">
            <wp:posOffset>-123825</wp:posOffset>
          </wp:positionV>
          <wp:extent cx="1476375" cy="428625"/>
          <wp:effectExtent l="0" t="0" r="9525" b="9525"/>
          <wp:wrapThrough wrapText="bothSides">
            <wp:wrapPolygon edited="0">
              <wp:start x="0" y="0"/>
              <wp:lineTo x="0" y="21120"/>
              <wp:lineTo x="21461" y="21120"/>
              <wp:lineTo x="21461" y="0"/>
              <wp:lineTo x="0" y="0"/>
            </wp:wrapPolygon>
          </wp:wrapThrough>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476375" cy="428625"/>
                  </a:xfrm>
                  <a:prstGeom prst="rect">
                    <a:avLst/>
                  </a:prstGeom>
                  <a:noFill/>
                  <a:ln>
                    <a:noFill/>
                  </a:ln>
                </pic:spPr>
              </pic:pic>
            </a:graphicData>
          </a:graphic>
        </wp:anchor>
      </w:drawing>
    </w:r>
    <w:r w:rsidR="004A7203">
      <w:rPr>
        <w:sz w:val="16"/>
        <w:szCs w:val="16"/>
      </w:rPr>
      <w:tab/>
    </w:r>
    <w:r w:rsidR="004A7203">
      <w:rPr>
        <w:sz w:val="16"/>
        <w:szCs w:val="16"/>
      </w:rPr>
      <w:tab/>
    </w:r>
    <w:r w:rsidR="004A7203">
      <w:rPr>
        <w:sz w:val="16"/>
        <w:szCs w:val="16"/>
      </w:rPr>
      <w:tab/>
    </w:r>
  </w:p>
  <w:p w14:paraId="467A41AB" w14:textId="77777777" w:rsidR="004A7203" w:rsidRDefault="004A7203">
    <w:pPr>
      <w:pStyle w:val="Header"/>
    </w:pPr>
  </w:p>
  <w:p w14:paraId="5B361A2E" w14:textId="77777777" w:rsidR="004A7203" w:rsidRDefault="004A720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01EE0"/>
    <w:multiLevelType w:val="hybridMultilevel"/>
    <w:tmpl w:val="646C18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FC384F"/>
    <w:multiLevelType w:val="hybridMultilevel"/>
    <w:tmpl w:val="BB88ECB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4A83DB8"/>
    <w:multiLevelType w:val="hybridMultilevel"/>
    <w:tmpl w:val="B4A22F18"/>
    <w:lvl w:ilvl="0" w:tplc="4C090001">
      <w:start w:val="1"/>
      <w:numFmt w:val="bullet"/>
      <w:lvlText w:val=""/>
      <w:lvlJc w:val="left"/>
      <w:pPr>
        <w:ind w:left="720" w:hanging="360"/>
      </w:pPr>
      <w:rPr>
        <w:rFonts w:ascii="Symbol" w:hAnsi="Symbol" w:hint="default"/>
      </w:rPr>
    </w:lvl>
    <w:lvl w:ilvl="1" w:tplc="4C090003">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3" w15:restartNumberingAfterBreak="0">
    <w:nsid w:val="0CFC4490"/>
    <w:multiLevelType w:val="hybridMultilevel"/>
    <w:tmpl w:val="19E2611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0DBC0EF1"/>
    <w:multiLevelType w:val="hybridMultilevel"/>
    <w:tmpl w:val="DA5C9E5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10F07E3A"/>
    <w:multiLevelType w:val="hybridMultilevel"/>
    <w:tmpl w:val="A8C8704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210022B4"/>
    <w:multiLevelType w:val="hybridMultilevel"/>
    <w:tmpl w:val="3456357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24B61F39"/>
    <w:multiLevelType w:val="hybridMultilevel"/>
    <w:tmpl w:val="1D942D04"/>
    <w:lvl w:ilvl="0" w:tplc="4F409ACC">
      <w:start w:val="1"/>
      <w:numFmt w:val="bullet"/>
      <w:lvlText w:val="o"/>
      <w:lvlJc w:val="left"/>
      <w:pPr>
        <w:ind w:left="108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1" w:tplc="3034BAF8">
      <w:start w:val="1"/>
      <w:numFmt w:val="bullet"/>
      <w:lvlText w:val=""/>
      <w:lvlJc w:val="left"/>
      <w:pPr>
        <w:ind w:left="1785"/>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2" w:tplc="5B042F80">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C360B2C6">
      <w:start w:val="1"/>
      <w:numFmt w:val="bullet"/>
      <w:lvlText w:val="•"/>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F042D7DC">
      <w:start w:val="1"/>
      <w:numFmt w:val="bullet"/>
      <w:lvlText w:val="o"/>
      <w:lvlJc w:val="left"/>
      <w:pPr>
        <w:ind w:left="39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9614015E">
      <w:start w:val="1"/>
      <w:numFmt w:val="bullet"/>
      <w:lvlText w:val="▪"/>
      <w:lvlJc w:val="left"/>
      <w:pPr>
        <w:ind w:left="46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C56081A6">
      <w:start w:val="1"/>
      <w:numFmt w:val="bullet"/>
      <w:lvlText w:val="•"/>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4E1E445A">
      <w:start w:val="1"/>
      <w:numFmt w:val="bullet"/>
      <w:lvlText w:val="o"/>
      <w:lvlJc w:val="left"/>
      <w:pPr>
        <w:ind w:left="61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904C5E84">
      <w:start w:val="1"/>
      <w:numFmt w:val="bullet"/>
      <w:lvlText w:val="▪"/>
      <w:lvlJc w:val="left"/>
      <w:pPr>
        <w:ind w:left="68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259749BA"/>
    <w:multiLevelType w:val="hybridMultilevel"/>
    <w:tmpl w:val="4788A3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25B14A7"/>
    <w:multiLevelType w:val="hybridMultilevel"/>
    <w:tmpl w:val="157EF6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96A0C27"/>
    <w:multiLevelType w:val="hybridMultilevel"/>
    <w:tmpl w:val="FFFFFFFF"/>
    <w:lvl w:ilvl="0" w:tplc="794AB1C6">
      <w:start w:val="1"/>
      <w:numFmt w:val="bullet"/>
      <w:lvlText w:val=""/>
      <w:lvlJc w:val="left"/>
      <w:pPr>
        <w:ind w:left="720" w:hanging="360"/>
      </w:pPr>
      <w:rPr>
        <w:rFonts w:ascii="Symbol" w:eastAsia="Symbol" w:hAnsi="Symbol" w:cs="Symbol"/>
      </w:rPr>
    </w:lvl>
    <w:lvl w:ilvl="1" w:tplc="94DAE312">
      <w:start w:val="1"/>
      <w:numFmt w:val="bullet"/>
      <w:lvlText w:val="o"/>
      <w:lvlJc w:val="left"/>
      <w:pPr>
        <w:ind w:left="1440" w:hanging="360"/>
      </w:pPr>
      <w:rPr>
        <w:rFonts w:ascii="Courier New" w:eastAsia="Courier New" w:hAnsi="Courier New" w:cs="Courier New"/>
      </w:rPr>
    </w:lvl>
    <w:lvl w:ilvl="2" w:tplc="E2243A10">
      <w:start w:val="1"/>
      <w:numFmt w:val="bullet"/>
      <w:lvlText w:val=""/>
      <w:lvlJc w:val="left"/>
      <w:pPr>
        <w:ind w:left="2160" w:hanging="360"/>
      </w:pPr>
      <w:rPr>
        <w:rFonts w:ascii="Wingdings" w:eastAsia="Wingdings" w:hAnsi="Wingdings" w:cs="Wingdings"/>
      </w:rPr>
    </w:lvl>
    <w:lvl w:ilvl="3" w:tplc="E56842BA">
      <w:start w:val="1"/>
      <w:numFmt w:val="bullet"/>
      <w:lvlText w:val=""/>
      <w:lvlJc w:val="left"/>
      <w:pPr>
        <w:ind w:left="2880" w:hanging="360"/>
      </w:pPr>
      <w:rPr>
        <w:rFonts w:ascii="Symbol" w:eastAsia="Symbol" w:hAnsi="Symbol" w:cs="Symbol"/>
      </w:rPr>
    </w:lvl>
    <w:lvl w:ilvl="4" w:tplc="4CCEFAF8">
      <w:start w:val="1"/>
      <w:numFmt w:val="bullet"/>
      <w:lvlText w:val="o"/>
      <w:lvlJc w:val="left"/>
      <w:pPr>
        <w:ind w:left="3600" w:hanging="360"/>
      </w:pPr>
      <w:rPr>
        <w:rFonts w:ascii="Courier New" w:eastAsia="Courier New" w:hAnsi="Courier New" w:cs="Courier New"/>
      </w:rPr>
    </w:lvl>
    <w:lvl w:ilvl="5" w:tplc="81866E7C">
      <w:start w:val="1"/>
      <w:numFmt w:val="bullet"/>
      <w:lvlText w:val=""/>
      <w:lvlJc w:val="left"/>
      <w:pPr>
        <w:ind w:left="4320" w:hanging="360"/>
      </w:pPr>
      <w:rPr>
        <w:rFonts w:ascii="Wingdings" w:eastAsia="Wingdings" w:hAnsi="Wingdings" w:cs="Wingdings"/>
      </w:rPr>
    </w:lvl>
    <w:lvl w:ilvl="6" w:tplc="0F1ACFE0">
      <w:start w:val="1"/>
      <w:numFmt w:val="bullet"/>
      <w:lvlText w:val=""/>
      <w:lvlJc w:val="left"/>
      <w:pPr>
        <w:ind w:left="5040" w:hanging="360"/>
      </w:pPr>
      <w:rPr>
        <w:rFonts w:ascii="Symbol" w:eastAsia="Symbol" w:hAnsi="Symbol" w:cs="Symbol"/>
      </w:rPr>
    </w:lvl>
    <w:lvl w:ilvl="7" w:tplc="4A064EE0">
      <w:start w:val="1"/>
      <w:numFmt w:val="bullet"/>
      <w:lvlText w:val="o"/>
      <w:lvlJc w:val="left"/>
      <w:pPr>
        <w:ind w:left="5760" w:hanging="360"/>
      </w:pPr>
      <w:rPr>
        <w:rFonts w:ascii="Courier New" w:eastAsia="Courier New" w:hAnsi="Courier New" w:cs="Courier New"/>
      </w:rPr>
    </w:lvl>
    <w:lvl w:ilvl="8" w:tplc="379A644E">
      <w:start w:val="1"/>
      <w:numFmt w:val="bullet"/>
      <w:lvlText w:val=""/>
      <w:lvlJc w:val="left"/>
      <w:pPr>
        <w:ind w:left="6480" w:hanging="360"/>
      </w:pPr>
      <w:rPr>
        <w:rFonts w:ascii="Wingdings" w:eastAsia="Wingdings" w:hAnsi="Wingdings" w:cs="Wingdings"/>
      </w:rPr>
    </w:lvl>
  </w:abstractNum>
  <w:abstractNum w:abstractNumId="11" w15:restartNumberingAfterBreak="0">
    <w:nsid w:val="41B7427B"/>
    <w:multiLevelType w:val="hybridMultilevel"/>
    <w:tmpl w:val="49EEAB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0D53930"/>
    <w:multiLevelType w:val="hybridMultilevel"/>
    <w:tmpl w:val="675836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B6034B2"/>
    <w:multiLevelType w:val="hybridMultilevel"/>
    <w:tmpl w:val="9E604E44"/>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4" w15:restartNumberingAfterBreak="0">
    <w:nsid w:val="5DA12DD6"/>
    <w:multiLevelType w:val="hybridMultilevel"/>
    <w:tmpl w:val="61F2EC8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66E938EE"/>
    <w:multiLevelType w:val="hybridMultilevel"/>
    <w:tmpl w:val="846821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95E6B81"/>
    <w:multiLevelType w:val="hybridMultilevel"/>
    <w:tmpl w:val="245EAB4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D6A11A5"/>
    <w:multiLevelType w:val="hybridMultilevel"/>
    <w:tmpl w:val="4B40650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015812255">
    <w:abstractNumId w:val="7"/>
  </w:num>
  <w:num w:numId="2" w16cid:durableId="2099013664">
    <w:abstractNumId w:val="2"/>
  </w:num>
  <w:num w:numId="3" w16cid:durableId="1065109355">
    <w:abstractNumId w:val="16"/>
  </w:num>
  <w:num w:numId="4" w16cid:durableId="1017729909">
    <w:abstractNumId w:val="0"/>
  </w:num>
  <w:num w:numId="5" w16cid:durableId="1937982636">
    <w:abstractNumId w:val="9"/>
  </w:num>
  <w:num w:numId="6" w16cid:durableId="444274264">
    <w:abstractNumId w:val="12"/>
  </w:num>
  <w:num w:numId="7" w16cid:durableId="140849496">
    <w:abstractNumId w:val="11"/>
  </w:num>
  <w:num w:numId="8" w16cid:durableId="146288828">
    <w:abstractNumId w:val="14"/>
  </w:num>
  <w:num w:numId="9" w16cid:durableId="163128149">
    <w:abstractNumId w:val="8"/>
  </w:num>
  <w:num w:numId="10" w16cid:durableId="592513396">
    <w:abstractNumId w:val="15"/>
  </w:num>
  <w:num w:numId="11" w16cid:durableId="529492387">
    <w:abstractNumId w:val="13"/>
  </w:num>
  <w:num w:numId="12" w16cid:durableId="2120055285">
    <w:abstractNumId w:val="4"/>
  </w:num>
  <w:num w:numId="13" w16cid:durableId="2123573697">
    <w:abstractNumId w:val="17"/>
  </w:num>
  <w:num w:numId="14" w16cid:durableId="908417583">
    <w:abstractNumId w:val="5"/>
  </w:num>
  <w:num w:numId="15" w16cid:durableId="397367668">
    <w:abstractNumId w:val="3"/>
  </w:num>
  <w:num w:numId="16" w16cid:durableId="876696084">
    <w:abstractNumId w:val="1"/>
  </w:num>
  <w:num w:numId="17" w16cid:durableId="1347486650">
    <w:abstractNumId w:val="6"/>
  </w:num>
  <w:num w:numId="18" w16cid:durableId="574631553">
    <w:abstractNumId w:val="10"/>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44B97"/>
    <w:rsid w:val="000028C7"/>
    <w:rsid w:val="00006CFB"/>
    <w:rsid w:val="000077E4"/>
    <w:rsid w:val="00015CB4"/>
    <w:rsid w:val="00017AB3"/>
    <w:rsid w:val="00030B04"/>
    <w:rsid w:val="00030E05"/>
    <w:rsid w:val="00031CC1"/>
    <w:rsid w:val="000323A5"/>
    <w:rsid w:val="00032EFF"/>
    <w:rsid w:val="00036BC1"/>
    <w:rsid w:val="00046B77"/>
    <w:rsid w:val="000514D0"/>
    <w:rsid w:val="00053461"/>
    <w:rsid w:val="0005431F"/>
    <w:rsid w:val="00056D02"/>
    <w:rsid w:val="00060142"/>
    <w:rsid w:val="000607F7"/>
    <w:rsid w:val="000612FE"/>
    <w:rsid w:val="000671BF"/>
    <w:rsid w:val="000842DA"/>
    <w:rsid w:val="0008641D"/>
    <w:rsid w:val="00086C3B"/>
    <w:rsid w:val="00091BD0"/>
    <w:rsid w:val="00092D5C"/>
    <w:rsid w:val="00096565"/>
    <w:rsid w:val="000974DA"/>
    <w:rsid w:val="000A1564"/>
    <w:rsid w:val="000A6AEC"/>
    <w:rsid w:val="000B2466"/>
    <w:rsid w:val="000C3E59"/>
    <w:rsid w:val="000C4875"/>
    <w:rsid w:val="000C5B18"/>
    <w:rsid w:val="000D1EDF"/>
    <w:rsid w:val="000D2BB5"/>
    <w:rsid w:val="000E2FF3"/>
    <w:rsid w:val="000E4E36"/>
    <w:rsid w:val="000E4EB3"/>
    <w:rsid w:val="00100750"/>
    <w:rsid w:val="00101E70"/>
    <w:rsid w:val="00104234"/>
    <w:rsid w:val="001043AC"/>
    <w:rsid w:val="0010606F"/>
    <w:rsid w:val="00106C7C"/>
    <w:rsid w:val="00107509"/>
    <w:rsid w:val="00114933"/>
    <w:rsid w:val="0011589A"/>
    <w:rsid w:val="00116D18"/>
    <w:rsid w:val="001210F1"/>
    <w:rsid w:val="00130268"/>
    <w:rsid w:val="00130CB4"/>
    <w:rsid w:val="001326F8"/>
    <w:rsid w:val="00140CA3"/>
    <w:rsid w:val="00141B4C"/>
    <w:rsid w:val="00145073"/>
    <w:rsid w:val="00145FAD"/>
    <w:rsid w:val="00147C33"/>
    <w:rsid w:val="00150C95"/>
    <w:rsid w:val="00163A47"/>
    <w:rsid w:val="001643EC"/>
    <w:rsid w:val="001666C3"/>
    <w:rsid w:val="001809B4"/>
    <w:rsid w:val="00183E4B"/>
    <w:rsid w:val="00187C1B"/>
    <w:rsid w:val="00190A9E"/>
    <w:rsid w:val="00192ED6"/>
    <w:rsid w:val="001A4A70"/>
    <w:rsid w:val="001A6026"/>
    <w:rsid w:val="001A6053"/>
    <w:rsid w:val="001A6C37"/>
    <w:rsid w:val="001B0C7E"/>
    <w:rsid w:val="001B3B61"/>
    <w:rsid w:val="001B6B3B"/>
    <w:rsid w:val="001C256A"/>
    <w:rsid w:val="001D7D0C"/>
    <w:rsid w:val="001E4069"/>
    <w:rsid w:val="001F294E"/>
    <w:rsid w:val="001F7912"/>
    <w:rsid w:val="00201204"/>
    <w:rsid w:val="00201D75"/>
    <w:rsid w:val="00203074"/>
    <w:rsid w:val="00206851"/>
    <w:rsid w:val="00210581"/>
    <w:rsid w:val="002127E6"/>
    <w:rsid w:val="00220B7B"/>
    <w:rsid w:val="0022253B"/>
    <w:rsid w:val="002232C6"/>
    <w:rsid w:val="00225375"/>
    <w:rsid w:val="00226C01"/>
    <w:rsid w:val="00237C8A"/>
    <w:rsid w:val="00244B98"/>
    <w:rsid w:val="002505DA"/>
    <w:rsid w:val="00256B77"/>
    <w:rsid w:val="00257DA3"/>
    <w:rsid w:val="002601D1"/>
    <w:rsid w:val="002623D5"/>
    <w:rsid w:val="0026309D"/>
    <w:rsid w:val="002657E7"/>
    <w:rsid w:val="00265B0A"/>
    <w:rsid w:val="00274B4D"/>
    <w:rsid w:val="00277E0A"/>
    <w:rsid w:val="002813B3"/>
    <w:rsid w:val="00282339"/>
    <w:rsid w:val="002875D0"/>
    <w:rsid w:val="002878D2"/>
    <w:rsid w:val="00292635"/>
    <w:rsid w:val="002928F6"/>
    <w:rsid w:val="00293C65"/>
    <w:rsid w:val="0029457E"/>
    <w:rsid w:val="00294BC5"/>
    <w:rsid w:val="002962E1"/>
    <w:rsid w:val="002A4307"/>
    <w:rsid w:val="002A4852"/>
    <w:rsid w:val="002A66A7"/>
    <w:rsid w:val="002B6286"/>
    <w:rsid w:val="002B7CD1"/>
    <w:rsid w:val="002C0AE1"/>
    <w:rsid w:val="002C3EA7"/>
    <w:rsid w:val="002C5B99"/>
    <w:rsid w:val="002D0CD8"/>
    <w:rsid w:val="002D2FF8"/>
    <w:rsid w:val="002D3347"/>
    <w:rsid w:val="002D6C11"/>
    <w:rsid w:val="002D71CF"/>
    <w:rsid w:val="002E36A4"/>
    <w:rsid w:val="002E5D55"/>
    <w:rsid w:val="002E72F4"/>
    <w:rsid w:val="002F20E0"/>
    <w:rsid w:val="002F2CB2"/>
    <w:rsid w:val="002F38B8"/>
    <w:rsid w:val="002F76EF"/>
    <w:rsid w:val="002F77BC"/>
    <w:rsid w:val="003045B2"/>
    <w:rsid w:val="00307C06"/>
    <w:rsid w:val="00313609"/>
    <w:rsid w:val="00322AFF"/>
    <w:rsid w:val="003266E7"/>
    <w:rsid w:val="0032791D"/>
    <w:rsid w:val="00331B56"/>
    <w:rsid w:val="0033460A"/>
    <w:rsid w:val="00340F2C"/>
    <w:rsid w:val="00341709"/>
    <w:rsid w:val="003477FC"/>
    <w:rsid w:val="003478D4"/>
    <w:rsid w:val="00350B3C"/>
    <w:rsid w:val="00351EEF"/>
    <w:rsid w:val="00360BAD"/>
    <w:rsid w:val="00362F3A"/>
    <w:rsid w:val="00365E3A"/>
    <w:rsid w:val="00366393"/>
    <w:rsid w:val="00366BBA"/>
    <w:rsid w:val="00367794"/>
    <w:rsid w:val="00370E55"/>
    <w:rsid w:val="00374CC0"/>
    <w:rsid w:val="0038262C"/>
    <w:rsid w:val="0038281E"/>
    <w:rsid w:val="00383DA5"/>
    <w:rsid w:val="003853E5"/>
    <w:rsid w:val="003857F5"/>
    <w:rsid w:val="00386EA3"/>
    <w:rsid w:val="00395DDF"/>
    <w:rsid w:val="0039664F"/>
    <w:rsid w:val="00397000"/>
    <w:rsid w:val="00397696"/>
    <w:rsid w:val="003A41BB"/>
    <w:rsid w:val="003A503C"/>
    <w:rsid w:val="003A66D5"/>
    <w:rsid w:val="003B0186"/>
    <w:rsid w:val="003B18C7"/>
    <w:rsid w:val="003B2CC0"/>
    <w:rsid w:val="003B4A29"/>
    <w:rsid w:val="003B6E85"/>
    <w:rsid w:val="003B7916"/>
    <w:rsid w:val="003C2E90"/>
    <w:rsid w:val="003D278F"/>
    <w:rsid w:val="003D2B2A"/>
    <w:rsid w:val="003D73B2"/>
    <w:rsid w:val="003E796E"/>
    <w:rsid w:val="003F37C5"/>
    <w:rsid w:val="003F5BF4"/>
    <w:rsid w:val="004078B9"/>
    <w:rsid w:val="00407CCA"/>
    <w:rsid w:val="00410F13"/>
    <w:rsid w:val="00421674"/>
    <w:rsid w:val="004250E9"/>
    <w:rsid w:val="00427314"/>
    <w:rsid w:val="004307B6"/>
    <w:rsid w:val="00436CA9"/>
    <w:rsid w:val="00436F99"/>
    <w:rsid w:val="00440BEE"/>
    <w:rsid w:val="00442946"/>
    <w:rsid w:val="0044451F"/>
    <w:rsid w:val="00447365"/>
    <w:rsid w:val="00447398"/>
    <w:rsid w:val="00447667"/>
    <w:rsid w:val="00451505"/>
    <w:rsid w:val="00454BE5"/>
    <w:rsid w:val="004577C2"/>
    <w:rsid w:val="004611C3"/>
    <w:rsid w:val="00464616"/>
    <w:rsid w:val="00464C48"/>
    <w:rsid w:val="00465ADD"/>
    <w:rsid w:val="004666A2"/>
    <w:rsid w:val="00471174"/>
    <w:rsid w:val="00472D39"/>
    <w:rsid w:val="00473DA8"/>
    <w:rsid w:val="00473ED9"/>
    <w:rsid w:val="00480311"/>
    <w:rsid w:val="00487C0B"/>
    <w:rsid w:val="00491CD4"/>
    <w:rsid w:val="00491DE2"/>
    <w:rsid w:val="00492B91"/>
    <w:rsid w:val="00494E16"/>
    <w:rsid w:val="004A065A"/>
    <w:rsid w:val="004A0BAD"/>
    <w:rsid w:val="004A12A8"/>
    <w:rsid w:val="004A3BE7"/>
    <w:rsid w:val="004A51DE"/>
    <w:rsid w:val="004A6634"/>
    <w:rsid w:val="004A7203"/>
    <w:rsid w:val="004A788B"/>
    <w:rsid w:val="004A7BB3"/>
    <w:rsid w:val="004B43B1"/>
    <w:rsid w:val="004B6617"/>
    <w:rsid w:val="004C0170"/>
    <w:rsid w:val="004C196A"/>
    <w:rsid w:val="004C1D67"/>
    <w:rsid w:val="004C4130"/>
    <w:rsid w:val="004C418D"/>
    <w:rsid w:val="004C64A6"/>
    <w:rsid w:val="004D11E0"/>
    <w:rsid w:val="004D1960"/>
    <w:rsid w:val="004D2193"/>
    <w:rsid w:val="004D3B93"/>
    <w:rsid w:val="004E66B8"/>
    <w:rsid w:val="004F0A51"/>
    <w:rsid w:val="004F0BB9"/>
    <w:rsid w:val="004F546C"/>
    <w:rsid w:val="0050145D"/>
    <w:rsid w:val="00505CB6"/>
    <w:rsid w:val="00506628"/>
    <w:rsid w:val="005072A6"/>
    <w:rsid w:val="00511B5D"/>
    <w:rsid w:val="00511E01"/>
    <w:rsid w:val="00512FB9"/>
    <w:rsid w:val="005210B6"/>
    <w:rsid w:val="00521BBB"/>
    <w:rsid w:val="0052658A"/>
    <w:rsid w:val="00531158"/>
    <w:rsid w:val="0053308C"/>
    <w:rsid w:val="0053632A"/>
    <w:rsid w:val="00543E40"/>
    <w:rsid w:val="00545068"/>
    <w:rsid w:val="00545766"/>
    <w:rsid w:val="005639ED"/>
    <w:rsid w:val="005646C8"/>
    <w:rsid w:val="0056644D"/>
    <w:rsid w:val="00567698"/>
    <w:rsid w:val="00570E23"/>
    <w:rsid w:val="005742C3"/>
    <w:rsid w:val="005761E7"/>
    <w:rsid w:val="0057664A"/>
    <w:rsid w:val="0057681E"/>
    <w:rsid w:val="005846FF"/>
    <w:rsid w:val="00587317"/>
    <w:rsid w:val="00587E67"/>
    <w:rsid w:val="005905E0"/>
    <w:rsid w:val="0059368E"/>
    <w:rsid w:val="0059383B"/>
    <w:rsid w:val="00595B18"/>
    <w:rsid w:val="0059748E"/>
    <w:rsid w:val="005975D5"/>
    <w:rsid w:val="00597814"/>
    <w:rsid w:val="005A200B"/>
    <w:rsid w:val="005A207A"/>
    <w:rsid w:val="005A36DD"/>
    <w:rsid w:val="005A5DF9"/>
    <w:rsid w:val="005A697F"/>
    <w:rsid w:val="005B17A8"/>
    <w:rsid w:val="005B687A"/>
    <w:rsid w:val="005B6914"/>
    <w:rsid w:val="005C0D08"/>
    <w:rsid w:val="005C12B8"/>
    <w:rsid w:val="005C1F68"/>
    <w:rsid w:val="005C4B7B"/>
    <w:rsid w:val="005C64FD"/>
    <w:rsid w:val="005D077D"/>
    <w:rsid w:val="005D1087"/>
    <w:rsid w:val="005E0625"/>
    <w:rsid w:val="005E406B"/>
    <w:rsid w:val="005E4D43"/>
    <w:rsid w:val="005E68B9"/>
    <w:rsid w:val="005E73E9"/>
    <w:rsid w:val="005E758D"/>
    <w:rsid w:val="005F014A"/>
    <w:rsid w:val="005F06CE"/>
    <w:rsid w:val="005F0FBD"/>
    <w:rsid w:val="005F1701"/>
    <w:rsid w:val="005F4898"/>
    <w:rsid w:val="005F605F"/>
    <w:rsid w:val="00602D45"/>
    <w:rsid w:val="006039D8"/>
    <w:rsid w:val="00605A27"/>
    <w:rsid w:val="00607289"/>
    <w:rsid w:val="0061316A"/>
    <w:rsid w:val="006142CA"/>
    <w:rsid w:val="0061550D"/>
    <w:rsid w:val="00617060"/>
    <w:rsid w:val="00617F58"/>
    <w:rsid w:val="0062398D"/>
    <w:rsid w:val="006302BB"/>
    <w:rsid w:val="00633F70"/>
    <w:rsid w:val="00634670"/>
    <w:rsid w:val="00634D9C"/>
    <w:rsid w:val="00636CDC"/>
    <w:rsid w:val="0063757E"/>
    <w:rsid w:val="00637AB3"/>
    <w:rsid w:val="0064190D"/>
    <w:rsid w:val="00653B4C"/>
    <w:rsid w:val="006556F7"/>
    <w:rsid w:val="0066010B"/>
    <w:rsid w:val="006606F1"/>
    <w:rsid w:val="0066318F"/>
    <w:rsid w:val="00666519"/>
    <w:rsid w:val="00671EC0"/>
    <w:rsid w:val="0067311C"/>
    <w:rsid w:val="0067551A"/>
    <w:rsid w:val="00680914"/>
    <w:rsid w:val="00681676"/>
    <w:rsid w:val="00682B55"/>
    <w:rsid w:val="00691F0B"/>
    <w:rsid w:val="00695F7D"/>
    <w:rsid w:val="006A25BC"/>
    <w:rsid w:val="006A386D"/>
    <w:rsid w:val="006A3E97"/>
    <w:rsid w:val="006A5F7B"/>
    <w:rsid w:val="006B5B42"/>
    <w:rsid w:val="006C54A4"/>
    <w:rsid w:val="006D0401"/>
    <w:rsid w:val="006D15DE"/>
    <w:rsid w:val="006D3246"/>
    <w:rsid w:val="006D7EBC"/>
    <w:rsid w:val="006E28AA"/>
    <w:rsid w:val="006E5C4F"/>
    <w:rsid w:val="006F2203"/>
    <w:rsid w:val="00700612"/>
    <w:rsid w:val="00700889"/>
    <w:rsid w:val="00704CC6"/>
    <w:rsid w:val="00705092"/>
    <w:rsid w:val="007076D1"/>
    <w:rsid w:val="00723451"/>
    <w:rsid w:val="00726CB2"/>
    <w:rsid w:val="007279EE"/>
    <w:rsid w:val="0073165E"/>
    <w:rsid w:val="00733AC2"/>
    <w:rsid w:val="007400B7"/>
    <w:rsid w:val="00740476"/>
    <w:rsid w:val="007411EA"/>
    <w:rsid w:val="00741DA0"/>
    <w:rsid w:val="0074408E"/>
    <w:rsid w:val="00744874"/>
    <w:rsid w:val="00751076"/>
    <w:rsid w:val="00761DE3"/>
    <w:rsid w:val="00765D74"/>
    <w:rsid w:val="00767574"/>
    <w:rsid w:val="00771F50"/>
    <w:rsid w:val="007725A9"/>
    <w:rsid w:val="00773C72"/>
    <w:rsid w:val="00780470"/>
    <w:rsid w:val="00781742"/>
    <w:rsid w:val="0078367B"/>
    <w:rsid w:val="00785DD5"/>
    <w:rsid w:val="0078666D"/>
    <w:rsid w:val="007932EC"/>
    <w:rsid w:val="0079702A"/>
    <w:rsid w:val="007A3C6C"/>
    <w:rsid w:val="007A3ED7"/>
    <w:rsid w:val="007A42D8"/>
    <w:rsid w:val="007A5901"/>
    <w:rsid w:val="007A6444"/>
    <w:rsid w:val="007C07E6"/>
    <w:rsid w:val="007C2269"/>
    <w:rsid w:val="007C47D2"/>
    <w:rsid w:val="007C49F1"/>
    <w:rsid w:val="007C5A39"/>
    <w:rsid w:val="007D0D18"/>
    <w:rsid w:val="007D1210"/>
    <w:rsid w:val="007D540B"/>
    <w:rsid w:val="007D6E1A"/>
    <w:rsid w:val="007D7A58"/>
    <w:rsid w:val="007D7D95"/>
    <w:rsid w:val="007E1A6D"/>
    <w:rsid w:val="007E1D42"/>
    <w:rsid w:val="007E3D54"/>
    <w:rsid w:val="007E42BD"/>
    <w:rsid w:val="007F301C"/>
    <w:rsid w:val="007F3953"/>
    <w:rsid w:val="00805426"/>
    <w:rsid w:val="0080598F"/>
    <w:rsid w:val="00812C92"/>
    <w:rsid w:val="00817DCB"/>
    <w:rsid w:val="00821BEE"/>
    <w:rsid w:val="00823744"/>
    <w:rsid w:val="008275B5"/>
    <w:rsid w:val="008301AE"/>
    <w:rsid w:val="00830ECE"/>
    <w:rsid w:val="00832FB3"/>
    <w:rsid w:val="00833E18"/>
    <w:rsid w:val="008366B1"/>
    <w:rsid w:val="00837555"/>
    <w:rsid w:val="008434B1"/>
    <w:rsid w:val="00844B97"/>
    <w:rsid w:val="00844C2D"/>
    <w:rsid w:val="0085591B"/>
    <w:rsid w:val="00871263"/>
    <w:rsid w:val="00871D89"/>
    <w:rsid w:val="00872E6D"/>
    <w:rsid w:val="008768A1"/>
    <w:rsid w:val="00883BFF"/>
    <w:rsid w:val="0088564B"/>
    <w:rsid w:val="00885885"/>
    <w:rsid w:val="00890EB8"/>
    <w:rsid w:val="00891AEC"/>
    <w:rsid w:val="00892109"/>
    <w:rsid w:val="00892855"/>
    <w:rsid w:val="008956A4"/>
    <w:rsid w:val="00895814"/>
    <w:rsid w:val="00897B09"/>
    <w:rsid w:val="00897F9E"/>
    <w:rsid w:val="008A1E30"/>
    <w:rsid w:val="008A69E7"/>
    <w:rsid w:val="008B2481"/>
    <w:rsid w:val="008B3E49"/>
    <w:rsid w:val="008B432C"/>
    <w:rsid w:val="008B5044"/>
    <w:rsid w:val="008B567A"/>
    <w:rsid w:val="008C08EA"/>
    <w:rsid w:val="008C10A1"/>
    <w:rsid w:val="008C4EDF"/>
    <w:rsid w:val="008C5BF8"/>
    <w:rsid w:val="008C63F9"/>
    <w:rsid w:val="008C7D45"/>
    <w:rsid w:val="008D1573"/>
    <w:rsid w:val="008D5907"/>
    <w:rsid w:val="008D5A65"/>
    <w:rsid w:val="008E7C34"/>
    <w:rsid w:val="008F0FD8"/>
    <w:rsid w:val="008F11D9"/>
    <w:rsid w:val="008F140B"/>
    <w:rsid w:val="008F641A"/>
    <w:rsid w:val="00900140"/>
    <w:rsid w:val="00902D3D"/>
    <w:rsid w:val="00902F9A"/>
    <w:rsid w:val="0090384B"/>
    <w:rsid w:val="00903C9B"/>
    <w:rsid w:val="00904481"/>
    <w:rsid w:val="009137BB"/>
    <w:rsid w:val="00915317"/>
    <w:rsid w:val="009171D8"/>
    <w:rsid w:val="009230D6"/>
    <w:rsid w:val="0093141A"/>
    <w:rsid w:val="00937964"/>
    <w:rsid w:val="00942AEB"/>
    <w:rsid w:val="00942C81"/>
    <w:rsid w:val="00943E52"/>
    <w:rsid w:val="00947D7E"/>
    <w:rsid w:val="0095023B"/>
    <w:rsid w:val="009508BF"/>
    <w:rsid w:val="009509CE"/>
    <w:rsid w:val="00954BE9"/>
    <w:rsid w:val="00954CBE"/>
    <w:rsid w:val="009577F4"/>
    <w:rsid w:val="009578AE"/>
    <w:rsid w:val="00963E0B"/>
    <w:rsid w:val="009646EE"/>
    <w:rsid w:val="00972BB0"/>
    <w:rsid w:val="00973B70"/>
    <w:rsid w:val="00974408"/>
    <w:rsid w:val="0097683C"/>
    <w:rsid w:val="00977761"/>
    <w:rsid w:val="009826B5"/>
    <w:rsid w:val="00985A67"/>
    <w:rsid w:val="00995664"/>
    <w:rsid w:val="00995A5F"/>
    <w:rsid w:val="009A1D24"/>
    <w:rsid w:val="009A2AF1"/>
    <w:rsid w:val="009B2C6F"/>
    <w:rsid w:val="009B45F0"/>
    <w:rsid w:val="009B6FCE"/>
    <w:rsid w:val="009C079E"/>
    <w:rsid w:val="009C4031"/>
    <w:rsid w:val="009C74F8"/>
    <w:rsid w:val="009D3562"/>
    <w:rsid w:val="009E123C"/>
    <w:rsid w:val="009E298A"/>
    <w:rsid w:val="009E2E86"/>
    <w:rsid w:val="009E515D"/>
    <w:rsid w:val="009F0F5D"/>
    <w:rsid w:val="009F7C26"/>
    <w:rsid w:val="00A00074"/>
    <w:rsid w:val="00A0189D"/>
    <w:rsid w:val="00A0234F"/>
    <w:rsid w:val="00A0550D"/>
    <w:rsid w:val="00A14BE6"/>
    <w:rsid w:val="00A14FD1"/>
    <w:rsid w:val="00A17C3E"/>
    <w:rsid w:val="00A267C1"/>
    <w:rsid w:val="00A27F5D"/>
    <w:rsid w:val="00A30A5F"/>
    <w:rsid w:val="00A35EF8"/>
    <w:rsid w:val="00A376A7"/>
    <w:rsid w:val="00A50E1D"/>
    <w:rsid w:val="00A536B7"/>
    <w:rsid w:val="00A53CE6"/>
    <w:rsid w:val="00A607DB"/>
    <w:rsid w:val="00A60C9B"/>
    <w:rsid w:val="00A61370"/>
    <w:rsid w:val="00A6428D"/>
    <w:rsid w:val="00A71B74"/>
    <w:rsid w:val="00A72F32"/>
    <w:rsid w:val="00A73E9A"/>
    <w:rsid w:val="00A743E8"/>
    <w:rsid w:val="00A77BB5"/>
    <w:rsid w:val="00A83974"/>
    <w:rsid w:val="00A83F04"/>
    <w:rsid w:val="00A85AEE"/>
    <w:rsid w:val="00A9105B"/>
    <w:rsid w:val="00A922B5"/>
    <w:rsid w:val="00A9499D"/>
    <w:rsid w:val="00A95A14"/>
    <w:rsid w:val="00A95CF7"/>
    <w:rsid w:val="00AA00D5"/>
    <w:rsid w:val="00AA36D9"/>
    <w:rsid w:val="00AA3A2F"/>
    <w:rsid w:val="00AA664A"/>
    <w:rsid w:val="00AB251E"/>
    <w:rsid w:val="00AB3507"/>
    <w:rsid w:val="00AB770D"/>
    <w:rsid w:val="00AC2B02"/>
    <w:rsid w:val="00AC7EFB"/>
    <w:rsid w:val="00AD5405"/>
    <w:rsid w:val="00AE0987"/>
    <w:rsid w:val="00AE4385"/>
    <w:rsid w:val="00AE482D"/>
    <w:rsid w:val="00AE5365"/>
    <w:rsid w:val="00AE58CA"/>
    <w:rsid w:val="00AF0FBB"/>
    <w:rsid w:val="00AF26BE"/>
    <w:rsid w:val="00AF4902"/>
    <w:rsid w:val="00AF4B42"/>
    <w:rsid w:val="00AF4F32"/>
    <w:rsid w:val="00AF5A0F"/>
    <w:rsid w:val="00AF5E96"/>
    <w:rsid w:val="00B00C0E"/>
    <w:rsid w:val="00B017D3"/>
    <w:rsid w:val="00B0258D"/>
    <w:rsid w:val="00B03397"/>
    <w:rsid w:val="00B1020B"/>
    <w:rsid w:val="00B11F06"/>
    <w:rsid w:val="00B1266F"/>
    <w:rsid w:val="00B14780"/>
    <w:rsid w:val="00B1600F"/>
    <w:rsid w:val="00B17B56"/>
    <w:rsid w:val="00B23E0F"/>
    <w:rsid w:val="00B331F3"/>
    <w:rsid w:val="00B35EFB"/>
    <w:rsid w:val="00B41FDA"/>
    <w:rsid w:val="00B42816"/>
    <w:rsid w:val="00B42F09"/>
    <w:rsid w:val="00B45FC2"/>
    <w:rsid w:val="00B46174"/>
    <w:rsid w:val="00B46F72"/>
    <w:rsid w:val="00B55D97"/>
    <w:rsid w:val="00B62238"/>
    <w:rsid w:val="00B62374"/>
    <w:rsid w:val="00B6252A"/>
    <w:rsid w:val="00B63149"/>
    <w:rsid w:val="00B63A49"/>
    <w:rsid w:val="00B703CB"/>
    <w:rsid w:val="00B70B20"/>
    <w:rsid w:val="00B719F3"/>
    <w:rsid w:val="00B71D85"/>
    <w:rsid w:val="00B72711"/>
    <w:rsid w:val="00B72D56"/>
    <w:rsid w:val="00B73046"/>
    <w:rsid w:val="00B736F0"/>
    <w:rsid w:val="00B7610B"/>
    <w:rsid w:val="00B76365"/>
    <w:rsid w:val="00B77BED"/>
    <w:rsid w:val="00B8458E"/>
    <w:rsid w:val="00B861C5"/>
    <w:rsid w:val="00B86B96"/>
    <w:rsid w:val="00B9362B"/>
    <w:rsid w:val="00B96D34"/>
    <w:rsid w:val="00B97DC4"/>
    <w:rsid w:val="00BA00F8"/>
    <w:rsid w:val="00BB07DF"/>
    <w:rsid w:val="00BB3260"/>
    <w:rsid w:val="00BB34B8"/>
    <w:rsid w:val="00BC0C70"/>
    <w:rsid w:val="00BC0FBD"/>
    <w:rsid w:val="00BC1D83"/>
    <w:rsid w:val="00BC4C6B"/>
    <w:rsid w:val="00BC53DA"/>
    <w:rsid w:val="00BC60E7"/>
    <w:rsid w:val="00BD3F01"/>
    <w:rsid w:val="00BD460B"/>
    <w:rsid w:val="00BD5BF6"/>
    <w:rsid w:val="00BD738D"/>
    <w:rsid w:val="00BD7779"/>
    <w:rsid w:val="00BD7E7E"/>
    <w:rsid w:val="00BE5896"/>
    <w:rsid w:val="00BE6690"/>
    <w:rsid w:val="00BF0A45"/>
    <w:rsid w:val="00BF31FA"/>
    <w:rsid w:val="00BF5E4A"/>
    <w:rsid w:val="00C01F75"/>
    <w:rsid w:val="00C07BDB"/>
    <w:rsid w:val="00C07ED7"/>
    <w:rsid w:val="00C07F6E"/>
    <w:rsid w:val="00C159C4"/>
    <w:rsid w:val="00C2023C"/>
    <w:rsid w:val="00C21D34"/>
    <w:rsid w:val="00C22077"/>
    <w:rsid w:val="00C23FFC"/>
    <w:rsid w:val="00C31EFC"/>
    <w:rsid w:val="00C34970"/>
    <w:rsid w:val="00C425BD"/>
    <w:rsid w:val="00C43FCD"/>
    <w:rsid w:val="00C457D7"/>
    <w:rsid w:val="00C50131"/>
    <w:rsid w:val="00C6148C"/>
    <w:rsid w:val="00C77D8A"/>
    <w:rsid w:val="00C812E3"/>
    <w:rsid w:val="00C82F75"/>
    <w:rsid w:val="00C90056"/>
    <w:rsid w:val="00C900B7"/>
    <w:rsid w:val="00C90F29"/>
    <w:rsid w:val="00CA31D4"/>
    <w:rsid w:val="00CA78A5"/>
    <w:rsid w:val="00CB483A"/>
    <w:rsid w:val="00CB5BDD"/>
    <w:rsid w:val="00CB72F6"/>
    <w:rsid w:val="00CB7421"/>
    <w:rsid w:val="00CC000F"/>
    <w:rsid w:val="00CC07D0"/>
    <w:rsid w:val="00CC099F"/>
    <w:rsid w:val="00CC221A"/>
    <w:rsid w:val="00CC7335"/>
    <w:rsid w:val="00CC76A8"/>
    <w:rsid w:val="00CD2853"/>
    <w:rsid w:val="00CD6CD3"/>
    <w:rsid w:val="00CD7710"/>
    <w:rsid w:val="00CD7EB3"/>
    <w:rsid w:val="00CE02AE"/>
    <w:rsid w:val="00CE300C"/>
    <w:rsid w:val="00CE5A2C"/>
    <w:rsid w:val="00CF2FAD"/>
    <w:rsid w:val="00CF5F09"/>
    <w:rsid w:val="00CF633A"/>
    <w:rsid w:val="00D01643"/>
    <w:rsid w:val="00D021C3"/>
    <w:rsid w:val="00D0406F"/>
    <w:rsid w:val="00D05149"/>
    <w:rsid w:val="00D057BE"/>
    <w:rsid w:val="00D10A75"/>
    <w:rsid w:val="00D21B7F"/>
    <w:rsid w:val="00D22A5E"/>
    <w:rsid w:val="00D22F75"/>
    <w:rsid w:val="00D33374"/>
    <w:rsid w:val="00D37D09"/>
    <w:rsid w:val="00D40695"/>
    <w:rsid w:val="00D46C81"/>
    <w:rsid w:val="00D53893"/>
    <w:rsid w:val="00D54F53"/>
    <w:rsid w:val="00D56140"/>
    <w:rsid w:val="00D61C9A"/>
    <w:rsid w:val="00D65241"/>
    <w:rsid w:val="00D7489B"/>
    <w:rsid w:val="00D843E4"/>
    <w:rsid w:val="00D844A8"/>
    <w:rsid w:val="00D852E9"/>
    <w:rsid w:val="00D904A7"/>
    <w:rsid w:val="00D90DE7"/>
    <w:rsid w:val="00D91A1A"/>
    <w:rsid w:val="00D95147"/>
    <w:rsid w:val="00DA43CB"/>
    <w:rsid w:val="00DB0506"/>
    <w:rsid w:val="00DB13CE"/>
    <w:rsid w:val="00DB2601"/>
    <w:rsid w:val="00DC295A"/>
    <w:rsid w:val="00DC648F"/>
    <w:rsid w:val="00DD2AC2"/>
    <w:rsid w:val="00DD3A02"/>
    <w:rsid w:val="00DD5529"/>
    <w:rsid w:val="00DD5698"/>
    <w:rsid w:val="00DE20C9"/>
    <w:rsid w:val="00DE400E"/>
    <w:rsid w:val="00DE698C"/>
    <w:rsid w:val="00DE6D2C"/>
    <w:rsid w:val="00DE78EA"/>
    <w:rsid w:val="00DE7B9D"/>
    <w:rsid w:val="00DF1141"/>
    <w:rsid w:val="00DF2ADD"/>
    <w:rsid w:val="00DF3722"/>
    <w:rsid w:val="00DF5BD4"/>
    <w:rsid w:val="00DF6FF4"/>
    <w:rsid w:val="00E0164B"/>
    <w:rsid w:val="00E0296A"/>
    <w:rsid w:val="00E03C28"/>
    <w:rsid w:val="00E069D6"/>
    <w:rsid w:val="00E07597"/>
    <w:rsid w:val="00E17FFC"/>
    <w:rsid w:val="00E20B33"/>
    <w:rsid w:val="00E21C5B"/>
    <w:rsid w:val="00E2683F"/>
    <w:rsid w:val="00E301E6"/>
    <w:rsid w:val="00E32718"/>
    <w:rsid w:val="00E33D79"/>
    <w:rsid w:val="00E41803"/>
    <w:rsid w:val="00E42ACF"/>
    <w:rsid w:val="00E43017"/>
    <w:rsid w:val="00E43B85"/>
    <w:rsid w:val="00E43C1A"/>
    <w:rsid w:val="00E50E53"/>
    <w:rsid w:val="00E51457"/>
    <w:rsid w:val="00E542AB"/>
    <w:rsid w:val="00E546FC"/>
    <w:rsid w:val="00E5515B"/>
    <w:rsid w:val="00E62A1D"/>
    <w:rsid w:val="00E633D1"/>
    <w:rsid w:val="00E64591"/>
    <w:rsid w:val="00E65AC4"/>
    <w:rsid w:val="00E66D17"/>
    <w:rsid w:val="00E700C5"/>
    <w:rsid w:val="00E769AA"/>
    <w:rsid w:val="00E80A7F"/>
    <w:rsid w:val="00E80E06"/>
    <w:rsid w:val="00E913CD"/>
    <w:rsid w:val="00E9424C"/>
    <w:rsid w:val="00EA0C2C"/>
    <w:rsid w:val="00EA1136"/>
    <w:rsid w:val="00EA32D8"/>
    <w:rsid w:val="00EA7BFE"/>
    <w:rsid w:val="00EB05B1"/>
    <w:rsid w:val="00EB66DB"/>
    <w:rsid w:val="00EB674A"/>
    <w:rsid w:val="00EB6D32"/>
    <w:rsid w:val="00EC010C"/>
    <w:rsid w:val="00EC6017"/>
    <w:rsid w:val="00ED080D"/>
    <w:rsid w:val="00ED1076"/>
    <w:rsid w:val="00ED3FB7"/>
    <w:rsid w:val="00ED5D48"/>
    <w:rsid w:val="00ED60FC"/>
    <w:rsid w:val="00ED6955"/>
    <w:rsid w:val="00ED6A88"/>
    <w:rsid w:val="00EE03B4"/>
    <w:rsid w:val="00EE20E2"/>
    <w:rsid w:val="00EE2206"/>
    <w:rsid w:val="00EE3601"/>
    <w:rsid w:val="00EE5A31"/>
    <w:rsid w:val="00EE63D1"/>
    <w:rsid w:val="00EF1DA5"/>
    <w:rsid w:val="00F00FC7"/>
    <w:rsid w:val="00F0221F"/>
    <w:rsid w:val="00F04076"/>
    <w:rsid w:val="00F04DA9"/>
    <w:rsid w:val="00F12ACC"/>
    <w:rsid w:val="00F20B18"/>
    <w:rsid w:val="00F245C2"/>
    <w:rsid w:val="00F2516E"/>
    <w:rsid w:val="00F256B9"/>
    <w:rsid w:val="00F27EC9"/>
    <w:rsid w:val="00F33060"/>
    <w:rsid w:val="00F335F7"/>
    <w:rsid w:val="00F354C6"/>
    <w:rsid w:val="00F35E35"/>
    <w:rsid w:val="00F369AF"/>
    <w:rsid w:val="00F37ED8"/>
    <w:rsid w:val="00F40EF7"/>
    <w:rsid w:val="00F44151"/>
    <w:rsid w:val="00F4427C"/>
    <w:rsid w:val="00F50231"/>
    <w:rsid w:val="00F50C4D"/>
    <w:rsid w:val="00F52310"/>
    <w:rsid w:val="00F550A6"/>
    <w:rsid w:val="00F6499D"/>
    <w:rsid w:val="00F64ACE"/>
    <w:rsid w:val="00F65424"/>
    <w:rsid w:val="00F72F9F"/>
    <w:rsid w:val="00F734E2"/>
    <w:rsid w:val="00F754A0"/>
    <w:rsid w:val="00F83632"/>
    <w:rsid w:val="00F84C58"/>
    <w:rsid w:val="00F85EAC"/>
    <w:rsid w:val="00F900EA"/>
    <w:rsid w:val="00F95523"/>
    <w:rsid w:val="00F97F21"/>
    <w:rsid w:val="00FA45EE"/>
    <w:rsid w:val="00FA61D1"/>
    <w:rsid w:val="00FA61DD"/>
    <w:rsid w:val="00FB0B92"/>
    <w:rsid w:val="00FB27DA"/>
    <w:rsid w:val="00FB41F0"/>
    <w:rsid w:val="00FB4816"/>
    <w:rsid w:val="00FB79FB"/>
    <w:rsid w:val="00FC1FAC"/>
    <w:rsid w:val="00FC2C15"/>
    <w:rsid w:val="00FC5080"/>
    <w:rsid w:val="00FD0DD6"/>
    <w:rsid w:val="00FD196E"/>
    <w:rsid w:val="00FD26DF"/>
    <w:rsid w:val="00FD32DC"/>
    <w:rsid w:val="00FD5671"/>
    <w:rsid w:val="00FE0C5D"/>
    <w:rsid w:val="00FE2E6F"/>
    <w:rsid w:val="00FE7E98"/>
    <w:rsid w:val="00FF04C6"/>
    <w:rsid w:val="00FF0D95"/>
    <w:rsid w:val="00FF3B7A"/>
    <w:rsid w:val="00FF48ED"/>
    <w:rsid w:val="6E88BE8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A861C1"/>
  <w15:chartTrackingRefBased/>
  <w15:docId w15:val="{451FFF7B-1906-47C3-BFF9-F582B51D12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E03B4"/>
    <w:pPr>
      <w:spacing w:after="120" w:line="264" w:lineRule="auto"/>
    </w:pPr>
    <w:rPr>
      <w:rFonts w:eastAsiaTheme="minorEastAsia"/>
      <w:sz w:val="20"/>
      <w:szCs w:val="20"/>
    </w:rPr>
  </w:style>
  <w:style w:type="paragraph" w:styleId="Heading1">
    <w:name w:val="heading 1"/>
    <w:basedOn w:val="Normal"/>
    <w:next w:val="Normal"/>
    <w:link w:val="Heading1Char"/>
    <w:uiPriority w:val="9"/>
    <w:qFormat/>
    <w:rsid w:val="00EE03B4"/>
    <w:pPr>
      <w:keepNext/>
      <w:keepLines/>
      <w:spacing w:before="320" w:after="0" w:line="240" w:lineRule="auto"/>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313609"/>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DE6D2C"/>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EE03B4"/>
    <w:rPr>
      <w:rFonts w:asciiTheme="majorHAnsi" w:eastAsiaTheme="majorEastAsia" w:hAnsiTheme="majorHAnsi" w:cstheme="majorBidi"/>
      <w:color w:val="2E74B5" w:themeColor="accent1" w:themeShade="BF"/>
      <w:sz w:val="32"/>
      <w:szCs w:val="32"/>
    </w:rPr>
  </w:style>
  <w:style w:type="paragraph" w:customStyle="1" w:styleId="Default">
    <w:name w:val="Default"/>
    <w:rsid w:val="00EE03B4"/>
    <w:pPr>
      <w:autoSpaceDE w:val="0"/>
      <w:autoSpaceDN w:val="0"/>
      <w:adjustRightInd w:val="0"/>
      <w:spacing w:after="0" w:line="240" w:lineRule="auto"/>
    </w:pPr>
    <w:rPr>
      <w:rFonts w:ascii="Segoe UI" w:eastAsiaTheme="minorEastAsia" w:hAnsi="Segoe UI" w:cs="Segoe UI"/>
      <w:color w:val="000000"/>
      <w:sz w:val="24"/>
      <w:szCs w:val="24"/>
    </w:rPr>
  </w:style>
  <w:style w:type="paragraph" w:styleId="Header">
    <w:name w:val="header"/>
    <w:basedOn w:val="Normal"/>
    <w:link w:val="HeaderChar"/>
    <w:uiPriority w:val="99"/>
    <w:unhideWhenUsed/>
    <w:rsid w:val="00EE03B4"/>
    <w:pPr>
      <w:tabs>
        <w:tab w:val="center" w:pos="4680"/>
        <w:tab w:val="right" w:pos="9360"/>
      </w:tabs>
      <w:spacing w:after="0" w:line="240" w:lineRule="auto"/>
    </w:pPr>
  </w:style>
  <w:style w:type="character" w:customStyle="1" w:styleId="HeaderChar">
    <w:name w:val="Header Char"/>
    <w:basedOn w:val="DefaultParagraphFont"/>
    <w:link w:val="Header"/>
    <w:uiPriority w:val="99"/>
    <w:rsid w:val="00EE03B4"/>
    <w:rPr>
      <w:rFonts w:eastAsiaTheme="minorEastAsia"/>
      <w:sz w:val="20"/>
      <w:szCs w:val="20"/>
    </w:rPr>
  </w:style>
  <w:style w:type="paragraph" w:styleId="Footer">
    <w:name w:val="footer"/>
    <w:basedOn w:val="Normal"/>
    <w:link w:val="FooterChar"/>
    <w:uiPriority w:val="99"/>
    <w:unhideWhenUsed/>
    <w:rsid w:val="00EE03B4"/>
    <w:pPr>
      <w:tabs>
        <w:tab w:val="center" w:pos="4680"/>
        <w:tab w:val="right" w:pos="9360"/>
      </w:tabs>
      <w:spacing w:after="0" w:line="240" w:lineRule="auto"/>
    </w:pPr>
  </w:style>
  <w:style w:type="character" w:customStyle="1" w:styleId="FooterChar">
    <w:name w:val="Footer Char"/>
    <w:basedOn w:val="DefaultParagraphFont"/>
    <w:link w:val="Footer"/>
    <w:uiPriority w:val="99"/>
    <w:rsid w:val="00EE03B4"/>
    <w:rPr>
      <w:rFonts w:eastAsiaTheme="minorEastAsia"/>
      <w:sz w:val="20"/>
      <w:szCs w:val="20"/>
    </w:rPr>
  </w:style>
  <w:style w:type="paragraph" w:styleId="NoSpacing">
    <w:name w:val="No Spacing"/>
    <w:link w:val="NoSpacingChar"/>
    <w:uiPriority w:val="1"/>
    <w:qFormat/>
    <w:rsid w:val="00EE03B4"/>
    <w:pPr>
      <w:spacing w:after="0" w:line="240" w:lineRule="auto"/>
    </w:pPr>
    <w:rPr>
      <w:rFonts w:eastAsiaTheme="minorEastAsia"/>
    </w:rPr>
  </w:style>
  <w:style w:type="character" w:customStyle="1" w:styleId="NoSpacingChar">
    <w:name w:val="No Spacing Char"/>
    <w:basedOn w:val="DefaultParagraphFont"/>
    <w:link w:val="NoSpacing"/>
    <w:uiPriority w:val="1"/>
    <w:rsid w:val="00EE03B4"/>
    <w:rPr>
      <w:rFonts w:eastAsiaTheme="minorEastAsia"/>
    </w:rPr>
  </w:style>
  <w:style w:type="character" w:customStyle="1" w:styleId="Heading3Char">
    <w:name w:val="Heading 3 Char"/>
    <w:basedOn w:val="DefaultParagraphFont"/>
    <w:link w:val="Heading3"/>
    <w:uiPriority w:val="9"/>
    <w:rsid w:val="00DE6D2C"/>
    <w:rPr>
      <w:rFonts w:asciiTheme="majorHAnsi" w:eastAsiaTheme="majorEastAsia" w:hAnsiTheme="majorHAnsi" w:cstheme="majorBidi"/>
      <w:color w:val="1F4D78" w:themeColor="accent1" w:themeShade="7F"/>
      <w:sz w:val="24"/>
      <w:szCs w:val="24"/>
    </w:rPr>
  </w:style>
  <w:style w:type="character" w:styleId="Hyperlink">
    <w:name w:val="Hyperlink"/>
    <w:basedOn w:val="DefaultParagraphFont"/>
    <w:uiPriority w:val="99"/>
    <w:unhideWhenUsed/>
    <w:rsid w:val="00DE6D2C"/>
    <w:rPr>
      <w:color w:val="0563C1" w:themeColor="hyperlink"/>
      <w:u w:val="single"/>
    </w:rPr>
  </w:style>
  <w:style w:type="paragraph" w:customStyle="1" w:styleId="iTS-BodyText">
    <w:name w:val="!iTS - Body Text"/>
    <w:basedOn w:val="Normal"/>
    <w:link w:val="iTS-BodyTextChar"/>
    <w:rsid w:val="00DE6D2C"/>
    <w:pPr>
      <w:spacing w:after="40" w:line="240" w:lineRule="auto"/>
    </w:pPr>
    <w:rPr>
      <w:rFonts w:ascii="Arial" w:eastAsia="MS Mincho" w:hAnsi="Arial" w:cs="Times New Roman"/>
      <w:sz w:val="16"/>
      <w:szCs w:val="18"/>
    </w:rPr>
  </w:style>
  <w:style w:type="character" w:customStyle="1" w:styleId="iTS-BodyTextChar">
    <w:name w:val="!iTS - Body Text Char"/>
    <w:link w:val="iTS-BodyText"/>
    <w:rsid w:val="00DE6D2C"/>
    <w:rPr>
      <w:rFonts w:ascii="Arial" w:eastAsia="MS Mincho" w:hAnsi="Arial" w:cs="Times New Roman"/>
      <w:sz w:val="16"/>
      <w:szCs w:val="18"/>
    </w:rPr>
  </w:style>
  <w:style w:type="character" w:customStyle="1" w:styleId="Heading2Char">
    <w:name w:val="Heading 2 Char"/>
    <w:basedOn w:val="DefaultParagraphFont"/>
    <w:link w:val="Heading2"/>
    <w:rsid w:val="00313609"/>
    <w:rPr>
      <w:rFonts w:asciiTheme="majorHAnsi" w:eastAsiaTheme="majorEastAsia" w:hAnsiTheme="majorHAnsi" w:cstheme="majorBidi"/>
      <w:color w:val="2E74B5" w:themeColor="accent1" w:themeShade="BF"/>
      <w:sz w:val="26"/>
      <w:szCs w:val="26"/>
    </w:rPr>
  </w:style>
  <w:style w:type="paragraph" w:styleId="ListParagraph">
    <w:name w:val="List Paragraph"/>
    <w:aliases w:val="lp1,List Paragraph1,List Paragraph Char Char,b1,Number_1,List Paragraph11,List Paragraph2,Normal Sentence,Colorful List - Accent 11,new,SGLText List Paragraph,ListPar1,List Paragraph21,list1,Bullet 1,Use Case List Paragraph,Heading2,列出段落"/>
    <w:basedOn w:val="Normal"/>
    <w:link w:val="ListParagraphChar"/>
    <w:uiPriority w:val="34"/>
    <w:qFormat/>
    <w:rsid w:val="00313609"/>
    <w:pPr>
      <w:ind w:left="720"/>
      <w:contextualSpacing/>
    </w:pPr>
  </w:style>
  <w:style w:type="table" w:styleId="GridTable1Light-Accent3">
    <w:name w:val="Grid Table 1 Light Accent 3"/>
    <w:basedOn w:val="TableNormal"/>
    <w:uiPriority w:val="46"/>
    <w:rsid w:val="00313609"/>
    <w:pPr>
      <w:spacing w:after="0" w:line="240" w:lineRule="auto"/>
      <w:jc w:val="both"/>
    </w:pPr>
    <w:rPr>
      <w:rFonts w:eastAsiaTheme="minorEastAsia"/>
      <w:sz w:val="20"/>
      <w:szCs w:val="20"/>
    </w:r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paragraph" w:styleId="TOCHeading">
    <w:name w:val="TOC Heading"/>
    <w:basedOn w:val="Heading1"/>
    <w:next w:val="Normal"/>
    <w:uiPriority w:val="39"/>
    <w:unhideWhenUsed/>
    <w:qFormat/>
    <w:rsid w:val="00145FAD"/>
    <w:pPr>
      <w:spacing w:before="240" w:line="259" w:lineRule="auto"/>
      <w:outlineLvl w:val="9"/>
    </w:pPr>
  </w:style>
  <w:style w:type="paragraph" w:styleId="TOC1">
    <w:name w:val="toc 1"/>
    <w:basedOn w:val="Normal"/>
    <w:next w:val="Normal"/>
    <w:autoRedefine/>
    <w:uiPriority w:val="39"/>
    <w:unhideWhenUsed/>
    <w:rsid w:val="00145FAD"/>
    <w:pPr>
      <w:spacing w:after="100"/>
    </w:pPr>
  </w:style>
  <w:style w:type="paragraph" w:styleId="TOC3">
    <w:name w:val="toc 3"/>
    <w:basedOn w:val="Normal"/>
    <w:next w:val="Normal"/>
    <w:autoRedefine/>
    <w:uiPriority w:val="39"/>
    <w:unhideWhenUsed/>
    <w:rsid w:val="00145FAD"/>
    <w:pPr>
      <w:spacing w:after="100"/>
      <w:ind w:left="400"/>
    </w:pPr>
  </w:style>
  <w:style w:type="paragraph" w:customStyle="1" w:styleId="StyleBlueRight004Before3ptAfter72ptExpanded">
    <w:name w:val="Style Blue Right:  0.04&quot; Before:  3 pt After:  7.2 pt Expanded ..."/>
    <w:basedOn w:val="Normal"/>
    <w:rsid w:val="007725A9"/>
    <w:pPr>
      <w:spacing w:before="60" w:line="276" w:lineRule="auto"/>
      <w:ind w:right="58"/>
    </w:pPr>
    <w:rPr>
      <w:rFonts w:ascii="Trebuchet MS" w:eastAsia="Times New Roman" w:hAnsi="Trebuchet MS" w:cs="Times New Roman"/>
      <w:color w:val="0000FF"/>
      <w:spacing w:val="6"/>
      <w:sz w:val="22"/>
    </w:rPr>
  </w:style>
  <w:style w:type="character" w:customStyle="1" w:styleId="ListParagraphChar">
    <w:name w:val="List Paragraph Char"/>
    <w:aliases w:val="lp1 Char,List Paragraph1 Char,List Paragraph Char Char Char,b1 Char,Number_1 Char,List Paragraph11 Char,List Paragraph2 Char,Normal Sentence Char,Colorful List - Accent 11 Char,new Char,SGLText List Paragraph Char,ListPar1 Char"/>
    <w:link w:val="ListParagraph"/>
    <w:uiPriority w:val="34"/>
    <w:qFormat/>
    <w:locked/>
    <w:rsid w:val="007725A9"/>
    <w:rPr>
      <w:rFonts w:eastAsiaTheme="minorEastAsia"/>
      <w:sz w:val="20"/>
      <w:szCs w:val="20"/>
    </w:rPr>
  </w:style>
  <w:style w:type="paragraph" w:customStyle="1" w:styleId="lf-text-block">
    <w:name w:val="lf-text-block"/>
    <w:basedOn w:val="Normal"/>
    <w:rsid w:val="00331B5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lf-thread-btn">
    <w:name w:val="lf-thread-btn"/>
    <w:basedOn w:val="DefaultParagraphFont"/>
    <w:rsid w:val="00331B56"/>
  </w:style>
  <w:style w:type="character" w:styleId="Strong">
    <w:name w:val="Strong"/>
    <w:basedOn w:val="DefaultParagraphFont"/>
    <w:uiPriority w:val="22"/>
    <w:qFormat/>
    <w:rsid w:val="00331B56"/>
    <w:rPr>
      <w:b/>
      <w:bCs/>
    </w:rPr>
  </w:style>
  <w:style w:type="table" w:styleId="TableGrid">
    <w:name w:val="Table Grid"/>
    <w:aliases w:val="Tabla Microsoft Servicios,Table Grid (MS Design format)"/>
    <w:basedOn w:val="TableNormal"/>
    <w:uiPriority w:val="39"/>
    <w:rsid w:val="00331B5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331B56"/>
    <w:rPr>
      <w:i/>
      <w:iCs/>
    </w:rPr>
  </w:style>
  <w:style w:type="paragraph" w:styleId="NormalWeb">
    <w:name w:val="Normal (Web)"/>
    <w:basedOn w:val="Normal"/>
    <w:uiPriority w:val="99"/>
    <w:unhideWhenUsed/>
    <w:rsid w:val="00331B56"/>
    <w:pPr>
      <w:spacing w:before="100" w:beforeAutospacing="1" w:after="100" w:afterAutospacing="1" w:line="240" w:lineRule="auto"/>
    </w:pPr>
    <w:rPr>
      <w:rFonts w:ascii="Times New Roman" w:eastAsia="Times New Roman" w:hAnsi="Times New Roman" w:cs="Times New Roman"/>
      <w:sz w:val="24"/>
      <w:szCs w:val="24"/>
    </w:rPr>
  </w:style>
  <w:style w:type="paragraph" w:styleId="TOC2">
    <w:name w:val="toc 2"/>
    <w:basedOn w:val="Normal"/>
    <w:next w:val="Normal"/>
    <w:autoRedefine/>
    <w:uiPriority w:val="39"/>
    <w:unhideWhenUsed/>
    <w:rsid w:val="005742C3"/>
    <w:pPr>
      <w:spacing w:after="100"/>
      <w:ind w:left="200"/>
    </w:pPr>
  </w:style>
  <w:style w:type="paragraph" w:styleId="BalloonText">
    <w:name w:val="Balloon Text"/>
    <w:basedOn w:val="Normal"/>
    <w:link w:val="BalloonTextChar"/>
    <w:uiPriority w:val="99"/>
    <w:semiHidden/>
    <w:unhideWhenUsed/>
    <w:rsid w:val="0053115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31158"/>
    <w:rPr>
      <w:rFonts w:ascii="Segoe UI" w:eastAsiaTheme="minorEastAsia" w:hAnsi="Segoe UI" w:cs="Segoe UI"/>
      <w:sz w:val="18"/>
      <w:szCs w:val="18"/>
    </w:rPr>
  </w:style>
  <w:style w:type="character" w:styleId="UnresolvedMention">
    <w:name w:val="Unresolved Mention"/>
    <w:basedOn w:val="DefaultParagraphFont"/>
    <w:uiPriority w:val="99"/>
    <w:semiHidden/>
    <w:unhideWhenUsed/>
    <w:rsid w:val="00531158"/>
    <w:rPr>
      <w:color w:val="605E5C"/>
      <w:shd w:val="clear" w:color="auto" w:fill="E1DFDD"/>
    </w:rPr>
  </w:style>
  <w:style w:type="paragraph" w:customStyle="1" w:styleId="BodyMS">
    <w:name w:val="Body MS"/>
    <w:qFormat/>
    <w:rsid w:val="00D91A1A"/>
    <w:pPr>
      <w:spacing w:before="200" w:after="200" w:line="264" w:lineRule="auto"/>
    </w:pPr>
    <w:rPr>
      <w:rFonts w:ascii="Segoe Light" w:hAnsi="Segoe Light"/>
      <w:sz w:val="20"/>
      <w:szCs w:val="20"/>
    </w:rPr>
  </w:style>
  <w:style w:type="character" w:styleId="HTMLCode">
    <w:name w:val="HTML Code"/>
    <w:basedOn w:val="DefaultParagraphFont"/>
    <w:uiPriority w:val="99"/>
    <w:semiHidden/>
    <w:unhideWhenUsed/>
    <w:rsid w:val="003A503C"/>
    <w:rPr>
      <w:rFonts w:ascii="Courier New" w:eastAsia="Times New Roman" w:hAnsi="Courier New" w:cs="Courier New"/>
      <w:sz w:val="20"/>
      <w:szCs w:val="20"/>
    </w:rPr>
  </w:style>
  <w:style w:type="table" w:customStyle="1" w:styleId="TableGrid0">
    <w:name w:val="TableGrid"/>
    <w:rsid w:val="008C4EDF"/>
    <w:pPr>
      <w:spacing w:after="0" w:line="240" w:lineRule="auto"/>
    </w:pPr>
    <w:rPr>
      <w:rFonts w:eastAsiaTheme="minorEastAsia"/>
      <w:lang w:val="en-AE" w:eastAsia="en-AE"/>
    </w:rPr>
    <w:tblPr>
      <w:tblCellMar>
        <w:top w:w="0" w:type="dxa"/>
        <w:left w:w="0" w:type="dxa"/>
        <w:bottom w:w="0" w:type="dxa"/>
        <w:right w:w="0" w:type="dxa"/>
      </w:tblCellMar>
    </w:tblPr>
  </w:style>
  <w:style w:type="table" w:styleId="GridTable4-Accent1">
    <w:name w:val="Grid Table 4 Accent 1"/>
    <w:basedOn w:val="TableNormal"/>
    <w:uiPriority w:val="49"/>
    <w:rsid w:val="00CD7EB3"/>
    <w:pPr>
      <w:spacing w:after="0" w:line="240" w:lineRule="auto"/>
    </w:pPr>
    <w:rPr>
      <w:rFonts w:eastAsiaTheme="minorEastAsia"/>
      <w:sz w:val="24"/>
      <w:szCs w:val="24"/>
      <w:lang w:eastAsia="ja-JP"/>
    </w:rPr>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single" w:sz="4" w:space="0" w:color="5B9BD5"/>
          <w:left w:val="single" w:sz="4" w:space="0" w:color="5B9BD5"/>
          <w:bottom w:val="single" w:sz="4" w:space="0" w:color="5B9BD5"/>
          <w:right w:val="single" w:sz="4" w:space="0" w:color="5B9BD5"/>
          <w:insideH w:val="nil"/>
          <w:insideV w:val="nil"/>
        </w:tcBorders>
        <w:shd w:val="clear" w:color="auto" w:fill="5B9BD5" w:themeFill="accent1"/>
      </w:tcPr>
    </w:tblStylePr>
    <w:tblStylePr w:type="lastRow">
      <w:rPr>
        <w:b/>
        <w:bCs/>
      </w:rPr>
      <w:tblPr/>
      <w:tcPr>
        <w:tcBorders>
          <w:top w:val="double" w:sz="4" w:space="0" w:color="5B9BD5"/>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230739">
      <w:bodyDiv w:val="1"/>
      <w:marLeft w:val="0"/>
      <w:marRight w:val="0"/>
      <w:marTop w:val="0"/>
      <w:marBottom w:val="0"/>
      <w:divBdr>
        <w:top w:val="none" w:sz="0" w:space="0" w:color="auto"/>
        <w:left w:val="none" w:sz="0" w:space="0" w:color="auto"/>
        <w:bottom w:val="none" w:sz="0" w:space="0" w:color="auto"/>
        <w:right w:val="none" w:sz="0" w:space="0" w:color="auto"/>
      </w:divBdr>
    </w:div>
    <w:div w:id="525557580">
      <w:bodyDiv w:val="1"/>
      <w:marLeft w:val="0"/>
      <w:marRight w:val="0"/>
      <w:marTop w:val="0"/>
      <w:marBottom w:val="0"/>
      <w:divBdr>
        <w:top w:val="none" w:sz="0" w:space="0" w:color="auto"/>
        <w:left w:val="none" w:sz="0" w:space="0" w:color="auto"/>
        <w:bottom w:val="none" w:sz="0" w:space="0" w:color="auto"/>
        <w:right w:val="none" w:sz="0" w:space="0" w:color="auto"/>
      </w:divBdr>
    </w:div>
    <w:div w:id="943465347">
      <w:bodyDiv w:val="1"/>
      <w:marLeft w:val="0"/>
      <w:marRight w:val="0"/>
      <w:marTop w:val="0"/>
      <w:marBottom w:val="0"/>
      <w:divBdr>
        <w:top w:val="none" w:sz="0" w:space="0" w:color="auto"/>
        <w:left w:val="none" w:sz="0" w:space="0" w:color="auto"/>
        <w:bottom w:val="none" w:sz="0" w:space="0" w:color="auto"/>
        <w:right w:val="none" w:sz="0" w:space="0" w:color="auto"/>
      </w:divBdr>
      <w:divsChild>
        <w:div w:id="1795783256">
          <w:marLeft w:val="0"/>
          <w:marRight w:val="0"/>
          <w:marTop w:val="0"/>
          <w:marBottom w:val="0"/>
          <w:divBdr>
            <w:top w:val="none" w:sz="0" w:space="0" w:color="auto"/>
            <w:left w:val="none" w:sz="0" w:space="0" w:color="auto"/>
            <w:bottom w:val="none" w:sz="0" w:space="0" w:color="auto"/>
            <w:right w:val="none" w:sz="0" w:space="0" w:color="auto"/>
          </w:divBdr>
        </w:div>
      </w:divsChild>
    </w:div>
    <w:div w:id="1345205751">
      <w:bodyDiv w:val="1"/>
      <w:marLeft w:val="0"/>
      <w:marRight w:val="0"/>
      <w:marTop w:val="0"/>
      <w:marBottom w:val="0"/>
      <w:divBdr>
        <w:top w:val="none" w:sz="0" w:space="0" w:color="auto"/>
        <w:left w:val="none" w:sz="0" w:space="0" w:color="auto"/>
        <w:bottom w:val="none" w:sz="0" w:space="0" w:color="auto"/>
        <w:right w:val="none" w:sz="0" w:space="0" w:color="auto"/>
      </w:divBdr>
    </w:div>
    <w:div w:id="1413354807">
      <w:bodyDiv w:val="1"/>
      <w:marLeft w:val="0"/>
      <w:marRight w:val="0"/>
      <w:marTop w:val="0"/>
      <w:marBottom w:val="0"/>
      <w:divBdr>
        <w:top w:val="none" w:sz="0" w:space="0" w:color="auto"/>
        <w:left w:val="none" w:sz="0" w:space="0" w:color="auto"/>
        <w:bottom w:val="none" w:sz="0" w:space="0" w:color="auto"/>
        <w:right w:val="none" w:sz="0" w:space="0" w:color="auto"/>
      </w:divBdr>
    </w:div>
    <w:div w:id="1481968460">
      <w:bodyDiv w:val="1"/>
      <w:marLeft w:val="0"/>
      <w:marRight w:val="0"/>
      <w:marTop w:val="0"/>
      <w:marBottom w:val="0"/>
      <w:divBdr>
        <w:top w:val="none" w:sz="0" w:space="0" w:color="auto"/>
        <w:left w:val="none" w:sz="0" w:space="0" w:color="auto"/>
        <w:bottom w:val="none" w:sz="0" w:space="0" w:color="auto"/>
        <w:right w:val="none" w:sz="0" w:space="0" w:color="auto"/>
      </w:divBdr>
    </w:div>
    <w:div w:id="1575893600">
      <w:bodyDiv w:val="1"/>
      <w:marLeft w:val="0"/>
      <w:marRight w:val="0"/>
      <w:marTop w:val="0"/>
      <w:marBottom w:val="0"/>
      <w:divBdr>
        <w:top w:val="none" w:sz="0" w:space="0" w:color="auto"/>
        <w:left w:val="none" w:sz="0" w:space="0" w:color="auto"/>
        <w:bottom w:val="none" w:sz="0" w:space="0" w:color="auto"/>
        <w:right w:val="none" w:sz="0" w:space="0" w:color="auto"/>
      </w:divBdr>
      <w:divsChild>
        <w:div w:id="1300497724">
          <w:marLeft w:val="0"/>
          <w:marRight w:val="0"/>
          <w:marTop w:val="0"/>
          <w:marBottom w:val="0"/>
          <w:divBdr>
            <w:top w:val="none" w:sz="0" w:space="0" w:color="auto"/>
            <w:left w:val="none" w:sz="0" w:space="0" w:color="auto"/>
            <w:bottom w:val="none" w:sz="0" w:space="0" w:color="auto"/>
            <w:right w:val="none" w:sz="0" w:space="0" w:color="auto"/>
          </w:divBdr>
        </w:div>
      </w:divsChild>
    </w:div>
    <w:div w:id="1735816819">
      <w:bodyDiv w:val="1"/>
      <w:marLeft w:val="0"/>
      <w:marRight w:val="0"/>
      <w:marTop w:val="0"/>
      <w:marBottom w:val="0"/>
      <w:divBdr>
        <w:top w:val="none" w:sz="0" w:space="0" w:color="auto"/>
        <w:left w:val="none" w:sz="0" w:space="0" w:color="auto"/>
        <w:bottom w:val="none" w:sz="0" w:space="0" w:color="auto"/>
        <w:right w:val="none" w:sz="0" w:space="0" w:color="auto"/>
      </w:divBdr>
      <w:divsChild>
        <w:div w:id="1849558859">
          <w:marLeft w:val="0"/>
          <w:marRight w:val="0"/>
          <w:marTop w:val="0"/>
          <w:marBottom w:val="0"/>
          <w:divBdr>
            <w:top w:val="none" w:sz="0" w:space="0" w:color="auto"/>
            <w:left w:val="none" w:sz="0" w:space="0" w:color="auto"/>
            <w:bottom w:val="none" w:sz="0" w:space="0" w:color="auto"/>
            <w:right w:val="none" w:sz="0" w:space="0" w:color="auto"/>
          </w:divBdr>
        </w:div>
        <w:div w:id="1734281066">
          <w:marLeft w:val="0"/>
          <w:marRight w:val="0"/>
          <w:marTop w:val="0"/>
          <w:marBottom w:val="0"/>
          <w:divBdr>
            <w:top w:val="none" w:sz="0" w:space="0" w:color="auto"/>
            <w:left w:val="none" w:sz="0" w:space="0" w:color="auto"/>
            <w:bottom w:val="none" w:sz="0" w:space="0" w:color="auto"/>
            <w:right w:val="none" w:sz="0" w:space="0" w:color="auto"/>
          </w:divBdr>
        </w:div>
      </w:divsChild>
    </w:div>
    <w:div w:id="1798989676">
      <w:bodyDiv w:val="1"/>
      <w:marLeft w:val="0"/>
      <w:marRight w:val="0"/>
      <w:marTop w:val="0"/>
      <w:marBottom w:val="0"/>
      <w:divBdr>
        <w:top w:val="none" w:sz="0" w:space="0" w:color="auto"/>
        <w:left w:val="none" w:sz="0" w:space="0" w:color="auto"/>
        <w:bottom w:val="none" w:sz="0" w:space="0" w:color="auto"/>
        <w:right w:val="none" w:sz="0" w:space="0" w:color="auto"/>
      </w:divBdr>
    </w:div>
    <w:div w:id="1959674483">
      <w:bodyDiv w:val="1"/>
      <w:marLeft w:val="0"/>
      <w:marRight w:val="0"/>
      <w:marTop w:val="0"/>
      <w:marBottom w:val="0"/>
      <w:divBdr>
        <w:top w:val="none" w:sz="0" w:space="0" w:color="auto"/>
        <w:left w:val="none" w:sz="0" w:space="0" w:color="auto"/>
        <w:bottom w:val="none" w:sz="0" w:space="0" w:color="auto"/>
        <w:right w:val="none" w:sz="0" w:space="0" w:color="auto"/>
      </w:divBdr>
    </w:div>
    <w:div w:id="1965309303">
      <w:bodyDiv w:val="1"/>
      <w:marLeft w:val="0"/>
      <w:marRight w:val="0"/>
      <w:marTop w:val="0"/>
      <w:marBottom w:val="0"/>
      <w:divBdr>
        <w:top w:val="none" w:sz="0" w:space="0" w:color="auto"/>
        <w:left w:val="none" w:sz="0" w:space="0" w:color="auto"/>
        <w:bottom w:val="none" w:sz="0" w:space="0" w:color="auto"/>
        <w:right w:val="none" w:sz="0" w:space="0" w:color="auto"/>
      </w:divBdr>
    </w:div>
    <w:div w:id="2079010272">
      <w:bodyDiv w:val="1"/>
      <w:marLeft w:val="0"/>
      <w:marRight w:val="0"/>
      <w:marTop w:val="0"/>
      <w:marBottom w:val="0"/>
      <w:divBdr>
        <w:top w:val="none" w:sz="0" w:space="0" w:color="auto"/>
        <w:left w:val="none" w:sz="0" w:space="0" w:color="auto"/>
        <w:bottom w:val="none" w:sz="0" w:space="0" w:color="auto"/>
        <w:right w:val="none" w:sz="0" w:space="0" w:color="auto"/>
      </w:divBdr>
    </w:div>
    <w:div w:id="2099254826">
      <w:bodyDiv w:val="1"/>
      <w:marLeft w:val="0"/>
      <w:marRight w:val="0"/>
      <w:marTop w:val="0"/>
      <w:marBottom w:val="0"/>
      <w:divBdr>
        <w:top w:val="none" w:sz="0" w:space="0" w:color="auto"/>
        <w:left w:val="none" w:sz="0" w:space="0" w:color="auto"/>
        <w:bottom w:val="none" w:sz="0" w:space="0" w:color="auto"/>
        <w:right w:val="none" w:sz="0" w:space="0" w:color="auto"/>
      </w:divBdr>
      <w:divsChild>
        <w:div w:id="1766345136">
          <w:marLeft w:val="0"/>
          <w:marRight w:val="0"/>
          <w:marTop w:val="0"/>
          <w:marBottom w:val="0"/>
          <w:divBdr>
            <w:top w:val="none" w:sz="0" w:space="0" w:color="auto"/>
            <w:left w:val="none" w:sz="0" w:space="0" w:color="auto"/>
            <w:bottom w:val="none" w:sz="0" w:space="0" w:color="auto"/>
            <w:right w:val="none" w:sz="0" w:space="0" w:color="auto"/>
          </w:divBdr>
        </w:div>
        <w:div w:id="213667378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image" Target="cid:image002.png@01D87E4F.6A131020" TargetMode="Externa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3.xml"/></Relationships>
</file>

<file path=word/_rels/header1.xml.rels><?xml version="1.0" encoding="UTF-8" standalone="yes"?>
<Relationships xmlns="http://schemas.openxmlformats.org/package/2006/relationships"><Relationship Id="rId2" Type="http://schemas.openxmlformats.org/officeDocument/2006/relationships/image" Target="cid:image002.png@01D87E4F.6A131020" TargetMode="External"/><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25</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F2876D12-F11F-4DC3-A083-856F828E449B}">
  <ds:schemaRefs>
    <ds:schemaRef ds:uri="http://schemas.openxmlformats.org/officeDocument/2006/bibliography"/>
  </ds:schemaRefs>
</ds:datastoreItem>
</file>

<file path=docMetadata/LabelInfo.xml><?xml version="1.0" encoding="utf-8"?>
<clbl:labelList xmlns:clbl="http://schemas.microsoft.com/office/2020/mipLabelMetadata">
  <clbl:label id="{a7a471ca-2c4b-4a75-8ee2-a41ce8b6c322}" enabled="1" method="Privileged" siteId="{e79918f6-a69b-4b33-8166-e897131f7346}" contentBits="3" removed="0"/>
</clbl:labelList>
</file>

<file path=docProps/app.xml><?xml version="1.0" encoding="utf-8"?>
<Properties xmlns="http://schemas.openxmlformats.org/officeDocument/2006/extended-properties" xmlns:vt="http://schemas.openxmlformats.org/officeDocument/2006/docPropsVTypes">
  <Template>Normal</Template>
  <TotalTime>509</TotalTime>
  <Pages>4</Pages>
  <Words>1916</Words>
  <Characters>11199</Characters>
  <Application>Microsoft Office Word</Application>
  <DocSecurity>0</DocSecurity>
  <Lines>370</Lines>
  <Paragraphs>34</Paragraphs>
  <ScaleCrop>false</ScaleCrop>
  <HeadingPairs>
    <vt:vector size="2" baseType="variant">
      <vt:variant>
        <vt:lpstr>Title</vt:lpstr>
      </vt:variant>
      <vt:variant>
        <vt:i4>1</vt:i4>
      </vt:variant>
    </vt:vector>
  </HeadingPairs>
  <TitlesOfParts>
    <vt:vector size="1" baseType="lpstr">
      <vt:lpstr>Microsoft Windows Server Migration</vt:lpstr>
    </vt:vector>
  </TitlesOfParts>
  <Company>Tech one global (pvt) ltd</Company>
  <LinksUpToDate>false</LinksUpToDate>
  <CharactersWithSpaces>13098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Windows Server Migration</dc:title>
  <dc:subject>WINDOWS MIGRATION design document for BEC ARABIA</dc:subject>
  <dc:creator>Version 1.6</dc:creator>
  <cp:keywords/>
  <dc:description/>
  <cp:lastModifiedBy>Salin Kumar</cp:lastModifiedBy>
  <cp:revision>190</cp:revision>
  <cp:lastPrinted>2025-08-12T06:51:00Z</cp:lastPrinted>
  <dcterms:created xsi:type="dcterms:W3CDTF">2025-08-20T08:40:00Z</dcterms:created>
  <dcterms:modified xsi:type="dcterms:W3CDTF">2026-02-14T17:44:00Z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46173104,382c6e8b,7873a101</vt:lpwstr>
  </property>
  <property fmtid="{D5CDD505-2E9C-101B-9397-08002B2CF9AE}" pid="3" name="ClassificationContentMarkingFooterFontProps">
    <vt:lpwstr>#000000,10,Calibri</vt:lpwstr>
  </property>
  <property fmtid="{D5CDD505-2E9C-101B-9397-08002B2CF9AE}" pid="4" name="ClassificationContentMarkingFooterText">
    <vt:lpwstr>Information Classification: Public </vt:lpwstr>
  </property>
  <property fmtid="{D5CDD505-2E9C-101B-9397-08002B2CF9AE}" pid="5" name="MSIP_Label_defa4170-0d19-0005-0001-bc88714345d2_Enabled">
    <vt:lpwstr>true</vt:lpwstr>
  </property>
  <property fmtid="{D5CDD505-2E9C-101B-9397-08002B2CF9AE}" pid="6" name="MSIP_Label_defa4170-0d19-0005-0001-bc88714345d2_SetDate">
    <vt:lpwstr>2025-07-31T09:19:41Z</vt:lpwstr>
  </property>
  <property fmtid="{D5CDD505-2E9C-101B-9397-08002B2CF9AE}" pid="7" name="MSIP_Label_defa4170-0d19-0005-0001-bc88714345d2_Method">
    <vt:lpwstr>Privileged</vt:lpwstr>
  </property>
  <property fmtid="{D5CDD505-2E9C-101B-9397-08002B2CF9AE}" pid="8" name="MSIP_Label_defa4170-0d19-0005-0001-bc88714345d2_Name">
    <vt:lpwstr>defa4170-0d19-0005-0001-bc88714345d2</vt:lpwstr>
  </property>
  <property fmtid="{D5CDD505-2E9C-101B-9397-08002B2CF9AE}" pid="9" name="MSIP_Label_defa4170-0d19-0005-0001-bc88714345d2_SiteId">
    <vt:lpwstr>d0e2d202-86f7-4fd0-a150-f030292f015e</vt:lpwstr>
  </property>
  <property fmtid="{D5CDD505-2E9C-101B-9397-08002B2CF9AE}" pid="10" name="MSIP_Label_defa4170-0d19-0005-0001-bc88714345d2_ActionId">
    <vt:lpwstr>a5f6989b-769f-4bb0-9413-b40f0b9376c7</vt:lpwstr>
  </property>
  <property fmtid="{D5CDD505-2E9C-101B-9397-08002B2CF9AE}" pid="11" name="MSIP_Label_defa4170-0d19-0005-0001-bc88714345d2_ContentBits">
    <vt:lpwstr>0</vt:lpwstr>
  </property>
  <property fmtid="{D5CDD505-2E9C-101B-9397-08002B2CF9AE}" pid="12" name="MSIP_Label_defa4170-0d19-0005-0001-bc88714345d2_Tag">
    <vt:lpwstr>10, 0, 1, 1</vt:lpwstr>
  </property>
</Properties>
</file>