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404174369" w:displacedByCustomXml="next"/>
    <w:bookmarkStart w:id="1" w:name="_Toc404174712" w:displacedByCustomXml="next"/>
    <w:bookmarkStart w:id="2" w:name="_Toc404606176" w:displacedByCustomXml="next"/>
    <w:bookmarkStart w:id="3" w:name="_Toc416446793" w:displacedByCustomXml="next"/>
    <w:bookmarkStart w:id="4" w:name="_Toc431484045" w:displacedByCustomXml="next"/>
    <w:bookmarkStart w:id="5" w:name="_Toc435193991" w:displacedByCustomXml="next"/>
    <w:bookmarkStart w:id="6" w:name="_Toc436559832" w:displacedByCustomXml="next"/>
    <w:bookmarkStart w:id="7" w:name="_Toc452993511" w:displacedByCustomXml="next"/>
    <w:bookmarkStart w:id="8" w:name="_Toc453144376" w:displacedByCustomXml="next"/>
    <w:sdt>
      <w:sdtPr>
        <w:id w:val="-255055889"/>
        <w:docPartObj>
          <w:docPartGallery w:val="Cover Pages"/>
          <w:docPartUnique/>
        </w:docPartObj>
      </w:sdtPr>
      <w:sdtEndPr>
        <w:rPr>
          <w:color w:val="5B9BD5" w:themeColor="accent1"/>
          <w:sz w:val="22"/>
          <w:szCs w:val="22"/>
        </w:rPr>
      </w:sdtEndPr>
      <w:sdtContent>
        <w:p w14:paraId="55B92AE7" w14:textId="06651B80" w:rsidR="009B45F0" w:rsidRPr="009B45F0" w:rsidRDefault="00AF0FBB" w:rsidP="009B45F0">
          <w:r>
            <w:rPr>
              <w:noProof/>
              <w:color w:val="1F497D"/>
            </w:rPr>
            <w:drawing>
              <wp:anchor distT="0" distB="0" distL="114300" distR="114300" simplePos="0" relativeHeight="251663360" behindDoc="0" locked="0" layoutInCell="1" allowOverlap="1" wp14:anchorId="0C9C0C27" wp14:editId="052E85BB">
                <wp:simplePos x="0" y="0"/>
                <wp:positionH relativeFrom="margin">
                  <wp:posOffset>0</wp:posOffset>
                </wp:positionH>
                <wp:positionV relativeFrom="paragraph">
                  <wp:posOffset>0</wp:posOffset>
                </wp:positionV>
                <wp:extent cx="1476375" cy="428625"/>
                <wp:effectExtent l="0" t="0" r="9525" b="9525"/>
                <wp:wrapThrough wrapText="bothSides">
                  <wp:wrapPolygon edited="0">
                    <wp:start x="0" y="0"/>
                    <wp:lineTo x="0" y="21120"/>
                    <wp:lineTo x="21461" y="21120"/>
                    <wp:lineTo x="21461"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1476375" cy="428625"/>
                        </a:xfrm>
                        <a:prstGeom prst="rect">
                          <a:avLst/>
                        </a:prstGeom>
                        <a:noFill/>
                        <a:ln>
                          <a:noFill/>
                        </a:ln>
                      </pic:spPr>
                    </pic:pic>
                  </a:graphicData>
                </a:graphic>
              </wp:anchor>
            </w:drawing>
          </w:r>
        </w:p>
      </w:sdtContent>
    </w:sdt>
    <w:p w14:paraId="3102BD91" w14:textId="38681B6A" w:rsidR="00145FAD" w:rsidRDefault="00145FAD" w:rsidP="00145FAD"/>
    <w:p w14:paraId="583A891C" w14:textId="77777777" w:rsidR="005C2C76" w:rsidRDefault="005C2C76" w:rsidP="005C2C76">
      <w:pPr>
        <w:pStyle w:val="Heading1"/>
      </w:pPr>
      <w:r>
        <w:t>Microsoft Cloud AI Platform Strategic Framework (Azure &amp; Microsoft 365)</w:t>
      </w:r>
    </w:p>
    <w:p w14:paraId="58AAD3B5" w14:textId="77777777" w:rsidR="005C2C76" w:rsidRDefault="005C2C76" w:rsidP="009B5024">
      <w:pPr>
        <w:jc w:val="both"/>
      </w:pPr>
      <w:r>
        <w:rPr>
          <w:b/>
          <w:bCs/>
        </w:rPr>
        <w:t>A high-level strategic framework for building and managing AI solutions on Microsoft’s cloud</w:t>
      </w:r>
      <w:r>
        <w:t xml:space="preserve"> – spanning </w:t>
      </w:r>
      <w:r>
        <w:rPr>
          <w:b/>
          <w:bCs/>
        </w:rPr>
        <w:t>Azure AI services and Microsoft 365 Copilot</w:t>
      </w:r>
      <w:r>
        <w:t xml:space="preserve"> – provides a reusable blueprint for partners and resellers to drive </w:t>
      </w:r>
      <w:r>
        <w:rPr>
          <w:b/>
          <w:bCs/>
        </w:rPr>
        <w:t>innovative AI deployments at scale while maintaining robust governance and trust</w:t>
      </w:r>
      <w:r>
        <w:t xml:space="preserve">. It emphasizes </w:t>
      </w:r>
      <w:r>
        <w:rPr>
          <w:b/>
          <w:bCs/>
        </w:rPr>
        <w:t>responsible AI use, strong architectural foundations</w:t>
      </w:r>
      <w:r>
        <w:t xml:space="preserve">, and </w:t>
      </w:r>
      <w:r>
        <w:rPr>
          <w:b/>
          <w:bCs/>
        </w:rPr>
        <w:t>full lifecycle governance</w:t>
      </w:r>
      <w:r>
        <w:t xml:space="preserve">, aligned with global standards to ensure </w:t>
      </w:r>
      <w:r>
        <w:rPr>
          <w:b/>
          <w:bCs/>
        </w:rPr>
        <w:t>compliance-by-design</w:t>
      </w:r>
      <w:r>
        <w:t xml:space="preserve"> across industries.</w:t>
      </w:r>
    </w:p>
    <w:p w14:paraId="2C88AD1C" w14:textId="77777777" w:rsidR="005C2C76" w:rsidRDefault="005C2C76" w:rsidP="009B5024">
      <w:pPr>
        <w:jc w:val="both"/>
      </w:pPr>
      <w:r>
        <w:rPr>
          <w:b/>
          <w:bCs/>
        </w:rPr>
        <w:t>Core AI Platform Domains and Objectives:</w:t>
      </w:r>
      <w:r>
        <w:t xml:space="preserve"> The framework is organized into several </w:t>
      </w:r>
      <w:r>
        <w:rPr>
          <w:b/>
          <w:bCs/>
        </w:rPr>
        <w:t>key domains</w:t>
      </w:r>
      <w:r>
        <w:t xml:space="preserve">, each with a strategic objective, guiding governance principle, and compliance considerations. This structure ensures a </w:t>
      </w:r>
      <w:r>
        <w:rPr>
          <w:b/>
          <w:bCs/>
        </w:rPr>
        <w:t>holistic approach</w:t>
      </w:r>
      <w:r>
        <w:t xml:space="preserve"> that covers all critical aspects of AI solution development and deployment on Microsoft’s cloud:</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2"/>
        <w:gridCol w:w="2234"/>
        <w:gridCol w:w="2894"/>
        <w:gridCol w:w="2810"/>
      </w:tblGrid>
      <w:tr w:rsidR="005C2C76" w14:paraId="67CDE719" w14:textId="77777777" w:rsidTr="001558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265C34C" w14:textId="77777777" w:rsidR="005C2C76" w:rsidRDefault="005C2C76" w:rsidP="00155854">
            <w:r>
              <w:t>AI Platform Domain</w:t>
            </w:r>
          </w:p>
        </w:tc>
        <w:tc>
          <w:tcPr>
            <w:tcW w:w="0" w:type="auto"/>
            <w:vAlign w:val="center"/>
          </w:tcPr>
          <w:p w14:paraId="6501EFF5" w14:textId="77777777" w:rsidR="005C2C76" w:rsidRDefault="005C2C76" w:rsidP="00155854">
            <w:pPr>
              <w:cnfStyle w:val="100000000000" w:firstRow="1" w:lastRow="0" w:firstColumn="0" w:lastColumn="0" w:oddVBand="0" w:evenVBand="0" w:oddHBand="0" w:evenHBand="0" w:firstRowFirstColumn="0" w:firstRowLastColumn="0" w:lastRowFirstColumn="0" w:lastRowLastColumn="0"/>
            </w:pPr>
            <w:r>
              <w:t>Strategic Objective (What)</w:t>
            </w:r>
          </w:p>
        </w:tc>
        <w:tc>
          <w:tcPr>
            <w:tcW w:w="0" w:type="auto"/>
            <w:vAlign w:val="center"/>
          </w:tcPr>
          <w:p w14:paraId="165F706F" w14:textId="77777777" w:rsidR="005C2C76" w:rsidRDefault="005C2C76" w:rsidP="00155854">
            <w:pPr>
              <w:cnfStyle w:val="100000000000" w:firstRow="1" w:lastRow="0" w:firstColumn="0" w:lastColumn="0" w:oddVBand="0" w:evenVBand="0" w:oddHBand="0" w:evenHBand="0" w:firstRowFirstColumn="0" w:firstRowLastColumn="0" w:lastRowFirstColumn="0" w:lastRowLastColumn="0"/>
            </w:pPr>
            <w:r>
              <w:t>Governance Principle (How)</w:t>
            </w:r>
          </w:p>
        </w:tc>
        <w:tc>
          <w:tcPr>
            <w:tcW w:w="0" w:type="auto"/>
            <w:vAlign w:val="center"/>
          </w:tcPr>
          <w:p w14:paraId="66691169" w14:textId="77777777" w:rsidR="005C2C76" w:rsidRDefault="005C2C76" w:rsidP="00155854">
            <w:pPr>
              <w:cnfStyle w:val="100000000000" w:firstRow="1" w:lastRow="0" w:firstColumn="0" w:lastColumn="0" w:oddVBand="0" w:evenVBand="0" w:oddHBand="0" w:evenHBand="0" w:firstRowFirstColumn="0" w:firstRowLastColumn="0" w:lastRowFirstColumn="0" w:lastRowLastColumn="0"/>
            </w:pPr>
            <w:r>
              <w:t>Key Compliance Considerations (Why)</w:t>
            </w:r>
          </w:p>
        </w:tc>
      </w:tr>
      <w:tr w:rsidR="005C2C76" w14:paraId="65DC8134" w14:textId="77777777" w:rsidTr="001558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12790E2" w14:textId="77777777" w:rsidR="005C2C76" w:rsidRDefault="005C2C76" w:rsidP="00155854">
            <w:r>
              <w:t>Responsible AI &amp; Ethics</w:t>
            </w:r>
          </w:p>
        </w:tc>
        <w:tc>
          <w:tcPr>
            <w:tcW w:w="0" w:type="auto"/>
            <w:vAlign w:val="center"/>
          </w:tcPr>
          <w:p w14:paraId="45EE1008" w14:textId="77777777" w:rsidR="005C2C76" w:rsidRDefault="005C2C76" w:rsidP="009B5024">
            <w:pPr>
              <w:jc w:val="both"/>
              <w:cnfStyle w:val="000000100000" w:firstRow="0" w:lastRow="0" w:firstColumn="0" w:lastColumn="0" w:oddVBand="0" w:evenVBand="0" w:oddHBand="1" w:evenHBand="0" w:firstRowFirstColumn="0" w:firstRowLastColumn="0" w:lastRowFirstColumn="0" w:lastRowLastColumn="0"/>
            </w:pPr>
            <w:proofErr w:type="gramStart"/>
            <w:r>
              <w:t>Ensure</w:t>
            </w:r>
            <w:proofErr w:type="gramEnd"/>
            <w:r>
              <w:t xml:space="preserve"> AI solutions are </w:t>
            </w:r>
            <w:r>
              <w:rPr>
                <w:i/>
                <w:iCs/>
              </w:rPr>
              <w:t>trustworthy and ethical by design</w:t>
            </w:r>
            <w:r>
              <w:t xml:space="preserve">, delivering fair, transparent, and accountable outcomes that </w:t>
            </w:r>
            <w:r>
              <w:rPr>
                <w:b/>
                <w:bCs/>
              </w:rPr>
              <w:t>augment human decision-making without unintended bias or harm</w:t>
            </w:r>
            <w:r>
              <w:t>.</w:t>
            </w:r>
          </w:p>
        </w:tc>
        <w:tc>
          <w:tcPr>
            <w:tcW w:w="0" w:type="auto"/>
            <w:vAlign w:val="center"/>
          </w:tcPr>
          <w:p w14:paraId="58E9EC41" w14:textId="77777777" w:rsidR="005C2C76" w:rsidRDefault="005C2C76" w:rsidP="009B5024">
            <w:pPr>
              <w:jc w:val="both"/>
              <w:cnfStyle w:val="000000100000" w:firstRow="0" w:lastRow="0" w:firstColumn="0" w:lastColumn="0" w:oddVBand="0" w:evenVBand="0" w:oddHBand="1" w:evenHBand="0" w:firstRowFirstColumn="0" w:firstRowLastColumn="0" w:lastRowFirstColumn="0" w:lastRowLastColumn="0"/>
            </w:pPr>
            <w:r>
              <w:t xml:space="preserve">Establish clear </w:t>
            </w:r>
            <w:r>
              <w:rPr>
                <w:b/>
                <w:bCs/>
              </w:rPr>
              <w:t>Responsible AI guidelines</w:t>
            </w:r>
            <w:r>
              <w:t xml:space="preserve"> and an ethics review process for all AI projects. Integrate </w:t>
            </w:r>
            <w:r>
              <w:rPr>
                <w:b/>
                <w:bCs/>
              </w:rPr>
              <w:t>bias mitigation, transparency, and human oversight</w:t>
            </w:r>
            <w:r>
              <w:t xml:space="preserve"> into development: use fairness metrics and diverse training data, regular bias audits, and human-in-the-loop reviews of AI outputs. Employ robust content </w:t>
            </w:r>
            <w:r>
              <w:rPr>
                <w:b/>
                <w:bCs/>
              </w:rPr>
              <w:t>safety filters</w:t>
            </w:r>
            <w:r>
              <w:t xml:space="preserve"> to intercept harmful instructions or outputs from generative AI </w:t>
            </w:r>
            <w:proofErr w:type="gramStart"/>
            <w:r>
              <w:t>models, and</w:t>
            </w:r>
            <w:proofErr w:type="gramEnd"/>
            <w:r>
              <w:t xml:space="preserve"> require all AI use cases to pass ethical criteria (avoiding use in areas that conflict with company values or societal laws).</w:t>
            </w:r>
          </w:p>
        </w:tc>
        <w:tc>
          <w:tcPr>
            <w:tcW w:w="0" w:type="auto"/>
            <w:vAlign w:val="center"/>
          </w:tcPr>
          <w:p w14:paraId="2119624A" w14:textId="77777777" w:rsidR="005C2C76" w:rsidRDefault="005C2C76" w:rsidP="009B5024">
            <w:pPr>
              <w:jc w:val="both"/>
              <w:cnfStyle w:val="000000100000" w:firstRow="0" w:lastRow="0" w:firstColumn="0" w:lastColumn="0" w:oddVBand="0" w:evenVBand="0" w:oddHBand="1" w:evenHBand="0" w:firstRowFirstColumn="0" w:firstRowLastColumn="0" w:lastRowFirstColumn="0" w:lastRowLastColumn="0"/>
            </w:pPr>
            <w:r>
              <w:t xml:space="preserve">Adhere to global ethical AI frameworks. </w:t>
            </w:r>
            <w:r>
              <w:rPr>
                <w:b/>
                <w:bCs/>
              </w:rPr>
              <w:t>ISO/IEC 42001</w:t>
            </w:r>
            <w:r>
              <w:t xml:space="preserve"> and similar standards mandate embedding principles like fairness, accountability, and transparency into AI systems. The </w:t>
            </w:r>
            <w:r>
              <w:rPr>
                <w:b/>
                <w:bCs/>
              </w:rPr>
              <w:t>EU AI Act</w:t>
            </w:r>
            <w:r>
              <w:t xml:space="preserve"> prohibits AI with </w:t>
            </w:r>
            <w:r>
              <w:rPr>
                <w:i/>
                <w:iCs/>
              </w:rPr>
              <w:t>“unacceptable risk”</w:t>
            </w:r>
            <w:r>
              <w:t xml:space="preserve"> (e.g. manipulative or discriminatory systems) and requires that any </w:t>
            </w:r>
            <w:r>
              <w:rPr>
                <w:i/>
                <w:iCs/>
              </w:rPr>
              <w:t>high-risk AI</w:t>
            </w:r>
            <w:r>
              <w:t xml:space="preserve"> (e.g. in HR, finance, healthcare) include measures for bias control, human oversight, and thorough documentation. By preemptively implementing these safeguards, organizations reduce legal risk and build user trust.</w:t>
            </w:r>
          </w:p>
        </w:tc>
      </w:tr>
      <w:tr w:rsidR="005C2C76" w14:paraId="786B0D27" w14:textId="77777777" w:rsidTr="00155854">
        <w:tc>
          <w:tcPr>
            <w:cnfStyle w:val="001000000000" w:firstRow="0" w:lastRow="0" w:firstColumn="1" w:lastColumn="0" w:oddVBand="0" w:evenVBand="0" w:oddHBand="0" w:evenHBand="0" w:firstRowFirstColumn="0" w:firstRowLastColumn="0" w:lastRowFirstColumn="0" w:lastRowLastColumn="0"/>
            <w:tcW w:w="0" w:type="auto"/>
            <w:vAlign w:val="center"/>
          </w:tcPr>
          <w:p w14:paraId="57559D4D" w14:textId="77777777" w:rsidR="005C2C76" w:rsidRDefault="005C2C76" w:rsidP="00155854">
            <w:r>
              <w:t>AI Platform Architecture &amp; Integration</w:t>
            </w:r>
          </w:p>
        </w:tc>
        <w:tc>
          <w:tcPr>
            <w:tcW w:w="0" w:type="auto"/>
            <w:vAlign w:val="center"/>
          </w:tcPr>
          <w:p w14:paraId="0A808504" w14:textId="77777777" w:rsidR="005C2C76" w:rsidRDefault="005C2C76" w:rsidP="009B5024">
            <w:pPr>
              <w:jc w:val="both"/>
              <w:cnfStyle w:val="000000000000" w:firstRow="0" w:lastRow="0" w:firstColumn="0" w:lastColumn="0" w:oddVBand="0" w:evenVBand="0" w:oddHBand="0" w:evenHBand="0" w:firstRowFirstColumn="0" w:firstRowLastColumn="0" w:lastRowFirstColumn="0" w:lastRowLastColumn="0"/>
            </w:pPr>
            <w:r>
              <w:t xml:space="preserve">Design a </w:t>
            </w:r>
            <w:r>
              <w:rPr>
                <w:b/>
                <w:bCs/>
              </w:rPr>
              <w:t>robust, scalable cloud architecture</w:t>
            </w:r>
            <w:r>
              <w:t xml:space="preserve"> that seamlessly integrates Azure AI services and Microsoft 365 capabilities (like Copilot), enabling enterprise-grade AI solutions that are secure, high-performing, and </w:t>
            </w:r>
            <w:r>
              <w:lastRenderedPageBreak/>
              <w:t>maintainable at global scale.</w:t>
            </w:r>
          </w:p>
        </w:tc>
        <w:tc>
          <w:tcPr>
            <w:tcW w:w="0" w:type="auto"/>
            <w:vAlign w:val="center"/>
          </w:tcPr>
          <w:p w14:paraId="7F7BAF75" w14:textId="77777777" w:rsidR="005C2C76" w:rsidRDefault="005C2C76" w:rsidP="009B5024">
            <w:pPr>
              <w:jc w:val="both"/>
              <w:cnfStyle w:val="000000000000" w:firstRow="0" w:lastRow="0" w:firstColumn="0" w:lastColumn="0" w:oddVBand="0" w:evenVBand="0" w:oddHBand="0" w:evenHBand="0" w:firstRowFirstColumn="0" w:firstRowLastColumn="0" w:lastRowFirstColumn="0" w:lastRowLastColumn="0"/>
            </w:pPr>
            <w:r>
              <w:lastRenderedPageBreak/>
              <w:t xml:space="preserve">Follow </w:t>
            </w:r>
            <w:r>
              <w:rPr>
                <w:b/>
                <w:bCs/>
              </w:rPr>
              <w:t>well-architected cloud design</w:t>
            </w:r>
            <w:r>
              <w:t xml:space="preserve"> principles. Use Azure’s reference architectures and landing zones with built-in security, networking isolation, and reliability best practices for AI workloads. Leverage managed Azure AI services (Azure Machine Learning, Cognitive Services, Azure OpenAI, etc.) to handle </w:t>
            </w:r>
            <w:r>
              <w:lastRenderedPageBreak/>
              <w:t xml:space="preserve">model training, inference, and data processing, which provides out-of-the-box security, availability, and performance optimizations. Integrate AI capabilities into Microsoft 365 (e.g., via Copilot and Graph APIs) in a controlled manner, ensuring data flows and API calls adhere to access policies and are </w:t>
            </w:r>
            <w:r>
              <w:rPr>
                <w:b/>
                <w:bCs/>
              </w:rPr>
              <w:t>properly audited</w:t>
            </w:r>
            <w:r>
              <w:t>. Architect for flexibility, allowing models and components to be updated or replaced without disrupting business operations.</w:t>
            </w:r>
          </w:p>
        </w:tc>
        <w:tc>
          <w:tcPr>
            <w:tcW w:w="0" w:type="auto"/>
            <w:vAlign w:val="center"/>
          </w:tcPr>
          <w:p w14:paraId="470726DF" w14:textId="77777777" w:rsidR="005C2C76" w:rsidRDefault="005C2C76" w:rsidP="009B5024">
            <w:pPr>
              <w:jc w:val="both"/>
              <w:cnfStyle w:val="000000000000" w:firstRow="0" w:lastRow="0" w:firstColumn="0" w:lastColumn="0" w:oddVBand="0" w:evenVBand="0" w:oddHBand="0" w:evenHBand="0" w:firstRowFirstColumn="0" w:firstRowLastColumn="0" w:lastRowFirstColumn="0" w:lastRowLastColumn="0"/>
            </w:pPr>
            <w:r>
              <w:rPr>
                <w:b/>
                <w:bCs/>
              </w:rPr>
              <w:lastRenderedPageBreak/>
              <w:t>Enterprise architecture choices directly influence compliance</w:t>
            </w:r>
            <w:r>
              <w:t xml:space="preserve">. Use Azure’s globally certified services (which comply with standards like </w:t>
            </w:r>
            <w:r>
              <w:rPr>
                <w:b/>
                <w:bCs/>
              </w:rPr>
              <w:t>ISO 27001, SOC 2</w:t>
            </w:r>
            <w:r>
              <w:t xml:space="preserve">, etc.) as foundational blocks, and design for </w:t>
            </w:r>
            <w:r>
              <w:rPr>
                <w:b/>
                <w:bCs/>
              </w:rPr>
              <w:t>data residency</w:t>
            </w:r>
            <w:r>
              <w:t xml:space="preserve"> and isolation to meet regulations like </w:t>
            </w:r>
            <w:r>
              <w:rPr>
                <w:b/>
                <w:bCs/>
              </w:rPr>
              <w:t>GDPR</w:t>
            </w:r>
            <w:r>
              <w:t xml:space="preserve"> (e.g. choosing appropriate Azure regions for </w:t>
            </w:r>
            <w:r>
              <w:lastRenderedPageBreak/>
              <w:t xml:space="preserve">data storage). Infrastructure-as-code tools such as </w:t>
            </w:r>
            <w:r>
              <w:rPr>
                <w:b/>
                <w:bCs/>
              </w:rPr>
              <w:t>Azure Policy and Blueprints</w:t>
            </w:r>
            <w:r>
              <w:t xml:space="preserve"> help enforce encryption, network security, and configuration standards across environments. Selecting proven architectures reduces the risk of security misconfigurations and accelerates compliance audits, since Microsoft’s services provide </w:t>
            </w:r>
            <w:r>
              <w:rPr>
                <w:b/>
                <w:bCs/>
              </w:rPr>
              <w:t>inherited compliance controls</w:t>
            </w:r>
            <w:r>
              <w:t xml:space="preserve"> that align with regulatory requirements.</w:t>
            </w:r>
          </w:p>
        </w:tc>
      </w:tr>
      <w:tr w:rsidR="005C2C76" w14:paraId="2CBD4458" w14:textId="77777777" w:rsidTr="001558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DE490B2" w14:textId="77777777" w:rsidR="005C2C76" w:rsidRDefault="005C2C76" w:rsidP="00155854">
            <w:r>
              <w:lastRenderedPageBreak/>
              <w:t>Model Lifecycle Management (</w:t>
            </w:r>
            <w:proofErr w:type="spellStart"/>
            <w:r>
              <w:t>MLOps</w:t>
            </w:r>
            <w:proofErr w:type="spellEnd"/>
            <w:r>
              <w:t>)</w:t>
            </w:r>
          </w:p>
        </w:tc>
        <w:tc>
          <w:tcPr>
            <w:tcW w:w="0" w:type="auto"/>
            <w:vAlign w:val="center"/>
          </w:tcPr>
          <w:p w14:paraId="048FDC80" w14:textId="77777777" w:rsidR="005C2C76" w:rsidRDefault="005C2C76" w:rsidP="009B5024">
            <w:pPr>
              <w:jc w:val="both"/>
              <w:cnfStyle w:val="000000100000" w:firstRow="0" w:lastRow="0" w:firstColumn="0" w:lastColumn="0" w:oddVBand="0" w:evenVBand="0" w:oddHBand="1" w:evenHBand="0" w:firstRowFirstColumn="0" w:firstRowLastColumn="0" w:lastRowFirstColumn="0" w:lastRowLastColumn="0"/>
            </w:pPr>
            <w:r>
              <w:t xml:space="preserve">Govern the </w:t>
            </w:r>
            <w:r>
              <w:rPr>
                <w:b/>
                <w:bCs/>
              </w:rPr>
              <w:t>entire AI model lifecycle</w:t>
            </w:r>
            <w:r>
              <w:t xml:space="preserve"> – from development and training through deployment, monitoring, and retirement – to ensure models remain reliable, effective, and well-controlled over time.</w:t>
            </w:r>
          </w:p>
        </w:tc>
        <w:tc>
          <w:tcPr>
            <w:tcW w:w="0" w:type="auto"/>
            <w:vAlign w:val="center"/>
          </w:tcPr>
          <w:p w14:paraId="1E0ADA31" w14:textId="77777777" w:rsidR="005C2C76" w:rsidRDefault="005C2C76" w:rsidP="009B5024">
            <w:pPr>
              <w:jc w:val="both"/>
              <w:cnfStyle w:val="000000100000" w:firstRow="0" w:lastRow="0" w:firstColumn="0" w:lastColumn="0" w:oddVBand="0" w:evenVBand="0" w:oddHBand="1" w:evenHBand="0" w:firstRowFirstColumn="0" w:firstRowLastColumn="0" w:lastRowFirstColumn="0" w:lastRowLastColumn="0"/>
            </w:pPr>
            <w:r>
              <w:t xml:space="preserve">Adopt </w:t>
            </w:r>
            <w:proofErr w:type="spellStart"/>
            <w:r>
              <w:rPr>
                <w:b/>
                <w:bCs/>
              </w:rPr>
              <w:t>MLOps</w:t>
            </w:r>
            <w:proofErr w:type="spellEnd"/>
            <w:r>
              <w:rPr>
                <w:b/>
                <w:bCs/>
              </w:rPr>
              <w:t xml:space="preserve"> best practices</w:t>
            </w:r>
            <w:r>
              <w:t xml:space="preserve"> for consistency and traceability. Implement version control for datasets and models, automated ML pipelines for training and deployment, and </w:t>
            </w:r>
            <w:r>
              <w:rPr>
                <w:b/>
                <w:bCs/>
              </w:rPr>
              <w:t>CI/CD</w:t>
            </w:r>
            <w:r>
              <w:t xml:space="preserve"> processes with testing and quality gates for model updates. Continuously monitor model performance in production (accuracy, drift, bias) and set up alerting and </w:t>
            </w:r>
            <w:r>
              <w:rPr>
                <w:b/>
                <w:bCs/>
              </w:rPr>
              <w:t>retraining triggers</w:t>
            </w:r>
            <w:r>
              <w:t xml:space="preserve"> when data or concept drift is detected. Maintain a centralized </w:t>
            </w:r>
            <w:r>
              <w:rPr>
                <w:b/>
                <w:bCs/>
              </w:rPr>
              <w:t>model registry</w:t>
            </w:r>
            <w:r>
              <w:t xml:space="preserve"> (via Azure ML or similar) to track model lineage and facilitate reviews. When models reach end-of-life or are outdated, follow formal retirement processes (decommissioning) to remove or replace them safely, including archiving required artifacts and data.</w:t>
            </w:r>
          </w:p>
        </w:tc>
        <w:tc>
          <w:tcPr>
            <w:tcW w:w="0" w:type="auto"/>
            <w:vAlign w:val="center"/>
          </w:tcPr>
          <w:p w14:paraId="21614C6A" w14:textId="77777777" w:rsidR="005C2C76" w:rsidRDefault="005C2C76" w:rsidP="009B5024">
            <w:pPr>
              <w:jc w:val="both"/>
              <w:cnfStyle w:val="000000100000" w:firstRow="0" w:lastRow="0" w:firstColumn="0" w:lastColumn="0" w:oddVBand="0" w:evenVBand="0" w:oddHBand="1" w:evenHBand="0" w:firstRowFirstColumn="0" w:firstRowLastColumn="0" w:lastRowFirstColumn="0" w:lastRowLastColumn="0"/>
            </w:pPr>
            <w:r>
              <w:t xml:space="preserve">Regulatory and standards bodies expect rigorous oversight of the AI lifecycle. </w:t>
            </w:r>
            <w:r>
              <w:rPr>
                <w:b/>
                <w:bCs/>
              </w:rPr>
              <w:t>ISO/IEC 42001</w:t>
            </w:r>
            <w:r>
              <w:t xml:space="preserve"> emphasizes a risk-based, documented approach covering AI development, deployment, monitoring, and continuous improvement. The </w:t>
            </w:r>
            <w:r>
              <w:rPr>
                <w:b/>
                <w:bCs/>
              </w:rPr>
              <w:t>EU AI Act</w:t>
            </w:r>
            <w:r>
              <w:t xml:space="preserve"> likewise requires that compliance and risk management extend </w:t>
            </w:r>
            <w:r>
              <w:rPr>
                <w:i/>
                <w:iCs/>
              </w:rPr>
              <w:t>across all stages of the AI system lifecycle</w:t>
            </w:r>
            <w:r>
              <w:t xml:space="preserve">, including post-deployment monitoring and updates. Authorities also mandate thorough documentation for high-risk AI: from technical design descriptions and data provenance to decision logs for </w:t>
            </w:r>
            <w:r>
              <w:rPr>
                <w:b/>
                <w:bCs/>
              </w:rPr>
              <w:t>traceability of AI outputs</w:t>
            </w:r>
            <w:r>
              <w:t xml:space="preserve">. Implementing </w:t>
            </w:r>
            <w:proofErr w:type="spellStart"/>
            <w:r>
              <w:t>MLOps</w:t>
            </w:r>
            <w:proofErr w:type="spellEnd"/>
            <w:r>
              <w:t xml:space="preserve"> with audit trails and versioning helps meet these requirements by making the who, what, when, and how of each model’s life clearly auditable.</w:t>
            </w:r>
          </w:p>
        </w:tc>
      </w:tr>
      <w:tr w:rsidR="005C2C76" w14:paraId="54EB2729" w14:textId="77777777" w:rsidTr="00155854">
        <w:tc>
          <w:tcPr>
            <w:cnfStyle w:val="001000000000" w:firstRow="0" w:lastRow="0" w:firstColumn="1" w:lastColumn="0" w:oddVBand="0" w:evenVBand="0" w:oddHBand="0" w:evenHBand="0" w:firstRowFirstColumn="0" w:firstRowLastColumn="0" w:lastRowFirstColumn="0" w:lastRowLastColumn="0"/>
            <w:tcW w:w="0" w:type="auto"/>
            <w:vAlign w:val="center"/>
          </w:tcPr>
          <w:p w14:paraId="73F3A288" w14:textId="77777777" w:rsidR="005C2C76" w:rsidRDefault="005C2C76" w:rsidP="00155854">
            <w:r>
              <w:t>Data Governance &amp; Security</w:t>
            </w:r>
          </w:p>
        </w:tc>
        <w:tc>
          <w:tcPr>
            <w:tcW w:w="0" w:type="auto"/>
            <w:vAlign w:val="center"/>
          </w:tcPr>
          <w:p w14:paraId="64AF2EF2" w14:textId="77777777" w:rsidR="005C2C76" w:rsidRDefault="005C2C76" w:rsidP="009B5024">
            <w:pPr>
              <w:jc w:val="both"/>
              <w:cnfStyle w:val="000000000000" w:firstRow="0" w:lastRow="0" w:firstColumn="0" w:lastColumn="0" w:oddVBand="0" w:evenVBand="0" w:oddHBand="0" w:evenHBand="0" w:firstRowFirstColumn="0" w:firstRowLastColumn="0" w:lastRowFirstColumn="0" w:lastRowLastColumn="0"/>
            </w:pPr>
            <w:r>
              <w:t xml:space="preserve">Protect and govern </w:t>
            </w:r>
            <w:r>
              <w:rPr>
                <w:b/>
                <w:bCs/>
              </w:rPr>
              <w:t>data used by and generated from AI</w:t>
            </w:r>
            <w:r>
              <w:t xml:space="preserve">. Ensure that training data, prompt </w:t>
            </w:r>
            <w:r>
              <w:lastRenderedPageBreak/>
              <w:t xml:space="preserve">inputs, and AI outputs are handled with strong privacy safeguards, quality control, and cybersecurity measures, since </w:t>
            </w:r>
            <w:r>
              <w:rPr>
                <w:b/>
                <w:bCs/>
              </w:rPr>
              <w:t>trusted AI begins with well-governed, secure data</w:t>
            </w:r>
            <w:r>
              <w:t>.</w:t>
            </w:r>
          </w:p>
        </w:tc>
        <w:tc>
          <w:tcPr>
            <w:tcW w:w="0" w:type="auto"/>
            <w:vAlign w:val="center"/>
          </w:tcPr>
          <w:p w14:paraId="2FA8D75A" w14:textId="77777777" w:rsidR="005C2C76" w:rsidRDefault="005C2C76" w:rsidP="009B5024">
            <w:pPr>
              <w:jc w:val="both"/>
              <w:cnfStyle w:val="000000000000" w:firstRow="0" w:lastRow="0" w:firstColumn="0" w:lastColumn="0" w:oddVBand="0" w:evenVBand="0" w:oddHBand="0" w:evenHBand="0" w:firstRowFirstColumn="0" w:firstRowLastColumn="0" w:lastRowFirstColumn="0" w:lastRowLastColumn="0"/>
            </w:pPr>
            <w:r>
              <w:lastRenderedPageBreak/>
              <w:t xml:space="preserve">Develop a comprehensive </w:t>
            </w:r>
            <w:r>
              <w:rPr>
                <w:b/>
                <w:bCs/>
              </w:rPr>
              <w:t>data governance policy</w:t>
            </w:r>
            <w:r>
              <w:t xml:space="preserve"> for AI. Classify data by sensitivity and apply controls such as encryption in </w:t>
            </w:r>
            <w:r>
              <w:lastRenderedPageBreak/>
              <w:t xml:space="preserve">transit and at rest, leveraging Microsoft’s built-in protections (e.g. data is encrypted via TLS and stored securely on Azure by default). Enforce </w:t>
            </w:r>
            <w:r>
              <w:rPr>
                <w:b/>
                <w:bCs/>
              </w:rPr>
              <w:t>access controls</w:t>
            </w:r>
            <w:r>
              <w:t xml:space="preserve"> (role-based access via Microsoft Entra ID) and the principle of least privilege to ensure only authorized personnel and services can access sensitive data. Use tools like </w:t>
            </w:r>
            <w:r>
              <w:rPr>
                <w:b/>
                <w:bCs/>
              </w:rPr>
              <w:t>Microsoft Purview</w:t>
            </w:r>
            <w:r>
              <w:t xml:space="preserve"> to inventory and monitor data lineage, and Data Loss Prevention (DLP) in Microsoft 365 to prevent exposure of sensitive information in AI-generated content. Incorporate </w:t>
            </w:r>
            <w:r>
              <w:rPr>
                <w:b/>
                <w:bCs/>
              </w:rPr>
              <w:t>endpoint security and network isolation</w:t>
            </w:r>
            <w:r>
              <w:t xml:space="preserve"> (Azure Virtual Networks, private endpoints) for AI systems handling critical data to mitigate risks of data exfiltration or model-borne threats. Regularly audit data usage and ensure data used for AI training or prompts complies with retention and minimization policies.</w:t>
            </w:r>
          </w:p>
        </w:tc>
        <w:tc>
          <w:tcPr>
            <w:tcW w:w="0" w:type="auto"/>
            <w:vAlign w:val="center"/>
          </w:tcPr>
          <w:p w14:paraId="7B5A5E93" w14:textId="77777777" w:rsidR="005C2C76" w:rsidRDefault="005C2C76" w:rsidP="009B5024">
            <w:pPr>
              <w:jc w:val="both"/>
              <w:cnfStyle w:val="000000000000" w:firstRow="0" w:lastRow="0" w:firstColumn="0" w:lastColumn="0" w:oddVBand="0" w:evenVBand="0" w:oddHBand="0" w:evenHBand="0" w:firstRowFirstColumn="0" w:firstRowLastColumn="0" w:lastRowFirstColumn="0" w:lastRowLastColumn="0"/>
            </w:pPr>
            <w:r>
              <w:lastRenderedPageBreak/>
              <w:t xml:space="preserve">Align with </w:t>
            </w:r>
            <w:r>
              <w:rPr>
                <w:b/>
                <w:bCs/>
              </w:rPr>
              <w:t>privacy laws</w:t>
            </w:r>
            <w:r>
              <w:t xml:space="preserve"> and security standards to avoid regulatory penalties and breaches. This includes </w:t>
            </w:r>
            <w:r>
              <w:lastRenderedPageBreak/>
              <w:t xml:space="preserve">compliance with </w:t>
            </w:r>
            <w:r>
              <w:rPr>
                <w:b/>
                <w:bCs/>
              </w:rPr>
              <w:t>GDPR</w:t>
            </w:r>
            <w:r>
              <w:t xml:space="preserve"> and similar data protection laws, which require robust measures for data confidentiality, purpose limitation, and subject rights. Microsoft’s cloud services are designed with strong privacy and security controls (verified by certifications such as </w:t>
            </w:r>
            <w:r>
              <w:rPr>
                <w:b/>
                <w:bCs/>
              </w:rPr>
              <w:t>ISO 27701 for privacy</w:t>
            </w:r>
            <w:r>
              <w:t xml:space="preserve"> and </w:t>
            </w:r>
            <w:r>
              <w:rPr>
                <w:b/>
                <w:bCs/>
              </w:rPr>
              <w:t>ISO 27001 for security</w:t>
            </w:r>
            <w:r>
              <w:t xml:space="preserve">), which helps in meeting legal requirements. Proper data governance also supports </w:t>
            </w:r>
            <w:r>
              <w:rPr>
                <w:b/>
                <w:bCs/>
              </w:rPr>
              <w:t>AI-specific regulations</w:t>
            </w:r>
            <w:r>
              <w:t xml:space="preserve"> (e.g. EU AI Act’s data governance and quality requirements for training data in high-risk systems) by ensuring datasets are carefully managed, source data is documented, and personal data risks are addressed through techniques like anonymization and secure data handling agreements.</w:t>
            </w:r>
          </w:p>
        </w:tc>
      </w:tr>
      <w:tr w:rsidR="005C2C76" w14:paraId="3F335EEB" w14:textId="77777777" w:rsidTr="001558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C4A302D" w14:textId="77777777" w:rsidR="005C2C76" w:rsidRDefault="005C2C76" w:rsidP="00155854">
            <w:r>
              <w:lastRenderedPageBreak/>
              <w:t>AI Governance &amp; Compliance</w:t>
            </w:r>
          </w:p>
        </w:tc>
        <w:tc>
          <w:tcPr>
            <w:tcW w:w="0" w:type="auto"/>
            <w:vAlign w:val="center"/>
          </w:tcPr>
          <w:p w14:paraId="252717D9" w14:textId="77777777" w:rsidR="005C2C76" w:rsidRDefault="005C2C76" w:rsidP="009B5024">
            <w:pPr>
              <w:jc w:val="both"/>
              <w:cnfStyle w:val="000000100000" w:firstRow="0" w:lastRow="0" w:firstColumn="0" w:lastColumn="0" w:oddVBand="0" w:evenVBand="0" w:oddHBand="1" w:evenHBand="0" w:firstRowFirstColumn="0" w:firstRowLastColumn="0" w:lastRowFirstColumn="0" w:lastRowLastColumn="0"/>
            </w:pPr>
            <w:r>
              <w:t xml:space="preserve">Establish a </w:t>
            </w:r>
            <w:r>
              <w:rPr>
                <w:b/>
                <w:bCs/>
              </w:rPr>
              <w:t>cross-functional governance structure</w:t>
            </w:r>
            <w:r>
              <w:t xml:space="preserve"> to oversee AI initiatives, manage risks, and ensure alignment with business objectives and regulations. The goal is to maintain continuous </w:t>
            </w:r>
            <w:r>
              <w:rPr>
                <w:b/>
                <w:bCs/>
              </w:rPr>
              <w:t>accountability, risk management, and compliance</w:t>
            </w:r>
            <w:r>
              <w:t xml:space="preserve"> as AI solutions evolve and scale.</w:t>
            </w:r>
          </w:p>
        </w:tc>
        <w:tc>
          <w:tcPr>
            <w:tcW w:w="0" w:type="auto"/>
            <w:vAlign w:val="center"/>
          </w:tcPr>
          <w:p w14:paraId="67CAB014" w14:textId="77777777" w:rsidR="005C2C76" w:rsidRDefault="005C2C76" w:rsidP="009B5024">
            <w:pPr>
              <w:jc w:val="both"/>
              <w:cnfStyle w:val="000000100000" w:firstRow="0" w:lastRow="0" w:firstColumn="0" w:lastColumn="0" w:oddVBand="0" w:evenVBand="0" w:oddHBand="1" w:evenHBand="0" w:firstRowFirstColumn="0" w:firstRowLastColumn="0" w:lastRowFirstColumn="0" w:lastRowLastColumn="0"/>
            </w:pPr>
            <w:proofErr w:type="gramStart"/>
            <w:r>
              <w:t>Form</w:t>
            </w:r>
            <w:proofErr w:type="gramEnd"/>
            <w:r>
              <w:t xml:space="preserve"> an </w:t>
            </w:r>
            <w:r>
              <w:rPr>
                <w:b/>
                <w:bCs/>
              </w:rPr>
              <w:t>AI governance council or steering committee</w:t>
            </w:r>
            <w:r>
              <w:t xml:space="preserve"> with leadership support (e.g. including IT, data science, security, legal, compliance, and business stakeholders). Define clear roles and responsibilities for AI oversight – e.g., assign an AI risk officer or integrate duties into existing risk management functions. Develop and enforce organization-wide </w:t>
            </w:r>
            <w:r>
              <w:rPr>
                <w:b/>
                <w:bCs/>
              </w:rPr>
              <w:t>AI policies</w:t>
            </w:r>
            <w:r>
              <w:t xml:space="preserve"> (acceptable use of AI, approval processes for new AI use cases, requirements for testing and validation, etc.) that reflect ethical standards and regulatory obligations. Keep a centralized </w:t>
            </w:r>
            <w:r>
              <w:rPr>
                <w:b/>
                <w:bCs/>
              </w:rPr>
              <w:t>inventory of all AI systems</w:t>
            </w:r>
            <w:r>
              <w:t xml:space="preserve"> in </w:t>
            </w:r>
            <w:proofErr w:type="gramStart"/>
            <w:r>
              <w:lastRenderedPageBreak/>
              <w:t>use, and</w:t>
            </w:r>
            <w:proofErr w:type="gramEnd"/>
            <w:r>
              <w:t xml:space="preserve"> integrate AI governance with enterprise risk management and compliance programs. Conduct regular risk assessments for AI projects (covering potential bias, privacy impact, security vulnerabilities) and require documented risk mitigation plans. Monitor regulatory changes (like new AI laws or industry guidelines) and update the governance framework accordingly.</w:t>
            </w:r>
          </w:p>
        </w:tc>
        <w:tc>
          <w:tcPr>
            <w:tcW w:w="0" w:type="auto"/>
            <w:vAlign w:val="center"/>
          </w:tcPr>
          <w:p w14:paraId="65D1DDB5" w14:textId="77777777" w:rsidR="005C2C76" w:rsidRDefault="005C2C76" w:rsidP="009B5024">
            <w:pPr>
              <w:jc w:val="both"/>
              <w:cnfStyle w:val="000000100000" w:firstRow="0" w:lastRow="0" w:firstColumn="0" w:lastColumn="0" w:oddVBand="0" w:evenVBand="0" w:oddHBand="1" w:evenHBand="0" w:firstRowFirstColumn="0" w:firstRowLastColumn="0" w:lastRowFirstColumn="0" w:lastRowLastColumn="0"/>
            </w:pPr>
            <w:r>
              <w:lastRenderedPageBreak/>
              <w:t xml:space="preserve">Demonstrate adherence to </w:t>
            </w:r>
            <w:r>
              <w:rPr>
                <w:b/>
                <w:bCs/>
              </w:rPr>
              <w:t>emerging AI regulations and standards</w:t>
            </w:r>
            <w:r>
              <w:t xml:space="preserve"> to avoid compliance gaps. For example, the </w:t>
            </w:r>
            <w:r>
              <w:rPr>
                <w:b/>
                <w:bCs/>
              </w:rPr>
              <w:t>EU AI Act</w:t>
            </w:r>
            <w:r>
              <w:t xml:space="preserve"> mandates organizations to implement formal risk management, oversight, and quality frameworks for AI – making internal governance structures a legal requirement rather than a voluntary practice. Adopting </w:t>
            </w:r>
            <w:r>
              <w:rPr>
                <w:b/>
                <w:bCs/>
              </w:rPr>
              <w:t>ISO/IEC 42001 (AI Management System)</w:t>
            </w:r>
            <w:r>
              <w:t xml:space="preserve"> provides a recognized governance framework that regulators and customers see as a </w:t>
            </w:r>
            <w:r>
              <w:rPr>
                <w:b/>
                <w:bCs/>
              </w:rPr>
              <w:t>credible compliance baseline</w:t>
            </w:r>
            <w:r>
              <w:t xml:space="preserve">. This helps in proving due diligence: e.g., showing that leadership is </w:t>
            </w:r>
            <w:r>
              <w:lastRenderedPageBreak/>
              <w:t>engaged, risks are documented and mitigated, and continuous improvement of AI processes is in place. Strong governance and documentation also facilitate obtaining and maintaining certifications and meeting audit requirements across multiple jurisdictions.</w:t>
            </w:r>
          </w:p>
        </w:tc>
      </w:tr>
    </w:tbl>
    <w:p w14:paraId="30CD2202" w14:textId="77777777" w:rsidR="005C2C76" w:rsidRDefault="005C2C76" w:rsidP="005C2C76">
      <w:r>
        <w:rPr>
          <w:b/>
          <w:bCs/>
        </w:rPr>
        <w:lastRenderedPageBreak/>
        <w:t>Key Principles in Practice:</w:t>
      </w:r>
      <w:r>
        <w:t xml:space="preserve"> The above domains are underpinned by overarching principles that drive successful AI platform adoption:</w:t>
      </w:r>
    </w:p>
    <w:p w14:paraId="489E68E3" w14:textId="77777777" w:rsidR="005C2C76" w:rsidRDefault="005C2C76" w:rsidP="009B5024">
      <w:pPr>
        <w:pStyle w:val="ListParagraph"/>
        <w:numPr>
          <w:ilvl w:val="0"/>
          <w:numId w:val="19"/>
        </w:numPr>
        <w:spacing w:after="160" w:line="279" w:lineRule="auto"/>
        <w:jc w:val="both"/>
      </w:pPr>
      <w:r>
        <w:rPr>
          <w:b/>
          <w:bCs/>
        </w:rPr>
        <w:t>Human Oversight &amp; Accountability:</w:t>
      </w:r>
      <w:r>
        <w:t xml:space="preserve"> </w:t>
      </w:r>
      <w:r>
        <w:rPr>
          <w:b/>
          <w:bCs/>
        </w:rPr>
        <w:t>AI does not absolve human responsibility.</w:t>
      </w:r>
      <w:r>
        <w:t xml:space="preserve"> Ensure that at every critical decision point, a human is ultimately accountable and able to </w:t>
      </w:r>
      <w:r>
        <w:rPr>
          <w:b/>
          <w:bCs/>
        </w:rPr>
        <w:t>interpret or override AI outputs as needed</w:t>
      </w:r>
      <w:r>
        <w:t>. This principle builds trust – employees and customers know that AI is employed carefully, with human judgement involved especially in high-stakes scenarios. It aligns with regulatory expectations (e.g., the EU AI Act’s requirement for meaningful human control over high-risk AI) and helps prevent over-reliance on automated decisions.</w:t>
      </w:r>
    </w:p>
    <w:p w14:paraId="002AB538" w14:textId="77777777" w:rsidR="005C2C76" w:rsidRDefault="005C2C76" w:rsidP="009B5024">
      <w:pPr>
        <w:pStyle w:val="ListParagraph"/>
        <w:numPr>
          <w:ilvl w:val="0"/>
          <w:numId w:val="19"/>
        </w:numPr>
        <w:spacing w:after="160" w:line="279" w:lineRule="auto"/>
        <w:jc w:val="both"/>
      </w:pPr>
      <w:r>
        <w:rPr>
          <w:b/>
          <w:bCs/>
        </w:rPr>
        <w:t>Continuous Monitoring &amp; Improvement (</w:t>
      </w:r>
      <w:proofErr w:type="spellStart"/>
      <w:r>
        <w:rPr>
          <w:b/>
          <w:bCs/>
        </w:rPr>
        <w:t>MLOps</w:t>
      </w:r>
      <w:proofErr w:type="spellEnd"/>
      <w:r>
        <w:rPr>
          <w:b/>
          <w:bCs/>
        </w:rPr>
        <w:t xml:space="preserve"> Mindset):</w:t>
      </w:r>
      <w:r>
        <w:t xml:space="preserve"> Treat AI solutions as living systems that require ongoing tuning and oversight, much like any mission-critical IT service. Implement feedback loops and continuous monitoring to catch issues such as model drift, performance degradation, or emerging biases in AI outputs. Regularly update and retrain models with new data to improve accuracy and fairness over time. A culture of </w:t>
      </w:r>
      <w:r>
        <w:rPr>
          <w:b/>
          <w:bCs/>
        </w:rPr>
        <w:t>continuous improvement</w:t>
      </w:r>
      <w:r>
        <w:t xml:space="preserve"> ensures the AI platform stays effective and reliable as business needs and data evolve.</w:t>
      </w:r>
    </w:p>
    <w:p w14:paraId="0176D647" w14:textId="77777777" w:rsidR="005C2C76" w:rsidRDefault="005C2C76" w:rsidP="009B5024">
      <w:pPr>
        <w:pStyle w:val="ListParagraph"/>
        <w:numPr>
          <w:ilvl w:val="0"/>
          <w:numId w:val="19"/>
        </w:numPr>
        <w:spacing w:after="160" w:line="279" w:lineRule="auto"/>
        <w:jc w:val="both"/>
      </w:pPr>
      <w:r>
        <w:rPr>
          <w:b/>
          <w:bCs/>
        </w:rPr>
        <w:t>Security &amp; Privacy by Design:</w:t>
      </w:r>
      <w:r>
        <w:t xml:space="preserve"> Incorporate security and privacy considerations from the development phase onward. This includes safeguarding training data and AI models against breaches or </w:t>
      </w:r>
      <w:proofErr w:type="gramStart"/>
      <w:r>
        <w:t>tampering, and</w:t>
      </w:r>
      <w:proofErr w:type="gramEnd"/>
      <w:r>
        <w:t xml:space="preserve"> enforcing strict access controls on AI resources. All data exchanges and model operations should be protected via encryption and network security measures (for example, using private networks, encryption in transit and at rest, robust identity controls). By designing these controls into the AI architecture, the organization not only protects sensitive information but also complies with data protection regulations. </w:t>
      </w:r>
      <w:r>
        <w:rPr>
          <w:b/>
          <w:bCs/>
        </w:rPr>
        <w:t>Privacy-by-design</w:t>
      </w:r>
      <w:r>
        <w:t xml:space="preserve"> in AI may involve techniques like anonymizing personal data used in </w:t>
      </w:r>
      <w:proofErr w:type="gramStart"/>
      <w:r>
        <w:t>training, and</w:t>
      </w:r>
      <w:proofErr w:type="gramEnd"/>
      <w:r>
        <w:t xml:space="preserve"> ensuring that generative AI outputs do not inadvertently expose sensitive information.</w:t>
      </w:r>
    </w:p>
    <w:p w14:paraId="4707065C" w14:textId="77777777" w:rsidR="005C2C76" w:rsidRDefault="005C2C76" w:rsidP="009B5024">
      <w:pPr>
        <w:pStyle w:val="ListParagraph"/>
        <w:numPr>
          <w:ilvl w:val="0"/>
          <w:numId w:val="19"/>
        </w:numPr>
        <w:spacing w:after="160" w:line="279" w:lineRule="auto"/>
        <w:jc w:val="both"/>
      </w:pPr>
      <w:r>
        <w:rPr>
          <w:b/>
          <w:bCs/>
        </w:rPr>
        <w:t>Risk-Based &amp; Transparent Operations:</w:t>
      </w:r>
      <w:r>
        <w:t xml:space="preserve"> </w:t>
      </w:r>
      <w:r>
        <w:rPr>
          <w:b/>
          <w:bCs/>
        </w:rPr>
        <w:t>Not all AI systems carry the same risk</w:t>
      </w:r>
      <w:r>
        <w:t xml:space="preserve">, so apply stronger governance to higher-risk use cases. Identify potential failure modes or societal impacts early (for instance, AI used in recruitment or customer credit decisions warrants more stringent review than AI for internal analytics). Maintaining transparency is also critical: keep documentation on how AI models work and clear records of their decisions or recommendations. Internally, this means developing model cards or transparency notes for significant AI models. Externally, it means informing users when AI is being used and providing </w:t>
      </w:r>
      <w:proofErr w:type="gramStart"/>
      <w:r>
        <w:t>them</w:t>
      </w:r>
      <w:proofErr w:type="gramEnd"/>
      <w:r>
        <w:t xml:space="preserve"> avenues to understand or contest AI-driven outcomes. A risk-based, transparent approach not only meets regulatory demands (like the EU AI Act’s risk classification and documentation requirements) but also enhances stakeholder trust by showing that AI is deployed thoughtfully and openly.</w:t>
      </w:r>
    </w:p>
    <w:p w14:paraId="738BD1D8" w14:textId="77777777" w:rsidR="005C2C76" w:rsidRDefault="005C2C76" w:rsidP="009B5024">
      <w:pPr>
        <w:pStyle w:val="ListParagraph"/>
        <w:numPr>
          <w:ilvl w:val="0"/>
          <w:numId w:val="19"/>
        </w:numPr>
        <w:spacing w:after="160" w:line="279" w:lineRule="auto"/>
        <w:jc w:val="both"/>
      </w:pPr>
      <w:r>
        <w:rPr>
          <w:b/>
          <w:bCs/>
        </w:rPr>
        <w:lastRenderedPageBreak/>
        <w:t>Shared Responsibility &amp; Cloud Leverage:</w:t>
      </w:r>
      <w:r>
        <w:t xml:space="preserve"> Leverage Microsoft’s cloud capabilities while recognizing that security and governance is a </w:t>
      </w:r>
      <w:r>
        <w:rPr>
          <w:b/>
          <w:bCs/>
        </w:rPr>
        <w:t>shared responsibility</w:t>
      </w:r>
      <w:r>
        <w:t xml:space="preserve">. Microsoft provides a secure infrastructure and built-in safeguards for its AI services (for example, Azure OpenAI comes with content filtering and the </w:t>
      </w:r>
      <w:r>
        <w:rPr>
          <w:b/>
          <w:bCs/>
        </w:rPr>
        <w:t>Microsoft Responsible AI Standard</w:t>
      </w:r>
      <w:r>
        <w:t xml:space="preserve"> guiding its design), but the deploying organization must properly </w:t>
      </w:r>
      <w:r>
        <w:rPr>
          <w:b/>
          <w:bCs/>
        </w:rPr>
        <w:t>configure and use these tools</w:t>
      </w:r>
      <w:r>
        <w:t xml:space="preserve">. That means clearly defining how your AI applications utilize cloud AI (SaaS vs PaaS vs custom models) and following best practices for each. For instance, Microsoft recommends using its SaaS AI (like Microsoft 365 Copilot or Azure AI applications) for faster adoption with pre-built </w:t>
      </w:r>
      <w:proofErr w:type="gramStart"/>
      <w:r>
        <w:t>protections, and</w:t>
      </w:r>
      <w:proofErr w:type="gramEnd"/>
      <w:r>
        <w:t xml:space="preserve"> only building custom models when you have the expertise to manage the additional responsibilities. </w:t>
      </w:r>
      <w:r>
        <w:rPr>
          <w:b/>
          <w:bCs/>
        </w:rPr>
        <w:t>Educate users and administrators</w:t>
      </w:r>
      <w:r>
        <w:t xml:space="preserve"> about their role in keeping AI use safe – including updating acceptable use policies to cover AI, training staff on new types of AI risks (like sophisticated AI-generated phishing), and ensuring that any third-party AI components integrated into your platform meet your security and compliance standards. By thoughtfully dividing tasks between the cloud provider and your organization, you maximize innovation with AI while minimizing unmanaged risk.</w:t>
      </w:r>
    </w:p>
    <w:p w14:paraId="55FE497F" w14:textId="77777777" w:rsidR="005C2C76" w:rsidRDefault="005C2C76" w:rsidP="009B5024">
      <w:pPr>
        <w:jc w:val="both"/>
      </w:pPr>
      <w:r>
        <w:rPr>
          <w:b/>
          <w:bCs/>
        </w:rPr>
        <w:t>Executive Focus:</w:t>
      </w:r>
      <w:r>
        <w:t xml:space="preserve"> By implementing this strategic framework, leadership can </w:t>
      </w:r>
      <w:r>
        <w:rPr>
          <w:b/>
          <w:bCs/>
        </w:rPr>
        <w:t>unlock AI-driven innovation on Microsoft’s cloud with confidence</w:t>
      </w:r>
      <w:r>
        <w:t xml:space="preserve">. The emphasis on </w:t>
      </w:r>
      <w:r>
        <w:rPr>
          <w:b/>
          <w:bCs/>
        </w:rPr>
        <w:t>responsible AI principles, full lifecycle governance, and “compliance by design”</w:t>
      </w:r>
      <w:r>
        <w:t xml:space="preserve"> means that AI initiatives not only deliver business value but also uphold the organization’s ethical standards and legal obligations. This approach turns AI from a potential risk into a competitive advantage – creating solutions that are intelligent and efficient, yet also secure, compliant, and worthy of stakeholder trust. For global partners and resellers, the framework provides a clear, consistent structure to guide clients in adopting Microsoft’s AI technologies (from Azure AI services to Microsoft 365 Copilot) in a way that scales </w:t>
      </w:r>
      <w:r>
        <w:rPr>
          <w:b/>
          <w:bCs/>
        </w:rPr>
        <w:t>safely and sustainably</w:t>
      </w:r>
      <w:r>
        <w:t xml:space="preserve">. In summary, the Microsoft Cloud AI Platform Strategic Framework ensures that </w:t>
      </w:r>
      <w:r>
        <w:rPr>
          <w:b/>
          <w:bCs/>
        </w:rPr>
        <w:t>innovation is balanced with governance</w:t>
      </w:r>
      <w:r>
        <w:t>: AI projects start with the right architectural foundations, operate under vigilant oversight, and continuously adapt to new data, threats, and regulations – delivering transformative outcomes while safeguarding the enterprise and its customers at every step.</w:t>
      </w:r>
    </w:p>
    <w:bookmarkEnd w:id="8"/>
    <w:bookmarkEnd w:id="7"/>
    <w:bookmarkEnd w:id="6"/>
    <w:bookmarkEnd w:id="5"/>
    <w:bookmarkEnd w:id="4"/>
    <w:bookmarkEnd w:id="3"/>
    <w:bookmarkEnd w:id="2"/>
    <w:bookmarkEnd w:id="1"/>
    <w:bookmarkEnd w:id="0"/>
    <w:p w14:paraId="4E424B3A" w14:textId="77777777" w:rsidR="00B363C3" w:rsidRDefault="00B363C3" w:rsidP="00145FAD"/>
    <w:sectPr w:rsidR="00B363C3" w:rsidSect="00EE03B4">
      <w:headerReference w:type="default" r:id="rId11"/>
      <w:footerReference w:type="even" r:id="rId12"/>
      <w:footerReference w:type="default" r:id="rId13"/>
      <w:footerReference w:type="first" r:id="rId1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02BE3" w14:textId="77777777" w:rsidR="00EE74BA" w:rsidRDefault="00EE74BA" w:rsidP="00EE03B4">
      <w:pPr>
        <w:spacing w:after="0" w:line="240" w:lineRule="auto"/>
      </w:pPr>
      <w:r>
        <w:separator/>
      </w:r>
    </w:p>
  </w:endnote>
  <w:endnote w:type="continuationSeparator" w:id="0">
    <w:p w14:paraId="2A384A6B" w14:textId="77777777" w:rsidR="00EE74BA" w:rsidRDefault="00EE74BA" w:rsidP="00EE03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Segoe Light">
    <w:altName w:val="Segoe UI"/>
    <w:charset w:val="00"/>
    <w:family w:val="swiss"/>
    <w:pitch w:val="variable"/>
    <w:sig w:usb0="00000001" w:usb1="4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C9DE1" w14:textId="601D7625" w:rsidR="00A85AEE" w:rsidRDefault="00A85AEE">
    <w:pPr>
      <w:pStyle w:val="Footer"/>
    </w:pPr>
    <w:r>
      <w:rPr>
        <w:noProof/>
      </w:rPr>
      <mc:AlternateContent>
        <mc:Choice Requires="wps">
          <w:drawing>
            <wp:anchor distT="0" distB="0" distL="0" distR="0" simplePos="0" relativeHeight="251660288" behindDoc="0" locked="0" layoutInCell="1" allowOverlap="1" wp14:anchorId="654A51BD" wp14:editId="596EF212">
              <wp:simplePos x="635" y="635"/>
              <wp:positionH relativeFrom="page">
                <wp:align>left</wp:align>
              </wp:positionH>
              <wp:positionV relativeFrom="page">
                <wp:align>bottom</wp:align>
              </wp:positionV>
              <wp:extent cx="1946910" cy="361315"/>
              <wp:effectExtent l="0" t="0" r="15240" b="0"/>
              <wp:wrapNone/>
              <wp:docPr id="942435979" name="Text Box 4" descr="Information Classification: 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46910" cy="361315"/>
                      </a:xfrm>
                      <a:prstGeom prst="rect">
                        <a:avLst/>
                      </a:prstGeom>
                      <a:noFill/>
                      <a:ln>
                        <a:noFill/>
                      </a:ln>
                    </wps:spPr>
                    <wps:txbx>
                      <w:txbxContent>
                        <w:p w14:paraId="2611434B" w14:textId="7F4F5282" w:rsidR="00A85AEE" w:rsidRPr="00A85AEE" w:rsidRDefault="00A85AEE" w:rsidP="00A85AEE">
                          <w:pPr>
                            <w:spacing w:after="0"/>
                            <w:rPr>
                              <w:rFonts w:ascii="Calibri" w:eastAsia="Calibri" w:hAnsi="Calibri" w:cs="Calibri"/>
                              <w:noProof/>
                              <w:color w:val="000000"/>
                            </w:rPr>
                          </w:pPr>
                          <w:r w:rsidRPr="00A85AEE">
                            <w:rPr>
                              <w:rFonts w:ascii="Calibri" w:eastAsia="Calibri" w:hAnsi="Calibri" w:cs="Calibri"/>
                              <w:noProof/>
                              <w:color w:val="000000"/>
                            </w:rPr>
                            <w:t xml:space="preserve">Information Classification: 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54A51BD" id="_x0000_t202" coordsize="21600,21600" o:spt="202" path="m,l,21600r21600,l21600,xe">
              <v:stroke joinstyle="miter"/>
              <v:path gradientshapeok="t" o:connecttype="rect"/>
            </v:shapetype>
            <v:shape id="Text Box 4" o:spid="_x0000_s1026" type="#_x0000_t202" alt="Information Classification: Public " style="position:absolute;margin-left:0;margin-top:0;width:153.3pt;height:28.4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" filled="f" stroked="f">
              <v:textbox style="mso-fit-shape-to-text:t" inset="20pt,0,0,15pt">
                <w:txbxContent>
                  <w:p w14:paraId="2611434B" w14:textId="7F4F5282" w:rsidR="00A85AEE" w:rsidRPr="00A85AEE" w:rsidRDefault="00A85AEE" w:rsidP="00A85AEE">
                    <w:pPr>
                      <w:spacing w:after="0"/>
                      <w:rPr>
                        <w:rFonts w:ascii="Calibri" w:eastAsia="Calibri" w:hAnsi="Calibri" w:cs="Calibri"/>
                        <w:noProof/>
                        <w:color w:val="000000"/>
                      </w:rPr>
                    </w:pPr>
                    <w:r w:rsidRPr="00A85AEE">
                      <w:rPr>
                        <w:rFonts w:ascii="Calibri" w:eastAsia="Calibri" w:hAnsi="Calibri" w:cs="Calibri"/>
                        <w:noProof/>
                        <w:color w:val="000000"/>
                      </w:rPr>
                      <w:t xml:space="preserve">Information Classification: Public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DFB52" w14:textId="716B4993" w:rsidR="004A7203" w:rsidRDefault="00A85AEE">
    <w:pPr>
      <w:pStyle w:val="Footer"/>
      <w:jc w:val="center"/>
    </w:pPr>
    <w:r>
      <w:rPr>
        <w:noProof/>
      </w:rPr>
      <mc:AlternateContent>
        <mc:Choice Requires="wps">
          <w:drawing>
            <wp:anchor distT="0" distB="0" distL="0" distR="0" simplePos="0" relativeHeight="251661312" behindDoc="0" locked="0" layoutInCell="1" allowOverlap="1" wp14:anchorId="3BF28004" wp14:editId="6865DB00">
              <wp:simplePos x="915035" y="9291955"/>
              <wp:positionH relativeFrom="page">
                <wp:align>left</wp:align>
              </wp:positionH>
              <wp:positionV relativeFrom="page">
                <wp:align>bottom</wp:align>
              </wp:positionV>
              <wp:extent cx="1946910" cy="361315"/>
              <wp:effectExtent l="0" t="0" r="15240" b="0"/>
              <wp:wrapNone/>
              <wp:docPr id="2020843777" name="Text Box 5" descr="Information Classification: 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46910" cy="361315"/>
                      </a:xfrm>
                      <a:prstGeom prst="rect">
                        <a:avLst/>
                      </a:prstGeom>
                      <a:noFill/>
                      <a:ln>
                        <a:noFill/>
                      </a:ln>
                    </wps:spPr>
                    <wps:txbx>
                      <w:txbxContent>
                        <w:p w14:paraId="6BB5DA73" w14:textId="3A8A7074" w:rsidR="00A85AEE" w:rsidRPr="00A85AEE" w:rsidRDefault="00A85AEE" w:rsidP="00A85AEE">
                          <w:pPr>
                            <w:spacing w:after="0"/>
                            <w:rPr>
                              <w:rFonts w:ascii="Calibri" w:eastAsia="Calibri" w:hAnsi="Calibri" w:cs="Calibri"/>
                              <w:noProof/>
                              <w:color w:val="000000"/>
                            </w:rPr>
                          </w:pPr>
                          <w:r w:rsidRPr="00A85AEE">
                            <w:rPr>
                              <w:rFonts w:ascii="Calibri" w:eastAsia="Calibri" w:hAnsi="Calibri" w:cs="Calibri"/>
                              <w:noProof/>
                              <w:color w:val="000000"/>
                            </w:rPr>
                            <w:t xml:space="preserve">Information Classification: 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BF28004" id="_x0000_t202" coordsize="21600,21600" o:spt="202" path="m,l,21600r21600,l21600,xe">
              <v:stroke joinstyle="miter"/>
              <v:path gradientshapeok="t" o:connecttype="rect"/>
            </v:shapetype>
            <v:shape id="Text Box 5" o:spid="_x0000_s1027" type="#_x0000_t202" alt="Information Classification: Public " style="position:absolute;left:0;text-align:left;margin-left:0;margin-top:0;width:153.3pt;height:28.4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" filled="f" stroked="f">
              <v:textbox style="mso-fit-shape-to-text:t" inset="20pt,0,0,15pt">
                <w:txbxContent>
                  <w:p w14:paraId="6BB5DA73" w14:textId="3A8A7074" w:rsidR="00A85AEE" w:rsidRPr="00A85AEE" w:rsidRDefault="00A85AEE" w:rsidP="00A85AEE">
                    <w:pPr>
                      <w:spacing w:after="0"/>
                      <w:rPr>
                        <w:rFonts w:ascii="Calibri" w:eastAsia="Calibri" w:hAnsi="Calibri" w:cs="Calibri"/>
                        <w:noProof/>
                        <w:color w:val="000000"/>
                      </w:rPr>
                    </w:pPr>
                    <w:r w:rsidRPr="00A85AEE">
                      <w:rPr>
                        <w:rFonts w:ascii="Calibri" w:eastAsia="Calibri" w:hAnsi="Calibri" w:cs="Calibri"/>
                        <w:noProof/>
                        <w:color w:val="000000"/>
                      </w:rPr>
                      <w:t xml:space="preserve">Information Classification: Public </w:t>
                    </w:r>
                  </w:p>
                </w:txbxContent>
              </v:textbox>
              <w10:wrap anchorx="page" anchory="page"/>
            </v:shape>
          </w:pict>
        </mc:Fallback>
      </mc:AlternateContent>
    </w:r>
  </w:p>
  <w:p w14:paraId="62BF571F" w14:textId="77777777" w:rsidR="004A7203" w:rsidRDefault="004A720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ADBE6" w14:textId="3A0816B5" w:rsidR="00A85AEE" w:rsidRDefault="00A85AEE">
    <w:pPr>
      <w:pStyle w:val="Footer"/>
    </w:pPr>
    <w:r>
      <w:rPr>
        <w:noProof/>
      </w:rPr>
      <mc:AlternateContent>
        <mc:Choice Requires="wps">
          <w:drawing>
            <wp:anchor distT="0" distB="0" distL="0" distR="0" simplePos="0" relativeHeight="251659264" behindDoc="0" locked="0" layoutInCell="1" allowOverlap="1" wp14:anchorId="635BF98A" wp14:editId="0ED82A58">
              <wp:simplePos x="914400" y="9448800"/>
              <wp:positionH relativeFrom="page">
                <wp:align>left</wp:align>
              </wp:positionH>
              <wp:positionV relativeFrom="page">
                <wp:align>bottom</wp:align>
              </wp:positionV>
              <wp:extent cx="1946910" cy="361315"/>
              <wp:effectExtent l="0" t="0" r="15240" b="0"/>
              <wp:wrapNone/>
              <wp:docPr id="1175924996" name="Text Box 3" descr="Information Classification: 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46910" cy="361315"/>
                      </a:xfrm>
                      <a:prstGeom prst="rect">
                        <a:avLst/>
                      </a:prstGeom>
                      <a:noFill/>
                      <a:ln>
                        <a:noFill/>
                      </a:ln>
                    </wps:spPr>
                    <wps:txbx>
                      <w:txbxContent>
                        <w:p w14:paraId="286FF6D8" w14:textId="6A5D7962" w:rsidR="00A85AEE" w:rsidRPr="00A85AEE" w:rsidRDefault="00A85AEE" w:rsidP="00A85AEE">
                          <w:pPr>
                            <w:spacing w:after="0"/>
                            <w:rPr>
                              <w:rFonts w:ascii="Calibri" w:eastAsia="Calibri" w:hAnsi="Calibri" w:cs="Calibri"/>
                              <w:noProof/>
                              <w:color w:val="000000"/>
                            </w:rPr>
                          </w:pPr>
                          <w:r w:rsidRPr="00A85AEE">
                            <w:rPr>
                              <w:rFonts w:ascii="Calibri" w:eastAsia="Calibri" w:hAnsi="Calibri" w:cs="Calibri"/>
                              <w:noProof/>
                              <w:color w:val="000000"/>
                            </w:rPr>
                            <w:t xml:space="preserve">Information Classification: 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35BF98A" id="_x0000_t202" coordsize="21600,21600" o:spt="202" path="m,l,21600r21600,l21600,xe">
              <v:stroke joinstyle="miter"/>
              <v:path gradientshapeok="t" o:connecttype="rect"/>
            </v:shapetype>
            <v:shape id="Text Box 3" o:spid="_x0000_s1028" type="#_x0000_t202" alt="Information Classification: Public " style="position:absolute;margin-left:0;margin-top:0;width:153.3pt;height:28.4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" filled="f" stroked="f">
              <v:textbox style="mso-fit-shape-to-text:t" inset="20pt,0,0,15pt">
                <w:txbxContent>
                  <w:p w14:paraId="286FF6D8" w14:textId="6A5D7962" w:rsidR="00A85AEE" w:rsidRPr="00A85AEE" w:rsidRDefault="00A85AEE" w:rsidP="00A85AEE">
                    <w:pPr>
                      <w:spacing w:after="0"/>
                      <w:rPr>
                        <w:rFonts w:ascii="Calibri" w:eastAsia="Calibri" w:hAnsi="Calibri" w:cs="Calibri"/>
                        <w:noProof/>
                        <w:color w:val="000000"/>
                      </w:rPr>
                    </w:pPr>
                    <w:r w:rsidRPr="00A85AEE">
                      <w:rPr>
                        <w:rFonts w:ascii="Calibri" w:eastAsia="Calibri" w:hAnsi="Calibri" w:cs="Calibri"/>
                        <w:noProof/>
                        <w:color w:val="000000"/>
                      </w:rPr>
                      <w:t xml:space="preserve">Information Classification: Public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EDAFC" w14:textId="77777777" w:rsidR="00EE74BA" w:rsidRDefault="00EE74BA" w:rsidP="00EE03B4">
      <w:pPr>
        <w:spacing w:after="0" w:line="240" w:lineRule="auto"/>
      </w:pPr>
      <w:r>
        <w:separator/>
      </w:r>
    </w:p>
  </w:footnote>
  <w:footnote w:type="continuationSeparator" w:id="0">
    <w:p w14:paraId="4E38D365" w14:textId="77777777" w:rsidR="00EE74BA" w:rsidRDefault="00EE74BA" w:rsidP="00EE03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16FC8" w14:textId="1C176DA1" w:rsidR="004A7203" w:rsidRPr="00C82620" w:rsidRDefault="00AF0FBB" w:rsidP="00DE6D2C">
    <w:pPr>
      <w:pStyle w:val="Header"/>
      <w:rPr>
        <w:sz w:val="16"/>
        <w:szCs w:val="16"/>
      </w:rPr>
    </w:pPr>
    <w:r>
      <w:rPr>
        <w:noProof/>
        <w:color w:val="1F497D"/>
      </w:rPr>
      <w:drawing>
        <wp:anchor distT="0" distB="0" distL="114300" distR="114300" simplePos="0" relativeHeight="251658240" behindDoc="0" locked="0" layoutInCell="1" allowOverlap="1" wp14:anchorId="22415CB5" wp14:editId="00222BBF">
          <wp:simplePos x="0" y="0"/>
          <wp:positionH relativeFrom="margin">
            <wp:align>right</wp:align>
          </wp:positionH>
          <wp:positionV relativeFrom="paragraph">
            <wp:posOffset>-123825</wp:posOffset>
          </wp:positionV>
          <wp:extent cx="1476375" cy="428625"/>
          <wp:effectExtent l="0" t="0" r="9525" b="9525"/>
          <wp:wrapThrough wrapText="bothSides">
            <wp:wrapPolygon edited="0">
              <wp:start x="0" y="0"/>
              <wp:lineTo x="0" y="21120"/>
              <wp:lineTo x="21461" y="21120"/>
              <wp:lineTo x="21461"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476375" cy="428625"/>
                  </a:xfrm>
                  <a:prstGeom prst="rect">
                    <a:avLst/>
                  </a:prstGeom>
                  <a:noFill/>
                  <a:ln>
                    <a:noFill/>
                  </a:ln>
                </pic:spPr>
              </pic:pic>
            </a:graphicData>
          </a:graphic>
        </wp:anchor>
      </w:drawing>
    </w:r>
    <w:r w:rsidR="004A7203">
      <w:rPr>
        <w:sz w:val="16"/>
        <w:szCs w:val="16"/>
      </w:rPr>
      <w:tab/>
    </w:r>
    <w:r w:rsidR="004A7203">
      <w:rPr>
        <w:sz w:val="16"/>
        <w:szCs w:val="16"/>
      </w:rPr>
      <w:tab/>
    </w:r>
    <w:r w:rsidR="004A7203">
      <w:rPr>
        <w:sz w:val="16"/>
        <w:szCs w:val="16"/>
      </w:rPr>
      <w:tab/>
    </w:r>
  </w:p>
  <w:p w14:paraId="467A41AB" w14:textId="77777777" w:rsidR="004A7203" w:rsidRDefault="004A7203">
    <w:pPr>
      <w:pStyle w:val="Header"/>
    </w:pPr>
  </w:p>
  <w:p w14:paraId="5B361A2E" w14:textId="77777777" w:rsidR="004A7203" w:rsidRDefault="004A72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EE0"/>
    <w:multiLevelType w:val="hybridMultilevel"/>
    <w:tmpl w:val="646C1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FC384F"/>
    <w:multiLevelType w:val="hybridMultilevel"/>
    <w:tmpl w:val="BB88EC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4A83DB8"/>
    <w:multiLevelType w:val="hybridMultilevel"/>
    <w:tmpl w:val="B4A22F18"/>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0CFC4490"/>
    <w:multiLevelType w:val="hybridMultilevel"/>
    <w:tmpl w:val="19E261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DBC0EF1"/>
    <w:multiLevelType w:val="hybridMultilevel"/>
    <w:tmpl w:val="DA5C9E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0F07E3A"/>
    <w:multiLevelType w:val="hybridMultilevel"/>
    <w:tmpl w:val="A8C870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10022B4"/>
    <w:multiLevelType w:val="hybridMultilevel"/>
    <w:tmpl w:val="345635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4B61F39"/>
    <w:multiLevelType w:val="hybridMultilevel"/>
    <w:tmpl w:val="1D942D04"/>
    <w:lvl w:ilvl="0" w:tplc="4F409ACC">
      <w:start w:val="1"/>
      <w:numFmt w:val="bullet"/>
      <w:lvlText w:val="o"/>
      <w:lvlJc w:val="left"/>
      <w:pPr>
        <w:ind w:left="10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3034BAF8">
      <w:start w:val="1"/>
      <w:numFmt w:val="bullet"/>
      <w:lvlText w:val=""/>
      <w:lvlJc w:val="left"/>
      <w:pPr>
        <w:ind w:left="178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5B042F8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360B2C6">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042D7DC">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614015E">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56081A6">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E1E445A">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04C5E84">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59749BA"/>
    <w:multiLevelType w:val="hybridMultilevel"/>
    <w:tmpl w:val="4788A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5B14A7"/>
    <w:multiLevelType w:val="hybridMultilevel"/>
    <w:tmpl w:val="157EF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6A0C27"/>
    <w:multiLevelType w:val="hybridMultilevel"/>
    <w:tmpl w:val="FFFFFFFF"/>
    <w:lvl w:ilvl="0" w:tplc="794AB1C6">
      <w:start w:val="1"/>
      <w:numFmt w:val="bullet"/>
      <w:lvlText w:val=""/>
      <w:lvlJc w:val="left"/>
      <w:pPr>
        <w:ind w:left="720" w:hanging="360"/>
      </w:pPr>
      <w:rPr>
        <w:rFonts w:ascii="Symbol" w:eastAsia="Symbol" w:hAnsi="Symbol" w:cs="Symbol"/>
      </w:rPr>
    </w:lvl>
    <w:lvl w:ilvl="1" w:tplc="94DAE312">
      <w:start w:val="1"/>
      <w:numFmt w:val="bullet"/>
      <w:lvlText w:val="o"/>
      <w:lvlJc w:val="left"/>
      <w:pPr>
        <w:ind w:left="1440" w:hanging="360"/>
      </w:pPr>
      <w:rPr>
        <w:rFonts w:ascii="Courier New" w:eastAsia="Courier New" w:hAnsi="Courier New" w:cs="Courier New"/>
      </w:rPr>
    </w:lvl>
    <w:lvl w:ilvl="2" w:tplc="E2243A10">
      <w:start w:val="1"/>
      <w:numFmt w:val="bullet"/>
      <w:lvlText w:val=""/>
      <w:lvlJc w:val="left"/>
      <w:pPr>
        <w:ind w:left="2160" w:hanging="360"/>
      </w:pPr>
      <w:rPr>
        <w:rFonts w:ascii="Wingdings" w:eastAsia="Wingdings" w:hAnsi="Wingdings" w:cs="Wingdings"/>
      </w:rPr>
    </w:lvl>
    <w:lvl w:ilvl="3" w:tplc="E56842BA">
      <w:start w:val="1"/>
      <w:numFmt w:val="bullet"/>
      <w:lvlText w:val=""/>
      <w:lvlJc w:val="left"/>
      <w:pPr>
        <w:ind w:left="2880" w:hanging="360"/>
      </w:pPr>
      <w:rPr>
        <w:rFonts w:ascii="Symbol" w:eastAsia="Symbol" w:hAnsi="Symbol" w:cs="Symbol"/>
      </w:rPr>
    </w:lvl>
    <w:lvl w:ilvl="4" w:tplc="4CCEFAF8">
      <w:start w:val="1"/>
      <w:numFmt w:val="bullet"/>
      <w:lvlText w:val="o"/>
      <w:lvlJc w:val="left"/>
      <w:pPr>
        <w:ind w:left="3600" w:hanging="360"/>
      </w:pPr>
      <w:rPr>
        <w:rFonts w:ascii="Courier New" w:eastAsia="Courier New" w:hAnsi="Courier New" w:cs="Courier New"/>
      </w:rPr>
    </w:lvl>
    <w:lvl w:ilvl="5" w:tplc="81866E7C">
      <w:start w:val="1"/>
      <w:numFmt w:val="bullet"/>
      <w:lvlText w:val=""/>
      <w:lvlJc w:val="left"/>
      <w:pPr>
        <w:ind w:left="4320" w:hanging="360"/>
      </w:pPr>
      <w:rPr>
        <w:rFonts w:ascii="Wingdings" w:eastAsia="Wingdings" w:hAnsi="Wingdings" w:cs="Wingdings"/>
      </w:rPr>
    </w:lvl>
    <w:lvl w:ilvl="6" w:tplc="0F1ACFE0">
      <w:start w:val="1"/>
      <w:numFmt w:val="bullet"/>
      <w:lvlText w:val=""/>
      <w:lvlJc w:val="left"/>
      <w:pPr>
        <w:ind w:left="5040" w:hanging="360"/>
      </w:pPr>
      <w:rPr>
        <w:rFonts w:ascii="Symbol" w:eastAsia="Symbol" w:hAnsi="Symbol" w:cs="Symbol"/>
      </w:rPr>
    </w:lvl>
    <w:lvl w:ilvl="7" w:tplc="4A064EE0">
      <w:start w:val="1"/>
      <w:numFmt w:val="bullet"/>
      <w:lvlText w:val="o"/>
      <w:lvlJc w:val="left"/>
      <w:pPr>
        <w:ind w:left="5760" w:hanging="360"/>
      </w:pPr>
      <w:rPr>
        <w:rFonts w:ascii="Courier New" w:eastAsia="Courier New" w:hAnsi="Courier New" w:cs="Courier New"/>
      </w:rPr>
    </w:lvl>
    <w:lvl w:ilvl="8" w:tplc="379A644E">
      <w:start w:val="1"/>
      <w:numFmt w:val="bullet"/>
      <w:lvlText w:val=""/>
      <w:lvlJc w:val="left"/>
      <w:pPr>
        <w:ind w:left="6480" w:hanging="360"/>
      </w:pPr>
      <w:rPr>
        <w:rFonts w:ascii="Wingdings" w:eastAsia="Wingdings" w:hAnsi="Wingdings" w:cs="Wingdings"/>
      </w:rPr>
    </w:lvl>
  </w:abstractNum>
  <w:abstractNum w:abstractNumId="11" w15:restartNumberingAfterBreak="0">
    <w:nsid w:val="41B7427B"/>
    <w:multiLevelType w:val="hybridMultilevel"/>
    <w:tmpl w:val="49EEA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530FEC"/>
    <w:multiLevelType w:val="hybridMultilevel"/>
    <w:tmpl w:val="02A60928"/>
    <w:lvl w:ilvl="0" w:tplc="B8C4D200">
      <w:start w:val="1"/>
      <w:numFmt w:val="bullet"/>
      <w:lvlText w:val=""/>
      <w:lvlJc w:val="left"/>
      <w:pPr>
        <w:ind w:left="720" w:hanging="360"/>
      </w:pPr>
      <w:rPr>
        <w:rFonts w:ascii="Symbol" w:eastAsia="Symbol" w:hAnsi="Symbol" w:cs="Symbol"/>
      </w:rPr>
    </w:lvl>
    <w:lvl w:ilvl="1" w:tplc="CCC40ADE">
      <w:start w:val="1"/>
      <w:numFmt w:val="bullet"/>
      <w:lvlText w:val="o"/>
      <w:lvlJc w:val="left"/>
      <w:pPr>
        <w:ind w:left="1440" w:hanging="360"/>
      </w:pPr>
      <w:rPr>
        <w:rFonts w:ascii="Courier New" w:eastAsia="Courier New" w:hAnsi="Courier New" w:cs="Courier New"/>
      </w:rPr>
    </w:lvl>
    <w:lvl w:ilvl="2" w:tplc="58AAF118">
      <w:start w:val="1"/>
      <w:numFmt w:val="bullet"/>
      <w:lvlText w:val=""/>
      <w:lvlJc w:val="left"/>
      <w:pPr>
        <w:ind w:left="2160" w:hanging="360"/>
      </w:pPr>
      <w:rPr>
        <w:rFonts w:ascii="Wingdings" w:eastAsia="Wingdings" w:hAnsi="Wingdings" w:cs="Wingdings"/>
      </w:rPr>
    </w:lvl>
    <w:lvl w:ilvl="3" w:tplc="C9B22DA8">
      <w:start w:val="1"/>
      <w:numFmt w:val="bullet"/>
      <w:lvlText w:val=""/>
      <w:lvlJc w:val="left"/>
      <w:pPr>
        <w:ind w:left="2880" w:hanging="360"/>
      </w:pPr>
      <w:rPr>
        <w:rFonts w:ascii="Symbol" w:eastAsia="Symbol" w:hAnsi="Symbol" w:cs="Symbol"/>
      </w:rPr>
    </w:lvl>
    <w:lvl w:ilvl="4" w:tplc="E3D4BC34">
      <w:start w:val="1"/>
      <w:numFmt w:val="bullet"/>
      <w:lvlText w:val="o"/>
      <w:lvlJc w:val="left"/>
      <w:pPr>
        <w:ind w:left="3600" w:hanging="360"/>
      </w:pPr>
      <w:rPr>
        <w:rFonts w:ascii="Courier New" w:eastAsia="Courier New" w:hAnsi="Courier New" w:cs="Courier New"/>
      </w:rPr>
    </w:lvl>
    <w:lvl w:ilvl="5" w:tplc="89842D8A">
      <w:start w:val="1"/>
      <w:numFmt w:val="bullet"/>
      <w:lvlText w:val=""/>
      <w:lvlJc w:val="left"/>
      <w:pPr>
        <w:ind w:left="4320" w:hanging="360"/>
      </w:pPr>
      <w:rPr>
        <w:rFonts w:ascii="Wingdings" w:eastAsia="Wingdings" w:hAnsi="Wingdings" w:cs="Wingdings"/>
      </w:rPr>
    </w:lvl>
    <w:lvl w:ilvl="6" w:tplc="4B2C4EEA">
      <w:start w:val="1"/>
      <w:numFmt w:val="bullet"/>
      <w:lvlText w:val=""/>
      <w:lvlJc w:val="left"/>
      <w:pPr>
        <w:ind w:left="5040" w:hanging="360"/>
      </w:pPr>
      <w:rPr>
        <w:rFonts w:ascii="Symbol" w:eastAsia="Symbol" w:hAnsi="Symbol" w:cs="Symbol"/>
      </w:rPr>
    </w:lvl>
    <w:lvl w:ilvl="7" w:tplc="E6782756">
      <w:start w:val="1"/>
      <w:numFmt w:val="bullet"/>
      <w:lvlText w:val="o"/>
      <w:lvlJc w:val="left"/>
      <w:pPr>
        <w:ind w:left="5760" w:hanging="360"/>
      </w:pPr>
      <w:rPr>
        <w:rFonts w:ascii="Courier New" w:eastAsia="Courier New" w:hAnsi="Courier New" w:cs="Courier New"/>
      </w:rPr>
    </w:lvl>
    <w:lvl w:ilvl="8" w:tplc="8C181014">
      <w:start w:val="1"/>
      <w:numFmt w:val="bullet"/>
      <w:lvlText w:val=""/>
      <w:lvlJc w:val="left"/>
      <w:pPr>
        <w:ind w:left="6480" w:hanging="360"/>
      </w:pPr>
      <w:rPr>
        <w:rFonts w:ascii="Wingdings" w:eastAsia="Wingdings" w:hAnsi="Wingdings" w:cs="Wingdings"/>
      </w:rPr>
    </w:lvl>
  </w:abstractNum>
  <w:abstractNum w:abstractNumId="13" w15:restartNumberingAfterBreak="0">
    <w:nsid w:val="50D53930"/>
    <w:multiLevelType w:val="hybridMultilevel"/>
    <w:tmpl w:val="67583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6034B2"/>
    <w:multiLevelType w:val="hybridMultilevel"/>
    <w:tmpl w:val="9E604E4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5DA12DD6"/>
    <w:multiLevelType w:val="hybridMultilevel"/>
    <w:tmpl w:val="61F2EC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6E938EE"/>
    <w:multiLevelType w:val="hybridMultilevel"/>
    <w:tmpl w:val="84682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5E6B81"/>
    <w:multiLevelType w:val="hybridMultilevel"/>
    <w:tmpl w:val="245EAB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6A11A5"/>
    <w:multiLevelType w:val="hybridMultilevel"/>
    <w:tmpl w:val="4B4065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15812255">
    <w:abstractNumId w:val="7"/>
  </w:num>
  <w:num w:numId="2" w16cid:durableId="2099013664">
    <w:abstractNumId w:val="2"/>
  </w:num>
  <w:num w:numId="3" w16cid:durableId="1065109355">
    <w:abstractNumId w:val="17"/>
  </w:num>
  <w:num w:numId="4" w16cid:durableId="1017729909">
    <w:abstractNumId w:val="0"/>
  </w:num>
  <w:num w:numId="5" w16cid:durableId="1937982636">
    <w:abstractNumId w:val="9"/>
  </w:num>
  <w:num w:numId="6" w16cid:durableId="444274264">
    <w:abstractNumId w:val="13"/>
  </w:num>
  <w:num w:numId="7" w16cid:durableId="140849496">
    <w:abstractNumId w:val="11"/>
  </w:num>
  <w:num w:numId="8" w16cid:durableId="146288828">
    <w:abstractNumId w:val="15"/>
  </w:num>
  <w:num w:numId="9" w16cid:durableId="163128149">
    <w:abstractNumId w:val="8"/>
  </w:num>
  <w:num w:numId="10" w16cid:durableId="592513396">
    <w:abstractNumId w:val="16"/>
  </w:num>
  <w:num w:numId="11" w16cid:durableId="529492387">
    <w:abstractNumId w:val="14"/>
  </w:num>
  <w:num w:numId="12" w16cid:durableId="2120055285">
    <w:abstractNumId w:val="4"/>
  </w:num>
  <w:num w:numId="13" w16cid:durableId="2123573697">
    <w:abstractNumId w:val="18"/>
  </w:num>
  <w:num w:numId="14" w16cid:durableId="908417583">
    <w:abstractNumId w:val="5"/>
  </w:num>
  <w:num w:numId="15" w16cid:durableId="397367668">
    <w:abstractNumId w:val="3"/>
  </w:num>
  <w:num w:numId="16" w16cid:durableId="876696084">
    <w:abstractNumId w:val="1"/>
  </w:num>
  <w:num w:numId="17" w16cid:durableId="1347486650">
    <w:abstractNumId w:val="6"/>
  </w:num>
  <w:num w:numId="18" w16cid:durableId="574631553">
    <w:abstractNumId w:val="10"/>
  </w:num>
  <w:num w:numId="19" w16cid:durableId="1071543508">
    <w:abstractNumId w:val="1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B97"/>
    <w:rsid w:val="000028C7"/>
    <w:rsid w:val="00006CFB"/>
    <w:rsid w:val="000077E4"/>
    <w:rsid w:val="00015CB4"/>
    <w:rsid w:val="00017AB3"/>
    <w:rsid w:val="00030B04"/>
    <w:rsid w:val="00030E05"/>
    <w:rsid w:val="00031CC1"/>
    <w:rsid w:val="000323A5"/>
    <w:rsid w:val="00032EFF"/>
    <w:rsid w:val="00036BC1"/>
    <w:rsid w:val="00046B77"/>
    <w:rsid w:val="000514D0"/>
    <w:rsid w:val="00053461"/>
    <w:rsid w:val="0005431F"/>
    <w:rsid w:val="00056D02"/>
    <w:rsid w:val="00060142"/>
    <w:rsid w:val="000607F7"/>
    <w:rsid w:val="000612FE"/>
    <w:rsid w:val="000671BF"/>
    <w:rsid w:val="000842DA"/>
    <w:rsid w:val="0008641D"/>
    <w:rsid w:val="00086C3B"/>
    <w:rsid w:val="00091BD0"/>
    <w:rsid w:val="00092D5C"/>
    <w:rsid w:val="00096565"/>
    <w:rsid w:val="000974DA"/>
    <w:rsid w:val="000A1564"/>
    <w:rsid w:val="000A6AEC"/>
    <w:rsid w:val="000B2466"/>
    <w:rsid w:val="000C3E59"/>
    <w:rsid w:val="000C4875"/>
    <w:rsid w:val="000C5B18"/>
    <w:rsid w:val="000D1EDF"/>
    <w:rsid w:val="000D2BB5"/>
    <w:rsid w:val="000E2FF3"/>
    <w:rsid w:val="000E4E36"/>
    <w:rsid w:val="000E4EB3"/>
    <w:rsid w:val="00100750"/>
    <w:rsid w:val="00101E70"/>
    <w:rsid w:val="00104234"/>
    <w:rsid w:val="001043AC"/>
    <w:rsid w:val="0010606F"/>
    <w:rsid w:val="00106C7C"/>
    <w:rsid w:val="00107509"/>
    <w:rsid w:val="00114933"/>
    <w:rsid w:val="0011589A"/>
    <w:rsid w:val="00116D18"/>
    <w:rsid w:val="001210F1"/>
    <w:rsid w:val="00130268"/>
    <w:rsid w:val="00130CB4"/>
    <w:rsid w:val="001326F8"/>
    <w:rsid w:val="00140CA3"/>
    <w:rsid w:val="00141B4C"/>
    <w:rsid w:val="00145073"/>
    <w:rsid w:val="00145FAD"/>
    <w:rsid w:val="00147C33"/>
    <w:rsid w:val="00150C95"/>
    <w:rsid w:val="00163A47"/>
    <w:rsid w:val="001643EC"/>
    <w:rsid w:val="001666C3"/>
    <w:rsid w:val="001809B4"/>
    <w:rsid w:val="00183E4B"/>
    <w:rsid w:val="00187C1B"/>
    <w:rsid w:val="00190A9E"/>
    <w:rsid w:val="00192ED6"/>
    <w:rsid w:val="001A4A70"/>
    <w:rsid w:val="001A6026"/>
    <w:rsid w:val="001A6053"/>
    <w:rsid w:val="001A6C37"/>
    <w:rsid w:val="001B0C7E"/>
    <w:rsid w:val="001B2787"/>
    <w:rsid w:val="001B3B61"/>
    <w:rsid w:val="001B6B3B"/>
    <w:rsid w:val="001C256A"/>
    <w:rsid w:val="001D7D0C"/>
    <w:rsid w:val="001E4069"/>
    <w:rsid w:val="001F294E"/>
    <w:rsid w:val="001F7912"/>
    <w:rsid w:val="00201204"/>
    <w:rsid w:val="00201D75"/>
    <w:rsid w:val="00203074"/>
    <w:rsid w:val="00206851"/>
    <w:rsid w:val="00210581"/>
    <w:rsid w:val="002127E6"/>
    <w:rsid w:val="00220B7B"/>
    <w:rsid w:val="0022253B"/>
    <w:rsid w:val="002232C6"/>
    <w:rsid w:val="00225375"/>
    <w:rsid w:val="00226C01"/>
    <w:rsid w:val="00237C8A"/>
    <w:rsid w:val="00244B98"/>
    <w:rsid w:val="002505DA"/>
    <w:rsid w:val="00256B77"/>
    <w:rsid w:val="00257DA3"/>
    <w:rsid w:val="002601D1"/>
    <w:rsid w:val="002623D5"/>
    <w:rsid w:val="0026309D"/>
    <w:rsid w:val="002657E7"/>
    <w:rsid w:val="00265B0A"/>
    <w:rsid w:val="00274B4D"/>
    <w:rsid w:val="00277E0A"/>
    <w:rsid w:val="002813B3"/>
    <w:rsid w:val="00282339"/>
    <w:rsid w:val="002875D0"/>
    <w:rsid w:val="002878D2"/>
    <w:rsid w:val="00292635"/>
    <w:rsid w:val="002928F6"/>
    <w:rsid w:val="00293C65"/>
    <w:rsid w:val="0029457E"/>
    <w:rsid w:val="00294BC5"/>
    <w:rsid w:val="002962E1"/>
    <w:rsid w:val="002A4307"/>
    <w:rsid w:val="002A4852"/>
    <w:rsid w:val="002A66A7"/>
    <w:rsid w:val="002B6286"/>
    <w:rsid w:val="002B7CD1"/>
    <w:rsid w:val="002C3EA7"/>
    <w:rsid w:val="002C5B99"/>
    <w:rsid w:val="002D0CD8"/>
    <w:rsid w:val="002D2FF8"/>
    <w:rsid w:val="002D3347"/>
    <w:rsid w:val="002D6C11"/>
    <w:rsid w:val="002D71CF"/>
    <w:rsid w:val="002E36A4"/>
    <w:rsid w:val="002E5D55"/>
    <w:rsid w:val="002E72F4"/>
    <w:rsid w:val="002F20E0"/>
    <w:rsid w:val="002F2CB2"/>
    <w:rsid w:val="002F38B8"/>
    <w:rsid w:val="002F76EF"/>
    <w:rsid w:val="002F77BC"/>
    <w:rsid w:val="003045B2"/>
    <w:rsid w:val="00307C06"/>
    <w:rsid w:val="00313609"/>
    <w:rsid w:val="00322AFF"/>
    <w:rsid w:val="003266E7"/>
    <w:rsid w:val="0032791D"/>
    <w:rsid w:val="00331B56"/>
    <w:rsid w:val="0033460A"/>
    <w:rsid w:val="00340F2C"/>
    <w:rsid w:val="00341709"/>
    <w:rsid w:val="003477FC"/>
    <w:rsid w:val="003478D4"/>
    <w:rsid w:val="00350B3C"/>
    <w:rsid w:val="00351EEF"/>
    <w:rsid w:val="00360BAD"/>
    <w:rsid w:val="00362F3A"/>
    <w:rsid w:val="00365E3A"/>
    <w:rsid w:val="00366393"/>
    <w:rsid w:val="00366BBA"/>
    <w:rsid w:val="00367794"/>
    <w:rsid w:val="00370E55"/>
    <w:rsid w:val="00374CC0"/>
    <w:rsid w:val="0038262C"/>
    <w:rsid w:val="0038281E"/>
    <w:rsid w:val="00383DA5"/>
    <w:rsid w:val="003853E5"/>
    <w:rsid w:val="003857F5"/>
    <w:rsid w:val="00386EA3"/>
    <w:rsid w:val="00395DDF"/>
    <w:rsid w:val="0039664F"/>
    <w:rsid w:val="00397000"/>
    <w:rsid w:val="00397696"/>
    <w:rsid w:val="003A41BB"/>
    <w:rsid w:val="003A503C"/>
    <w:rsid w:val="003A66D5"/>
    <w:rsid w:val="003B0186"/>
    <w:rsid w:val="003B18C7"/>
    <w:rsid w:val="003B2CC0"/>
    <w:rsid w:val="003B4A29"/>
    <w:rsid w:val="003B6E85"/>
    <w:rsid w:val="003B7916"/>
    <w:rsid w:val="003C2E90"/>
    <w:rsid w:val="003D278F"/>
    <w:rsid w:val="003D2B2A"/>
    <w:rsid w:val="003D73B2"/>
    <w:rsid w:val="003E796E"/>
    <w:rsid w:val="003F37C5"/>
    <w:rsid w:val="003F5BF4"/>
    <w:rsid w:val="004078B9"/>
    <w:rsid w:val="00407CCA"/>
    <w:rsid w:val="00410F13"/>
    <w:rsid w:val="00421674"/>
    <w:rsid w:val="004250E9"/>
    <w:rsid w:val="00427314"/>
    <w:rsid w:val="004307B6"/>
    <w:rsid w:val="00436CA9"/>
    <w:rsid w:val="00436F99"/>
    <w:rsid w:val="00440BEE"/>
    <w:rsid w:val="00442946"/>
    <w:rsid w:val="0044451F"/>
    <w:rsid w:val="00447365"/>
    <w:rsid w:val="00447398"/>
    <w:rsid w:val="00447667"/>
    <w:rsid w:val="00451505"/>
    <w:rsid w:val="00454BE5"/>
    <w:rsid w:val="004577C2"/>
    <w:rsid w:val="004611C3"/>
    <w:rsid w:val="00464616"/>
    <w:rsid w:val="00464C48"/>
    <w:rsid w:val="00465ADD"/>
    <w:rsid w:val="004666A2"/>
    <w:rsid w:val="00471174"/>
    <w:rsid w:val="00472D39"/>
    <w:rsid w:val="00473DA8"/>
    <w:rsid w:val="00473ED9"/>
    <w:rsid w:val="00480311"/>
    <w:rsid w:val="00487C0B"/>
    <w:rsid w:val="00491CD4"/>
    <w:rsid w:val="00491DE2"/>
    <w:rsid w:val="00492B91"/>
    <w:rsid w:val="00494E16"/>
    <w:rsid w:val="004A065A"/>
    <w:rsid w:val="004A0BAD"/>
    <w:rsid w:val="004A12A8"/>
    <w:rsid w:val="004A3BE7"/>
    <w:rsid w:val="004A51DE"/>
    <w:rsid w:val="004A6634"/>
    <w:rsid w:val="004A7203"/>
    <w:rsid w:val="004A788B"/>
    <w:rsid w:val="004A7BB3"/>
    <w:rsid w:val="004B43B1"/>
    <w:rsid w:val="004B6617"/>
    <w:rsid w:val="004C0170"/>
    <w:rsid w:val="004C196A"/>
    <w:rsid w:val="004C1D67"/>
    <w:rsid w:val="004C4130"/>
    <w:rsid w:val="004C418D"/>
    <w:rsid w:val="004C64A6"/>
    <w:rsid w:val="004D11E0"/>
    <w:rsid w:val="004D1960"/>
    <w:rsid w:val="004D2193"/>
    <w:rsid w:val="004D3B93"/>
    <w:rsid w:val="004E66B8"/>
    <w:rsid w:val="004F0A51"/>
    <w:rsid w:val="004F0BB9"/>
    <w:rsid w:val="004F0C21"/>
    <w:rsid w:val="004F546C"/>
    <w:rsid w:val="0050145D"/>
    <w:rsid w:val="00505CB6"/>
    <w:rsid w:val="00506628"/>
    <w:rsid w:val="005072A6"/>
    <w:rsid w:val="00511B5D"/>
    <w:rsid w:val="00511E01"/>
    <w:rsid w:val="00512FB9"/>
    <w:rsid w:val="005210B6"/>
    <w:rsid w:val="00521BBB"/>
    <w:rsid w:val="0052658A"/>
    <w:rsid w:val="00531158"/>
    <w:rsid w:val="0053308C"/>
    <w:rsid w:val="0053632A"/>
    <w:rsid w:val="00543E40"/>
    <w:rsid w:val="00545068"/>
    <w:rsid w:val="00545766"/>
    <w:rsid w:val="005639ED"/>
    <w:rsid w:val="005646C8"/>
    <w:rsid w:val="0056644D"/>
    <w:rsid w:val="00567698"/>
    <w:rsid w:val="00570E23"/>
    <w:rsid w:val="005742C3"/>
    <w:rsid w:val="005761E7"/>
    <w:rsid w:val="0057664A"/>
    <w:rsid w:val="0057681E"/>
    <w:rsid w:val="005846FF"/>
    <w:rsid w:val="00587317"/>
    <w:rsid w:val="00587E67"/>
    <w:rsid w:val="005905E0"/>
    <w:rsid w:val="0059368E"/>
    <w:rsid w:val="0059383B"/>
    <w:rsid w:val="00595B18"/>
    <w:rsid w:val="0059748E"/>
    <w:rsid w:val="005975D5"/>
    <w:rsid w:val="00597814"/>
    <w:rsid w:val="005A200B"/>
    <w:rsid w:val="005A207A"/>
    <w:rsid w:val="005A36DD"/>
    <w:rsid w:val="005A5DF9"/>
    <w:rsid w:val="005A697F"/>
    <w:rsid w:val="005B17A8"/>
    <w:rsid w:val="005B687A"/>
    <w:rsid w:val="005B6914"/>
    <w:rsid w:val="005C12B8"/>
    <w:rsid w:val="005C1F68"/>
    <w:rsid w:val="005C2C76"/>
    <w:rsid w:val="005C4B7B"/>
    <w:rsid w:val="005C64FD"/>
    <w:rsid w:val="005D077D"/>
    <w:rsid w:val="005D1087"/>
    <w:rsid w:val="005E0625"/>
    <w:rsid w:val="005E406B"/>
    <w:rsid w:val="005E4D43"/>
    <w:rsid w:val="005E68B9"/>
    <w:rsid w:val="005E73E9"/>
    <w:rsid w:val="005E758D"/>
    <w:rsid w:val="005F014A"/>
    <w:rsid w:val="005F06CE"/>
    <w:rsid w:val="005F0FBD"/>
    <w:rsid w:val="005F1701"/>
    <w:rsid w:val="005F4898"/>
    <w:rsid w:val="005F605F"/>
    <w:rsid w:val="00602D45"/>
    <w:rsid w:val="006039D8"/>
    <w:rsid w:val="00605A27"/>
    <w:rsid w:val="00607289"/>
    <w:rsid w:val="0061316A"/>
    <w:rsid w:val="006142CA"/>
    <w:rsid w:val="0061550D"/>
    <w:rsid w:val="00617060"/>
    <w:rsid w:val="00617F58"/>
    <w:rsid w:val="0062398D"/>
    <w:rsid w:val="006302BB"/>
    <w:rsid w:val="00633F70"/>
    <w:rsid w:val="00634670"/>
    <w:rsid w:val="00634D9C"/>
    <w:rsid w:val="00636CDC"/>
    <w:rsid w:val="0063757E"/>
    <w:rsid w:val="00637AB3"/>
    <w:rsid w:val="0064190D"/>
    <w:rsid w:val="00653B4C"/>
    <w:rsid w:val="006556F7"/>
    <w:rsid w:val="0066010B"/>
    <w:rsid w:val="006606F1"/>
    <w:rsid w:val="0066318F"/>
    <w:rsid w:val="00666519"/>
    <w:rsid w:val="00671EC0"/>
    <w:rsid w:val="0067311C"/>
    <w:rsid w:val="0067551A"/>
    <w:rsid w:val="00680914"/>
    <w:rsid w:val="00681676"/>
    <w:rsid w:val="00682B55"/>
    <w:rsid w:val="00691F0B"/>
    <w:rsid w:val="00695F7D"/>
    <w:rsid w:val="006A25BC"/>
    <w:rsid w:val="006A386D"/>
    <w:rsid w:val="006A3E97"/>
    <w:rsid w:val="006A5F7B"/>
    <w:rsid w:val="006B5B42"/>
    <w:rsid w:val="006C54A4"/>
    <w:rsid w:val="006D0401"/>
    <w:rsid w:val="006D15DE"/>
    <w:rsid w:val="006D3246"/>
    <w:rsid w:val="006D7EBC"/>
    <w:rsid w:val="006E28AA"/>
    <w:rsid w:val="006E5C4F"/>
    <w:rsid w:val="006F2203"/>
    <w:rsid w:val="00700612"/>
    <w:rsid w:val="00700889"/>
    <w:rsid w:val="00704CC6"/>
    <w:rsid w:val="00705092"/>
    <w:rsid w:val="007076D1"/>
    <w:rsid w:val="00723451"/>
    <w:rsid w:val="00726CB2"/>
    <w:rsid w:val="007279EE"/>
    <w:rsid w:val="0073165E"/>
    <w:rsid w:val="00733AC2"/>
    <w:rsid w:val="007400B7"/>
    <w:rsid w:val="00740476"/>
    <w:rsid w:val="007411EA"/>
    <w:rsid w:val="00741DA0"/>
    <w:rsid w:val="0074408E"/>
    <w:rsid w:val="00744874"/>
    <w:rsid w:val="00751076"/>
    <w:rsid w:val="00761DE3"/>
    <w:rsid w:val="00765D74"/>
    <w:rsid w:val="00767574"/>
    <w:rsid w:val="00771F50"/>
    <w:rsid w:val="007725A9"/>
    <w:rsid w:val="00773C72"/>
    <w:rsid w:val="00780470"/>
    <w:rsid w:val="00781742"/>
    <w:rsid w:val="0078367B"/>
    <w:rsid w:val="00785DD5"/>
    <w:rsid w:val="0078666D"/>
    <w:rsid w:val="007932EC"/>
    <w:rsid w:val="0079702A"/>
    <w:rsid w:val="007A3C6C"/>
    <w:rsid w:val="007A3ED7"/>
    <w:rsid w:val="007A42D8"/>
    <w:rsid w:val="007A5901"/>
    <w:rsid w:val="007A6444"/>
    <w:rsid w:val="007C07E6"/>
    <w:rsid w:val="007C2269"/>
    <w:rsid w:val="007C47D2"/>
    <w:rsid w:val="007C49F1"/>
    <w:rsid w:val="007C5A39"/>
    <w:rsid w:val="007D0D18"/>
    <w:rsid w:val="007D1210"/>
    <w:rsid w:val="007D540B"/>
    <w:rsid w:val="007D6E1A"/>
    <w:rsid w:val="007D7A58"/>
    <w:rsid w:val="007D7D95"/>
    <w:rsid w:val="007E1A6D"/>
    <w:rsid w:val="007E1D42"/>
    <w:rsid w:val="007E3D54"/>
    <w:rsid w:val="007E42BD"/>
    <w:rsid w:val="007F301C"/>
    <w:rsid w:val="007F3953"/>
    <w:rsid w:val="00805426"/>
    <w:rsid w:val="0080598F"/>
    <w:rsid w:val="00812C92"/>
    <w:rsid w:val="00817DCB"/>
    <w:rsid w:val="00821BEE"/>
    <w:rsid w:val="00823744"/>
    <w:rsid w:val="008275B5"/>
    <w:rsid w:val="008301AE"/>
    <w:rsid w:val="00830ECE"/>
    <w:rsid w:val="00832FB3"/>
    <w:rsid w:val="00833E18"/>
    <w:rsid w:val="008366B1"/>
    <w:rsid w:val="00837555"/>
    <w:rsid w:val="008434B1"/>
    <w:rsid w:val="00844B97"/>
    <w:rsid w:val="00844C2D"/>
    <w:rsid w:val="0085591B"/>
    <w:rsid w:val="00871263"/>
    <w:rsid w:val="00871D89"/>
    <w:rsid w:val="00872E6D"/>
    <w:rsid w:val="008768A1"/>
    <w:rsid w:val="00883BFF"/>
    <w:rsid w:val="0088564B"/>
    <w:rsid w:val="00885885"/>
    <w:rsid w:val="00890EB8"/>
    <w:rsid w:val="00891AEC"/>
    <w:rsid w:val="00892109"/>
    <w:rsid w:val="00892855"/>
    <w:rsid w:val="008956A4"/>
    <w:rsid w:val="00895814"/>
    <w:rsid w:val="00897B09"/>
    <w:rsid w:val="00897F9E"/>
    <w:rsid w:val="008A1E30"/>
    <w:rsid w:val="008A69E7"/>
    <w:rsid w:val="008B2481"/>
    <w:rsid w:val="008B3E49"/>
    <w:rsid w:val="008B432C"/>
    <w:rsid w:val="008B5044"/>
    <w:rsid w:val="008B567A"/>
    <w:rsid w:val="008C08EA"/>
    <w:rsid w:val="008C10A1"/>
    <w:rsid w:val="008C4EDF"/>
    <w:rsid w:val="008C5BF8"/>
    <w:rsid w:val="008C63F9"/>
    <w:rsid w:val="008C7D45"/>
    <w:rsid w:val="008D1573"/>
    <w:rsid w:val="008D5907"/>
    <w:rsid w:val="008D5A65"/>
    <w:rsid w:val="008E7C34"/>
    <w:rsid w:val="008F0FD8"/>
    <w:rsid w:val="008F11D9"/>
    <w:rsid w:val="008F140B"/>
    <w:rsid w:val="008F641A"/>
    <w:rsid w:val="00900140"/>
    <w:rsid w:val="00902D3D"/>
    <w:rsid w:val="00902F9A"/>
    <w:rsid w:val="0090384B"/>
    <w:rsid w:val="00903C9B"/>
    <w:rsid w:val="00904481"/>
    <w:rsid w:val="009137BB"/>
    <w:rsid w:val="00915317"/>
    <w:rsid w:val="009171D8"/>
    <w:rsid w:val="009230D6"/>
    <w:rsid w:val="0093141A"/>
    <w:rsid w:val="00937964"/>
    <w:rsid w:val="00942AEB"/>
    <w:rsid w:val="00942C81"/>
    <w:rsid w:val="00943E52"/>
    <w:rsid w:val="00947D7E"/>
    <w:rsid w:val="0095023B"/>
    <w:rsid w:val="009508BF"/>
    <w:rsid w:val="009509CE"/>
    <w:rsid w:val="00954BE9"/>
    <w:rsid w:val="00954CBE"/>
    <w:rsid w:val="009577F4"/>
    <w:rsid w:val="009578AE"/>
    <w:rsid w:val="00963E0B"/>
    <w:rsid w:val="009646EE"/>
    <w:rsid w:val="00972BB0"/>
    <w:rsid w:val="00973B70"/>
    <w:rsid w:val="00974408"/>
    <w:rsid w:val="0097683C"/>
    <w:rsid w:val="00977761"/>
    <w:rsid w:val="009826B5"/>
    <w:rsid w:val="00985A67"/>
    <w:rsid w:val="00995664"/>
    <w:rsid w:val="00995A5F"/>
    <w:rsid w:val="009A1D24"/>
    <w:rsid w:val="009A2AF1"/>
    <w:rsid w:val="009B2C6F"/>
    <w:rsid w:val="009B45F0"/>
    <w:rsid w:val="009B5024"/>
    <w:rsid w:val="009B6FCE"/>
    <w:rsid w:val="009C079E"/>
    <w:rsid w:val="009C4031"/>
    <w:rsid w:val="009C74F8"/>
    <w:rsid w:val="009D3562"/>
    <w:rsid w:val="009E123C"/>
    <w:rsid w:val="009E298A"/>
    <w:rsid w:val="009E2E86"/>
    <w:rsid w:val="009E515D"/>
    <w:rsid w:val="009F0F5D"/>
    <w:rsid w:val="009F7C26"/>
    <w:rsid w:val="00A00074"/>
    <w:rsid w:val="00A0234F"/>
    <w:rsid w:val="00A0550D"/>
    <w:rsid w:val="00A14BE6"/>
    <w:rsid w:val="00A14FD1"/>
    <w:rsid w:val="00A17C3E"/>
    <w:rsid w:val="00A267C1"/>
    <w:rsid w:val="00A27F5D"/>
    <w:rsid w:val="00A30A5F"/>
    <w:rsid w:val="00A35EF8"/>
    <w:rsid w:val="00A376A7"/>
    <w:rsid w:val="00A50E1D"/>
    <w:rsid w:val="00A536B7"/>
    <w:rsid w:val="00A53CE6"/>
    <w:rsid w:val="00A607DB"/>
    <w:rsid w:val="00A60C9B"/>
    <w:rsid w:val="00A61370"/>
    <w:rsid w:val="00A6428D"/>
    <w:rsid w:val="00A71B74"/>
    <w:rsid w:val="00A72F32"/>
    <w:rsid w:val="00A73E9A"/>
    <w:rsid w:val="00A743E8"/>
    <w:rsid w:val="00A77BB5"/>
    <w:rsid w:val="00A83974"/>
    <w:rsid w:val="00A83F04"/>
    <w:rsid w:val="00A85AEE"/>
    <w:rsid w:val="00A9105B"/>
    <w:rsid w:val="00A922B5"/>
    <w:rsid w:val="00A9499D"/>
    <w:rsid w:val="00A95A14"/>
    <w:rsid w:val="00A95CF7"/>
    <w:rsid w:val="00AA00D5"/>
    <w:rsid w:val="00AA36D9"/>
    <w:rsid w:val="00AA3A2F"/>
    <w:rsid w:val="00AA664A"/>
    <w:rsid w:val="00AB251E"/>
    <w:rsid w:val="00AB3507"/>
    <w:rsid w:val="00AB770D"/>
    <w:rsid w:val="00AC2B02"/>
    <w:rsid w:val="00AC7EFB"/>
    <w:rsid w:val="00AD5405"/>
    <w:rsid w:val="00AE0987"/>
    <w:rsid w:val="00AE4385"/>
    <w:rsid w:val="00AE482D"/>
    <w:rsid w:val="00AE5365"/>
    <w:rsid w:val="00AE58CA"/>
    <w:rsid w:val="00AF0FBB"/>
    <w:rsid w:val="00AF26BE"/>
    <w:rsid w:val="00AF4902"/>
    <w:rsid w:val="00AF4B42"/>
    <w:rsid w:val="00AF4F32"/>
    <w:rsid w:val="00AF5A0F"/>
    <w:rsid w:val="00AF5E96"/>
    <w:rsid w:val="00B00C0E"/>
    <w:rsid w:val="00B017D3"/>
    <w:rsid w:val="00B0258D"/>
    <w:rsid w:val="00B03397"/>
    <w:rsid w:val="00B1020B"/>
    <w:rsid w:val="00B11F06"/>
    <w:rsid w:val="00B1266F"/>
    <w:rsid w:val="00B14780"/>
    <w:rsid w:val="00B1600F"/>
    <w:rsid w:val="00B17B56"/>
    <w:rsid w:val="00B23E0F"/>
    <w:rsid w:val="00B331F3"/>
    <w:rsid w:val="00B35EFB"/>
    <w:rsid w:val="00B363C3"/>
    <w:rsid w:val="00B41FDA"/>
    <w:rsid w:val="00B42816"/>
    <w:rsid w:val="00B42F09"/>
    <w:rsid w:val="00B45FC2"/>
    <w:rsid w:val="00B46174"/>
    <w:rsid w:val="00B46F72"/>
    <w:rsid w:val="00B55D97"/>
    <w:rsid w:val="00B62238"/>
    <w:rsid w:val="00B62374"/>
    <w:rsid w:val="00B6252A"/>
    <w:rsid w:val="00B63149"/>
    <w:rsid w:val="00B63A49"/>
    <w:rsid w:val="00B703CB"/>
    <w:rsid w:val="00B70B20"/>
    <w:rsid w:val="00B719F3"/>
    <w:rsid w:val="00B71D85"/>
    <w:rsid w:val="00B72711"/>
    <w:rsid w:val="00B72D56"/>
    <w:rsid w:val="00B73046"/>
    <w:rsid w:val="00B736F0"/>
    <w:rsid w:val="00B7610B"/>
    <w:rsid w:val="00B76365"/>
    <w:rsid w:val="00B77BED"/>
    <w:rsid w:val="00B8458E"/>
    <w:rsid w:val="00B861C5"/>
    <w:rsid w:val="00B86B96"/>
    <w:rsid w:val="00B9362B"/>
    <w:rsid w:val="00B96D34"/>
    <w:rsid w:val="00B97DC4"/>
    <w:rsid w:val="00BA00F8"/>
    <w:rsid w:val="00BB07DF"/>
    <w:rsid w:val="00BB3260"/>
    <w:rsid w:val="00BB34B8"/>
    <w:rsid w:val="00BC0C70"/>
    <w:rsid w:val="00BC0FBD"/>
    <w:rsid w:val="00BC1D83"/>
    <w:rsid w:val="00BC4C6B"/>
    <w:rsid w:val="00BC53DA"/>
    <w:rsid w:val="00BC60E7"/>
    <w:rsid w:val="00BD3F01"/>
    <w:rsid w:val="00BD460B"/>
    <w:rsid w:val="00BD5BF6"/>
    <w:rsid w:val="00BD738D"/>
    <w:rsid w:val="00BD7779"/>
    <w:rsid w:val="00BD7E7E"/>
    <w:rsid w:val="00BE5896"/>
    <w:rsid w:val="00BE6690"/>
    <w:rsid w:val="00BF0A45"/>
    <w:rsid w:val="00BF31FA"/>
    <w:rsid w:val="00BF5E4A"/>
    <w:rsid w:val="00C01F75"/>
    <w:rsid w:val="00C07ED7"/>
    <w:rsid w:val="00C07F6E"/>
    <w:rsid w:val="00C159C4"/>
    <w:rsid w:val="00C2023C"/>
    <w:rsid w:val="00C21D34"/>
    <w:rsid w:val="00C22077"/>
    <w:rsid w:val="00C23FFC"/>
    <w:rsid w:val="00C31EFC"/>
    <w:rsid w:val="00C34970"/>
    <w:rsid w:val="00C425BD"/>
    <w:rsid w:val="00C43FCD"/>
    <w:rsid w:val="00C457D7"/>
    <w:rsid w:val="00C50131"/>
    <w:rsid w:val="00C6148C"/>
    <w:rsid w:val="00C77D8A"/>
    <w:rsid w:val="00C812E3"/>
    <w:rsid w:val="00C82F75"/>
    <w:rsid w:val="00C90056"/>
    <w:rsid w:val="00C900B7"/>
    <w:rsid w:val="00C90F29"/>
    <w:rsid w:val="00CA31D4"/>
    <w:rsid w:val="00CA78A5"/>
    <w:rsid w:val="00CB483A"/>
    <w:rsid w:val="00CB5BDD"/>
    <w:rsid w:val="00CB72F6"/>
    <w:rsid w:val="00CB7421"/>
    <w:rsid w:val="00CC000F"/>
    <w:rsid w:val="00CC07D0"/>
    <w:rsid w:val="00CC099F"/>
    <w:rsid w:val="00CC221A"/>
    <w:rsid w:val="00CC7335"/>
    <w:rsid w:val="00CC76A8"/>
    <w:rsid w:val="00CD2853"/>
    <w:rsid w:val="00CD6CD3"/>
    <w:rsid w:val="00CD7710"/>
    <w:rsid w:val="00CD7EB3"/>
    <w:rsid w:val="00CE02AE"/>
    <w:rsid w:val="00CE300C"/>
    <w:rsid w:val="00CE5A2C"/>
    <w:rsid w:val="00CF0D5A"/>
    <w:rsid w:val="00CF2FAD"/>
    <w:rsid w:val="00CF5F09"/>
    <w:rsid w:val="00CF633A"/>
    <w:rsid w:val="00D01643"/>
    <w:rsid w:val="00D021C3"/>
    <w:rsid w:val="00D0406F"/>
    <w:rsid w:val="00D05149"/>
    <w:rsid w:val="00D057BE"/>
    <w:rsid w:val="00D10A75"/>
    <w:rsid w:val="00D21B7F"/>
    <w:rsid w:val="00D22A5E"/>
    <w:rsid w:val="00D22F75"/>
    <w:rsid w:val="00D33374"/>
    <w:rsid w:val="00D37D09"/>
    <w:rsid w:val="00D40695"/>
    <w:rsid w:val="00D46C81"/>
    <w:rsid w:val="00D54F53"/>
    <w:rsid w:val="00D56140"/>
    <w:rsid w:val="00D61C9A"/>
    <w:rsid w:val="00D65241"/>
    <w:rsid w:val="00D843E4"/>
    <w:rsid w:val="00D844A8"/>
    <w:rsid w:val="00D852E9"/>
    <w:rsid w:val="00D904A7"/>
    <w:rsid w:val="00D90DE7"/>
    <w:rsid w:val="00D91A1A"/>
    <w:rsid w:val="00D95147"/>
    <w:rsid w:val="00DA43CB"/>
    <w:rsid w:val="00DB0506"/>
    <w:rsid w:val="00DB13CE"/>
    <w:rsid w:val="00DB2601"/>
    <w:rsid w:val="00DC295A"/>
    <w:rsid w:val="00DC648F"/>
    <w:rsid w:val="00DD2AC2"/>
    <w:rsid w:val="00DD3A02"/>
    <w:rsid w:val="00DD5529"/>
    <w:rsid w:val="00DD5698"/>
    <w:rsid w:val="00DE20C9"/>
    <w:rsid w:val="00DE400E"/>
    <w:rsid w:val="00DE698C"/>
    <w:rsid w:val="00DE6D2C"/>
    <w:rsid w:val="00DE78EA"/>
    <w:rsid w:val="00DE7B9D"/>
    <w:rsid w:val="00DF1141"/>
    <w:rsid w:val="00DF2ADD"/>
    <w:rsid w:val="00DF3722"/>
    <w:rsid w:val="00DF5BD4"/>
    <w:rsid w:val="00DF6FF4"/>
    <w:rsid w:val="00E0164B"/>
    <w:rsid w:val="00E0296A"/>
    <w:rsid w:val="00E03C28"/>
    <w:rsid w:val="00E069D6"/>
    <w:rsid w:val="00E07597"/>
    <w:rsid w:val="00E17FFC"/>
    <w:rsid w:val="00E20B33"/>
    <w:rsid w:val="00E21C5B"/>
    <w:rsid w:val="00E2683F"/>
    <w:rsid w:val="00E301E6"/>
    <w:rsid w:val="00E32718"/>
    <w:rsid w:val="00E33D79"/>
    <w:rsid w:val="00E41803"/>
    <w:rsid w:val="00E42ACF"/>
    <w:rsid w:val="00E43017"/>
    <w:rsid w:val="00E43B85"/>
    <w:rsid w:val="00E43C1A"/>
    <w:rsid w:val="00E50E53"/>
    <w:rsid w:val="00E51457"/>
    <w:rsid w:val="00E542AB"/>
    <w:rsid w:val="00E546FC"/>
    <w:rsid w:val="00E5515B"/>
    <w:rsid w:val="00E62A1D"/>
    <w:rsid w:val="00E633D1"/>
    <w:rsid w:val="00E64591"/>
    <w:rsid w:val="00E65AC4"/>
    <w:rsid w:val="00E66D17"/>
    <w:rsid w:val="00E700C5"/>
    <w:rsid w:val="00E769AA"/>
    <w:rsid w:val="00E80A7F"/>
    <w:rsid w:val="00E80E06"/>
    <w:rsid w:val="00E913CD"/>
    <w:rsid w:val="00E9424C"/>
    <w:rsid w:val="00EA0C2C"/>
    <w:rsid w:val="00EA1136"/>
    <w:rsid w:val="00EA32D8"/>
    <w:rsid w:val="00EA7BFE"/>
    <w:rsid w:val="00EB05B1"/>
    <w:rsid w:val="00EB66DB"/>
    <w:rsid w:val="00EB674A"/>
    <w:rsid w:val="00EB6D32"/>
    <w:rsid w:val="00EC010C"/>
    <w:rsid w:val="00EC6017"/>
    <w:rsid w:val="00ED080D"/>
    <w:rsid w:val="00ED1076"/>
    <w:rsid w:val="00ED3FB7"/>
    <w:rsid w:val="00ED5D48"/>
    <w:rsid w:val="00ED60FC"/>
    <w:rsid w:val="00ED6955"/>
    <w:rsid w:val="00ED6A88"/>
    <w:rsid w:val="00EE03B4"/>
    <w:rsid w:val="00EE20E2"/>
    <w:rsid w:val="00EE2206"/>
    <w:rsid w:val="00EE3601"/>
    <w:rsid w:val="00EE5A31"/>
    <w:rsid w:val="00EE63D1"/>
    <w:rsid w:val="00EE74BA"/>
    <w:rsid w:val="00EF1DA5"/>
    <w:rsid w:val="00F00FC7"/>
    <w:rsid w:val="00F0221F"/>
    <w:rsid w:val="00F04076"/>
    <w:rsid w:val="00F04DA9"/>
    <w:rsid w:val="00F12ACC"/>
    <w:rsid w:val="00F20B18"/>
    <w:rsid w:val="00F245C2"/>
    <w:rsid w:val="00F2516E"/>
    <w:rsid w:val="00F256B9"/>
    <w:rsid w:val="00F27EC9"/>
    <w:rsid w:val="00F33060"/>
    <w:rsid w:val="00F335F7"/>
    <w:rsid w:val="00F354C6"/>
    <w:rsid w:val="00F35E35"/>
    <w:rsid w:val="00F369AF"/>
    <w:rsid w:val="00F37ED8"/>
    <w:rsid w:val="00F40EF7"/>
    <w:rsid w:val="00F44151"/>
    <w:rsid w:val="00F4427C"/>
    <w:rsid w:val="00F50231"/>
    <w:rsid w:val="00F50C4D"/>
    <w:rsid w:val="00F52310"/>
    <w:rsid w:val="00F550A6"/>
    <w:rsid w:val="00F6499D"/>
    <w:rsid w:val="00F64ACE"/>
    <w:rsid w:val="00F65424"/>
    <w:rsid w:val="00F72F9F"/>
    <w:rsid w:val="00F734E2"/>
    <w:rsid w:val="00F754A0"/>
    <w:rsid w:val="00F83632"/>
    <w:rsid w:val="00F84C58"/>
    <w:rsid w:val="00F85EAC"/>
    <w:rsid w:val="00F900EA"/>
    <w:rsid w:val="00F95523"/>
    <w:rsid w:val="00F97F21"/>
    <w:rsid w:val="00FA45EE"/>
    <w:rsid w:val="00FA61D1"/>
    <w:rsid w:val="00FA61DD"/>
    <w:rsid w:val="00FB0B92"/>
    <w:rsid w:val="00FB27DA"/>
    <w:rsid w:val="00FB41F0"/>
    <w:rsid w:val="00FB4816"/>
    <w:rsid w:val="00FB79FB"/>
    <w:rsid w:val="00FC1FAC"/>
    <w:rsid w:val="00FC2C15"/>
    <w:rsid w:val="00FC5080"/>
    <w:rsid w:val="00FD0DD6"/>
    <w:rsid w:val="00FD196E"/>
    <w:rsid w:val="00FD26DF"/>
    <w:rsid w:val="00FD32DC"/>
    <w:rsid w:val="00FD5671"/>
    <w:rsid w:val="00FE0C5D"/>
    <w:rsid w:val="00FE2E6F"/>
    <w:rsid w:val="00FE7E98"/>
    <w:rsid w:val="00FF04C6"/>
    <w:rsid w:val="00FF0D95"/>
    <w:rsid w:val="00FF3B7A"/>
    <w:rsid w:val="00FF48ED"/>
    <w:rsid w:val="6E88BE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A861C1"/>
  <w15:chartTrackingRefBased/>
  <w15:docId w15:val="{451FFF7B-1906-47C3-BFF9-F582B51D1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3B4"/>
    <w:pPr>
      <w:spacing w:after="120" w:line="264" w:lineRule="auto"/>
    </w:pPr>
    <w:rPr>
      <w:rFonts w:eastAsiaTheme="minorEastAsia"/>
      <w:sz w:val="20"/>
      <w:szCs w:val="20"/>
    </w:rPr>
  </w:style>
  <w:style w:type="paragraph" w:styleId="Heading1">
    <w:name w:val="heading 1"/>
    <w:basedOn w:val="Normal"/>
    <w:next w:val="Normal"/>
    <w:link w:val="Heading1Char"/>
    <w:uiPriority w:val="9"/>
    <w:qFormat/>
    <w:rsid w:val="00EE03B4"/>
    <w:pPr>
      <w:keepNext/>
      <w:keepLines/>
      <w:spacing w:before="320" w:after="0" w:line="240"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1360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E6D2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E03B4"/>
    <w:rPr>
      <w:rFonts w:asciiTheme="majorHAnsi" w:eastAsiaTheme="majorEastAsia" w:hAnsiTheme="majorHAnsi" w:cstheme="majorBidi"/>
      <w:color w:val="2E74B5" w:themeColor="accent1" w:themeShade="BF"/>
      <w:sz w:val="32"/>
      <w:szCs w:val="32"/>
    </w:rPr>
  </w:style>
  <w:style w:type="paragraph" w:customStyle="1" w:styleId="Default">
    <w:name w:val="Default"/>
    <w:rsid w:val="00EE03B4"/>
    <w:pPr>
      <w:autoSpaceDE w:val="0"/>
      <w:autoSpaceDN w:val="0"/>
      <w:adjustRightInd w:val="0"/>
      <w:spacing w:after="0" w:line="240" w:lineRule="auto"/>
    </w:pPr>
    <w:rPr>
      <w:rFonts w:ascii="Segoe UI" w:eastAsiaTheme="minorEastAsia" w:hAnsi="Segoe UI" w:cs="Segoe UI"/>
      <w:color w:val="000000"/>
      <w:sz w:val="24"/>
      <w:szCs w:val="24"/>
    </w:rPr>
  </w:style>
  <w:style w:type="paragraph" w:styleId="Header">
    <w:name w:val="header"/>
    <w:basedOn w:val="Normal"/>
    <w:link w:val="HeaderChar"/>
    <w:uiPriority w:val="99"/>
    <w:unhideWhenUsed/>
    <w:rsid w:val="00EE03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03B4"/>
    <w:rPr>
      <w:rFonts w:eastAsiaTheme="minorEastAsia"/>
      <w:sz w:val="20"/>
      <w:szCs w:val="20"/>
    </w:rPr>
  </w:style>
  <w:style w:type="paragraph" w:styleId="Footer">
    <w:name w:val="footer"/>
    <w:basedOn w:val="Normal"/>
    <w:link w:val="FooterChar"/>
    <w:uiPriority w:val="99"/>
    <w:unhideWhenUsed/>
    <w:rsid w:val="00EE03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03B4"/>
    <w:rPr>
      <w:rFonts w:eastAsiaTheme="minorEastAsia"/>
      <w:sz w:val="20"/>
      <w:szCs w:val="20"/>
    </w:rPr>
  </w:style>
  <w:style w:type="paragraph" w:styleId="NoSpacing">
    <w:name w:val="No Spacing"/>
    <w:link w:val="NoSpacingChar"/>
    <w:uiPriority w:val="1"/>
    <w:qFormat/>
    <w:rsid w:val="00EE03B4"/>
    <w:pPr>
      <w:spacing w:after="0" w:line="240" w:lineRule="auto"/>
    </w:pPr>
    <w:rPr>
      <w:rFonts w:eastAsiaTheme="minorEastAsia"/>
    </w:rPr>
  </w:style>
  <w:style w:type="character" w:customStyle="1" w:styleId="NoSpacingChar">
    <w:name w:val="No Spacing Char"/>
    <w:basedOn w:val="DefaultParagraphFont"/>
    <w:link w:val="NoSpacing"/>
    <w:uiPriority w:val="1"/>
    <w:rsid w:val="00EE03B4"/>
    <w:rPr>
      <w:rFonts w:eastAsiaTheme="minorEastAsia"/>
    </w:rPr>
  </w:style>
  <w:style w:type="character" w:customStyle="1" w:styleId="Heading3Char">
    <w:name w:val="Heading 3 Char"/>
    <w:basedOn w:val="DefaultParagraphFont"/>
    <w:link w:val="Heading3"/>
    <w:uiPriority w:val="9"/>
    <w:rsid w:val="00DE6D2C"/>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DE6D2C"/>
    <w:rPr>
      <w:color w:val="0563C1" w:themeColor="hyperlink"/>
      <w:u w:val="single"/>
    </w:rPr>
  </w:style>
  <w:style w:type="paragraph" w:customStyle="1" w:styleId="iTS-BodyText">
    <w:name w:val="!iTS - Body Text"/>
    <w:basedOn w:val="Normal"/>
    <w:link w:val="iTS-BodyTextChar"/>
    <w:rsid w:val="00DE6D2C"/>
    <w:pPr>
      <w:spacing w:after="40" w:line="240" w:lineRule="auto"/>
    </w:pPr>
    <w:rPr>
      <w:rFonts w:ascii="Arial" w:eastAsia="MS Mincho" w:hAnsi="Arial" w:cs="Times New Roman"/>
      <w:sz w:val="16"/>
      <w:szCs w:val="18"/>
    </w:rPr>
  </w:style>
  <w:style w:type="character" w:customStyle="1" w:styleId="iTS-BodyTextChar">
    <w:name w:val="!iTS - Body Text Char"/>
    <w:link w:val="iTS-BodyText"/>
    <w:rsid w:val="00DE6D2C"/>
    <w:rPr>
      <w:rFonts w:ascii="Arial" w:eastAsia="MS Mincho" w:hAnsi="Arial" w:cs="Times New Roman"/>
      <w:sz w:val="16"/>
      <w:szCs w:val="18"/>
    </w:rPr>
  </w:style>
  <w:style w:type="character" w:customStyle="1" w:styleId="Heading2Char">
    <w:name w:val="Heading 2 Char"/>
    <w:basedOn w:val="DefaultParagraphFont"/>
    <w:link w:val="Heading2"/>
    <w:rsid w:val="00313609"/>
    <w:rPr>
      <w:rFonts w:asciiTheme="majorHAnsi" w:eastAsiaTheme="majorEastAsia" w:hAnsiTheme="majorHAnsi" w:cstheme="majorBidi"/>
      <w:color w:val="2E74B5" w:themeColor="accent1" w:themeShade="BF"/>
      <w:sz w:val="26"/>
      <w:szCs w:val="26"/>
    </w:rPr>
  </w:style>
  <w:style w:type="paragraph" w:styleId="ListParagraph">
    <w:name w:val="List Paragraph"/>
    <w:aliases w:val="lp1,List Paragraph1,List Paragraph Char Char,b1,Number_1,List Paragraph11,List Paragraph2,Normal Sentence,Colorful List - Accent 11,new,SGLText List Paragraph,ListPar1,List Paragraph21,list1,Bullet 1,Use Case List Paragraph,Heading2,列出段落"/>
    <w:basedOn w:val="Normal"/>
    <w:link w:val="ListParagraphChar"/>
    <w:uiPriority w:val="34"/>
    <w:qFormat/>
    <w:rsid w:val="00313609"/>
    <w:pPr>
      <w:ind w:left="720"/>
      <w:contextualSpacing/>
    </w:pPr>
  </w:style>
  <w:style w:type="table" w:styleId="GridTable1Light-Accent3">
    <w:name w:val="Grid Table 1 Light Accent 3"/>
    <w:basedOn w:val="TableNormal"/>
    <w:uiPriority w:val="46"/>
    <w:rsid w:val="00313609"/>
    <w:pPr>
      <w:spacing w:after="0" w:line="240" w:lineRule="auto"/>
      <w:jc w:val="both"/>
    </w:pPr>
    <w:rPr>
      <w:rFonts w:eastAsiaTheme="minorEastAsia"/>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145FAD"/>
    <w:pPr>
      <w:spacing w:before="240" w:line="259" w:lineRule="auto"/>
      <w:outlineLvl w:val="9"/>
    </w:pPr>
  </w:style>
  <w:style w:type="paragraph" w:styleId="TOC1">
    <w:name w:val="toc 1"/>
    <w:basedOn w:val="Normal"/>
    <w:next w:val="Normal"/>
    <w:autoRedefine/>
    <w:uiPriority w:val="39"/>
    <w:unhideWhenUsed/>
    <w:rsid w:val="00145FAD"/>
    <w:pPr>
      <w:spacing w:after="100"/>
    </w:pPr>
  </w:style>
  <w:style w:type="paragraph" w:styleId="TOC3">
    <w:name w:val="toc 3"/>
    <w:basedOn w:val="Normal"/>
    <w:next w:val="Normal"/>
    <w:autoRedefine/>
    <w:uiPriority w:val="39"/>
    <w:unhideWhenUsed/>
    <w:rsid w:val="00145FAD"/>
    <w:pPr>
      <w:spacing w:after="100"/>
      <w:ind w:left="400"/>
    </w:pPr>
  </w:style>
  <w:style w:type="paragraph" w:customStyle="1" w:styleId="StyleBlueRight004Before3ptAfter72ptExpanded">
    <w:name w:val="Style Blue Right:  0.04&quot; Before:  3 pt After:  7.2 pt Expanded ..."/>
    <w:basedOn w:val="Normal"/>
    <w:rsid w:val="007725A9"/>
    <w:pPr>
      <w:spacing w:before="60" w:line="276" w:lineRule="auto"/>
      <w:ind w:right="58"/>
    </w:pPr>
    <w:rPr>
      <w:rFonts w:ascii="Trebuchet MS" w:eastAsia="Times New Roman" w:hAnsi="Trebuchet MS" w:cs="Times New Roman"/>
      <w:color w:val="0000FF"/>
      <w:spacing w:val="6"/>
      <w:sz w:val="22"/>
    </w:rPr>
  </w:style>
  <w:style w:type="character" w:customStyle="1" w:styleId="ListParagraphChar">
    <w:name w:val="List Paragraph Char"/>
    <w:aliases w:val="lp1 Char,List Paragraph1 Char,List Paragraph Char Char Char,b1 Char,Number_1 Char,List Paragraph11 Char,List Paragraph2 Char,Normal Sentence Char,Colorful List - Accent 11 Char,new Char,SGLText List Paragraph Char,ListPar1 Char"/>
    <w:link w:val="ListParagraph"/>
    <w:uiPriority w:val="34"/>
    <w:qFormat/>
    <w:locked/>
    <w:rsid w:val="007725A9"/>
    <w:rPr>
      <w:rFonts w:eastAsiaTheme="minorEastAsia"/>
      <w:sz w:val="20"/>
      <w:szCs w:val="20"/>
    </w:rPr>
  </w:style>
  <w:style w:type="paragraph" w:customStyle="1" w:styleId="lf-text-block">
    <w:name w:val="lf-text-block"/>
    <w:basedOn w:val="Normal"/>
    <w:rsid w:val="00331B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f-thread-btn">
    <w:name w:val="lf-thread-btn"/>
    <w:basedOn w:val="DefaultParagraphFont"/>
    <w:rsid w:val="00331B56"/>
  </w:style>
  <w:style w:type="character" w:styleId="Strong">
    <w:name w:val="Strong"/>
    <w:basedOn w:val="DefaultParagraphFont"/>
    <w:uiPriority w:val="22"/>
    <w:qFormat/>
    <w:rsid w:val="00331B56"/>
    <w:rPr>
      <w:b/>
      <w:bCs/>
    </w:rPr>
  </w:style>
  <w:style w:type="table" w:styleId="TableGrid">
    <w:name w:val="Table Grid"/>
    <w:aliases w:val="Tabla Microsoft Servicios,Table Grid (MS Design format)"/>
    <w:basedOn w:val="TableNormal"/>
    <w:uiPriority w:val="39"/>
    <w:rsid w:val="00331B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331B56"/>
    <w:rPr>
      <w:i/>
      <w:iCs/>
    </w:rPr>
  </w:style>
  <w:style w:type="paragraph" w:styleId="NormalWeb">
    <w:name w:val="Normal (Web)"/>
    <w:basedOn w:val="Normal"/>
    <w:uiPriority w:val="99"/>
    <w:unhideWhenUsed/>
    <w:rsid w:val="00331B56"/>
    <w:pPr>
      <w:spacing w:before="100" w:beforeAutospacing="1" w:after="100" w:afterAutospacing="1" w:line="240" w:lineRule="auto"/>
    </w:pPr>
    <w:rPr>
      <w:rFonts w:ascii="Times New Roman" w:eastAsia="Times New Roman" w:hAnsi="Times New Roman" w:cs="Times New Roman"/>
      <w:sz w:val="24"/>
      <w:szCs w:val="24"/>
    </w:rPr>
  </w:style>
  <w:style w:type="paragraph" w:styleId="TOC2">
    <w:name w:val="toc 2"/>
    <w:basedOn w:val="Normal"/>
    <w:next w:val="Normal"/>
    <w:autoRedefine/>
    <w:uiPriority w:val="39"/>
    <w:unhideWhenUsed/>
    <w:rsid w:val="005742C3"/>
    <w:pPr>
      <w:spacing w:after="100"/>
      <w:ind w:left="200"/>
    </w:pPr>
  </w:style>
  <w:style w:type="paragraph" w:styleId="BalloonText">
    <w:name w:val="Balloon Text"/>
    <w:basedOn w:val="Normal"/>
    <w:link w:val="BalloonTextChar"/>
    <w:uiPriority w:val="99"/>
    <w:semiHidden/>
    <w:unhideWhenUsed/>
    <w:rsid w:val="005311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1158"/>
    <w:rPr>
      <w:rFonts w:ascii="Segoe UI" w:eastAsiaTheme="minorEastAsia" w:hAnsi="Segoe UI" w:cs="Segoe UI"/>
      <w:sz w:val="18"/>
      <w:szCs w:val="18"/>
    </w:rPr>
  </w:style>
  <w:style w:type="character" w:styleId="UnresolvedMention">
    <w:name w:val="Unresolved Mention"/>
    <w:basedOn w:val="DefaultParagraphFont"/>
    <w:uiPriority w:val="99"/>
    <w:semiHidden/>
    <w:unhideWhenUsed/>
    <w:rsid w:val="00531158"/>
    <w:rPr>
      <w:color w:val="605E5C"/>
      <w:shd w:val="clear" w:color="auto" w:fill="E1DFDD"/>
    </w:rPr>
  </w:style>
  <w:style w:type="paragraph" w:customStyle="1" w:styleId="BodyMS">
    <w:name w:val="Body MS"/>
    <w:qFormat/>
    <w:rsid w:val="00D91A1A"/>
    <w:pPr>
      <w:spacing w:before="200" w:after="200" w:line="264" w:lineRule="auto"/>
    </w:pPr>
    <w:rPr>
      <w:rFonts w:ascii="Segoe Light" w:hAnsi="Segoe Light"/>
      <w:sz w:val="20"/>
      <w:szCs w:val="20"/>
    </w:rPr>
  </w:style>
  <w:style w:type="character" w:styleId="HTMLCode">
    <w:name w:val="HTML Code"/>
    <w:basedOn w:val="DefaultParagraphFont"/>
    <w:uiPriority w:val="99"/>
    <w:semiHidden/>
    <w:unhideWhenUsed/>
    <w:rsid w:val="003A503C"/>
    <w:rPr>
      <w:rFonts w:ascii="Courier New" w:eastAsia="Times New Roman" w:hAnsi="Courier New" w:cs="Courier New"/>
      <w:sz w:val="20"/>
      <w:szCs w:val="20"/>
    </w:rPr>
  </w:style>
  <w:style w:type="table" w:customStyle="1" w:styleId="TableGrid0">
    <w:name w:val="TableGrid"/>
    <w:rsid w:val="008C4EDF"/>
    <w:pPr>
      <w:spacing w:after="0" w:line="240" w:lineRule="auto"/>
    </w:pPr>
    <w:rPr>
      <w:rFonts w:eastAsiaTheme="minorEastAsia"/>
      <w:lang w:val="en-AE" w:eastAsia="en-AE"/>
    </w:rPr>
    <w:tblPr>
      <w:tblCellMar>
        <w:top w:w="0" w:type="dxa"/>
        <w:left w:w="0" w:type="dxa"/>
        <w:bottom w:w="0" w:type="dxa"/>
        <w:right w:w="0" w:type="dxa"/>
      </w:tblCellMar>
    </w:tblPr>
  </w:style>
  <w:style w:type="table" w:styleId="GridTable4-Accent1">
    <w:name w:val="Grid Table 4 Accent 1"/>
    <w:basedOn w:val="TableNormal"/>
    <w:uiPriority w:val="49"/>
    <w:rsid w:val="00CD7EB3"/>
    <w:pPr>
      <w:spacing w:after="0" w:line="240" w:lineRule="auto"/>
    </w:pPr>
    <w:rPr>
      <w:rFonts w:eastAsiaTheme="minorEastAsia"/>
      <w:sz w:val="24"/>
      <w:szCs w:val="24"/>
      <w:lang w:eastAsia="ja-JP"/>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30739">
      <w:bodyDiv w:val="1"/>
      <w:marLeft w:val="0"/>
      <w:marRight w:val="0"/>
      <w:marTop w:val="0"/>
      <w:marBottom w:val="0"/>
      <w:divBdr>
        <w:top w:val="none" w:sz="0" w:space="0" w:color="auto"/>
        <w:left w:val="none" w:sz="0" w:space="0" w:color="auto"/>
        <w:bottom w:val="none" w:sz="0" w:space="0" w:color="auto"/>
        <w:right w:val="none" w:sz="0" w:space="0" w:color="auto"/>
      </w:divBdr>
    </w:div>
    <w:div w:id="525557580">
      <w:bodyDiv w:val="1"/>
      <w:marLeft w:val="0"/>
      <w:marRight w:val="0"/>
      <w:marTop w:val="0"/>
      <w:marBottom w:val="0"/>
      <w:divBdr>
        <w:top w:val="none" w:sz="0" w:space="0" w:color="auto"/>
        <w:left w:val="none" w:sz="0" w:space="0" w:color="auto"/>
        <w:bottom w:val="none" w:sz="0" w:space="0" w:color="auto"/>
        <w:right w:val="none" w:sz="0" w:space="0" w:color="auto"/>
      </w:divBdr>
    </w:div>
    <w:div w:id="943465347">
      <w:bodyDiv w:val="1"/>
      <w:marLeft w:val="0"/>
      <w:marRight w:val="0"/>
      <w:marTop w:val="0"/>
      <w:marBottom w:val="0"/>
      <w:divBdr>
        <w:top w:val="none" w:sz="0" w:space="0" w:color="auto"/>
        <w:left w:val="none" w:sz="0" w:space="0" w:color="auto"/>
        <w:bottom w:val="none" w:sz="0" w:space="0" w:color="auto"/>
        <w:right w:val="none" w:sz="0" w:space="0" w:color="auto"/>
      </w:divBdr>
      <w:divsChild>
        <w:div w:id="1795783256">
          <w:marLeft w:val="0"/>
          <w:marRight w:val="0"/>
          <w:marTop w:val="0"/>
          <w:marBottom w:val="0"/>
          <w:divBdr>
            <w:top w:val="none" w:sz="0" w:space="0" w:color="auto"/>
            <w:left w:val="none" w:sz="0" w:space="0" w:color="auto"/>
            <w:bottom w:val="none" w:sz="0" w:space="0" w:color="auto"/>
            <w:right w:val="none" w:sz="0" w:space="0" w:color="auto"/>
          </w:divBdr>
        </w:div>
      </w:divsChild>
    </w:div>
    <w:div w:id="1345205751">
      <w:bodyDiv w:val="1"/>
      <w:marLeft w:val="0"/>
      <w:marRight w:val="0"/>
      <w:marTop w:val="0"/>
      <w:marBottom w:val="0"/>
      <w:divBdr>
        <w:top w:val="none" w:sz="0" w:space="0" w:color="auto"/>
        <w:left w:val="none" w:sz="0" w:space="0" w:color="auto"/>
        <w:bottom w:val="none" w:sz="0" w:space="0" w:color="auto"/>
        <w:right w:val="none" w:sz="0" w:space="0" w:color="auto"/>
      </w:divBdr>
    </w:div>
    <w:div w:id="1413354807">
      <w:bodyDiv w:val="1"/>
      <w:marLeft w:val="0"/>
      <w:marRight w:val="0"/>
      <w:marTop w:val="0"/>
      <w:marBottom w:val="0"/>
      <w:divBdr>
        <w:top w:val="none" w:sz="0" w:space="0" w:color="auto"/>
        <w:left w:val="none" w:sz="0" w:space="0" w:color="auto"/>
        <w:bottom w:val="none" w:sz="0" w:space="0" w:color="auto"/>
        <w:right w:val="none" w:sz="0" w:space="0" w:color="auto"/>
      </w:divBdr>
    </w:div>
    <w:div w:id="1481968460">
      <w:bodyDiv w:val="1"/>
      <w:marLeft w:val="0"/>
      <w:marRight w:val="0"/>
      <w:marTop w:val="0"/>
      <w:marBottom w:val="0"/>
      <w:divBdr>
        <w:top w:val="none" w:sz="0" w:space="0" w:color="auto"/>
        <w:left w:val="none" w:sz="0" w:space="0" w:color="auto"/>
        <w:bottom w:val="none" w:sz="0" w:space="0" w:color="auto"/>
        <w:right w:val="none" w:sz="0" w:space="0" w:color="auto"/>
      </w:divBdr>
    </w:div>
    <w:div w:id="1575893600">
      <w:bodyDiv w:val="1"/>
      <w:marLeft w:val="0"/>
      <w:marRight w:val="0"/>
      <w:marTop w:val="0"/>
      <w:marBottom w:val="0"/>
      <w:divBdr>
        <w:top w:val="none" w:sz="0" w:space="0" w:color="auto"/>
        <w:left w:val="none" w:sz="0" w:space="0" w:color="auto"/>
        <w:bottom w:val="none" w:sz="0" w:space="0" w:color="auto"/>
        <w:right w:val="none" w:sz="0" w:space="0" w:color="auto"/>
      </w:divBdr>
      <w:divsChild>
        <w:div w:id="1300497724">
          <w:marLeft w:val="0"/>
          <w:marRight w:val="0"/>
          <w:marTop w:val="0"/>
          <w:marBottom w:val="0"/>
          <w:divBdr>
            <w:top w:val="none" w:sz="0" w:space="0" w:color="auto"/>
            <w:left w:val="none" w:sz="0" w:space="0" w:color="auto"/>
            <w:bottom w:val="none" w:sz="0" w:space="0" w:color="auto"/>
            <w:right w:val="none" w:sz="0" w:space="0" w:color="auto"/>
          </w:divBdr>
        </w:div>
      </w:divsChild>
    </w:div>
    <w:div w:id="1735816819">
      <w:bodyDiv w:val="1"/>
      <w:marLeft w:val="0"/>
      <w:marRight w:val="0"/>
      <w:marTop w:val="0"/>
      <w:marBottom w:val="0"/>
      <w:divBdr>
        <w:top w:val="none" w:sz="0" w:space="0" w:color="auto"/>
        <w:left w:val="none" w:sz="0" w:space="0" w:color="auto"/>
        <w:bottom w:val="none" w:sz="0" w:space="0" w:color="auto"/>
        <w:right w:val="none" w:sz="0" w:space="0" w:color="auto"/>
      </w:divBdr>
      <w:divsChild>
        <w:div w:id="1849558859">
          <w:marLeft w:val="0"/>
          <w:marRight w:val="0"/>
          <w:marTop w:val="0"/>
          <w:marBottom w:val="0"/>
          <w:divBdr>
            <w:top w:val="none" w:sz="0" w:space="0" w:color="auto"/>
            <w:left w:val="none" w:sz="0" w:space="0" w:color="auto"/>
            <w:bottom w:val="none" w:sz="0" w:space="0" w:color="auto"/>
            <w:right w:val="none" w:sz="0" w:space="0" w:color="auto"/>
          </w:divBdr>
        </w:div>
        <w:div w:id="1734281066">
          <w:marLeft w:val="0"/>
          <w:marRight w:val="0"/>
          <w:marTop w:val="0"/>
          <w:marBottom w:val="0"/>
          <w:divBdr>
            <w:top w:val="none" w:sz="0" w:space="0" w:color="auto"/>
            <w:left w:val="none" w:sz="0" w:space="0" w:color="auto"/>
            <w:bottom w:val="none" w:sz="0" w:space="0" w:color="auto"/>
            <w:right w:val="none" w:sz="0" w:space="0" w:color="auto"/>
          </w:divBdr>
        </w:div>
      </w:divsChild>
    </w:div>
    <w:div w:id="1798989676">
      <w:bodyDiv w:val="1"/>
      <w:marLeft w:val="0"/>
      <w:marRight w:val="0"/>
      <w:marTop w:val="0"/>
      <w:marBottom w:val="0"/>
      <w:divBdr>
        <w:top w:val="none" w:sz="0" w:space="0" w:color="auto"/>
        <w:left w:val="none" w:sz="0" w:space="0" w:color="auto"/>
        <w:bottom w:val="none" w:sz="0" w:space="0" w:color="auto"/>
        <w:right w:val="none" w:sz="0" w:space="0" w:color="auto"/>
      </w:divBdr>
    </w:div>
    <w:div w:id="1959674483">
      <w:bodyDiv w:val="1"/>
      <w:marLeft w:val="0"/>
      <w:marRight w:val="0"/>
      <w:marTop w:val="0"/>
      <w:marBottom w:val="0"/>
      <w:divBdr>
        <w:top w:val="none" w:sz="0" w:space="0" w:color="auto"/>
        <w:left w:val="none" w:sz="0" w:space="0" w:color="auto"/>
        <w:bottom w:val="none" w:sz="0" w:space="0" w:color="auto"/>
        <w:right w:val="none" w:sz="0" w:space="0" w:color="auto"/>
      </w:divBdr>
    </w:div>
    <w:div w:id="1965309303">
      <w:bodyDiv w:val="1"/>
      <w:marLeft w:val="0"/>
      <w:marRight w:val="0"/>
      <w:marTop w:val="0"/>
      <w:marBottom w:val="0"/>
      <w:divBdr>
        <w:top w:val="none" w:sz="0" w:space="0" w:color="auto"/>
        <w:left w:val="none" w:sz="0" w:space="0" w:color="auto"/>
        <w:bottom w:val="none" w:sz="0" w:space="0" w:color="auto"/>
        <w:right w:val="none" w:sz="0" w:space="0" w:color="auto"/>
      </w:divBdr>
    </w:div>
    <w:div w:id="2079010272">
      <w:bodyDiv w:val="1"/>
      <w:marLeft w:val="0"/>
      <w:marRight w:val="0"/>
      <w:marTop w:val="0"/>
      <w:marBottom w:val="0"/>
      <w:divBdr>
        <w:top w:val="none" w:sz="0" w:space="0" w:color="auto"/>
        <w:left w:val="none" w:sz="0" w:space="0" w:color="auto"/>
        <w:bottom w:val="none" w:sz="0" w:space="0" w:color="auto"/>
        <w:right w:val="none" w:sz="0" w:space="0" w:color="auto"/>
      </w:divBdr>
    </w:div>
    <w:div w:id="2099254826">
      <w:bodyDiv w:val="1"/>
      <w:marLeft w:val="0"/>
      <w:marRight w:val="0"/>
      <w:marTop w:val="0"/>
      <w:marBottom w:val="0"/>
      <w:divBdr>
        <w:top w:val="none" w:sz="0" w:space="0" w:color="auto"/>
        <w:left w:val="none" w:sz="0" w:space="0" w:color="auto"/>
        <w:bottom w:val="none" w:sz="0" w:space="0" w:color="auto"/>
        <w:right w:val="none" w:sz="0" w:space="0" w:color="auto"/>
      </w:divBdr>
      <w:divsChild>
        <w:div w:id="1766345136">
          <w:marLeft w:val="0"/>
          <w:marRight w:val="0"/>
          <w:marTop w:val="0"/>
          <w:marBottom w:val="0"/>
          <w:divBdr>
            <w:top w:val="none" w:sz="0" w:space="0" w:color="auto"/>
            <w:left w:val="none" w:sz="0" w:space="0" w:color="auto"/>
            <w:bottom w:val="none" w:sz="0" w:space="0" w:color="auto"/>
            <w:right w:val="none" w:sz="0" w:space="0" w:color="auto"/>
          </w:divBdr>
        </w:div>
        <w:div w:id="21366737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cid:image002.png@01D87E4F.6A131020"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cid:image002.png@01D87E4F.6A131020"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2876D12-F11F-4DC3-A083-856F828E449B}">
  <ds:schemaRefs>
    <ds:schemaRef ds:uri="http://schemas.openxmlformats.org/officeDocument/2006/bibliography"/>
  </ds:schemaRefs>
</ds:datastoreItem>
</file>

<file path=docMetadata/LabelInfo.xml><?xml version="1.0" encoding="utf-8"?>
<clbl:labelList xmlns:clbl="http://schemas.microsoft.com/office/2020/mipLabelMetadata">
  <clbl:label id="{a7a471ca-2c4b-4a75-8ee2-a41ce8b6c322}" enabled="1" method="Privileged" siteId="{e79918f6-a69b-4b33-8166-e897131f7346}" contentBits="3" removed="0"/>
</clbl:labelList>
</file>

<file path=docProps/app.xml><?xml version="1.0" encoding="utf-8"?>
<Properties xmlns="http://schemas.openxmlformats.org/officeDocument/2006/extended-properties" xmlns:vt="http://schemas.openxmlformats.org/officeDocument/2006/docPropsVTypes">
  <Template>Normal</Template>
  <TotalTime>509</TotalTime>
  <Pages>5</Pages>
  <Words>2264</Words>
  <Characters>12908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Microsoft Windows Server Migration</vt:lpstr>
    </vt:vector>
  </TitlesOfParts>
  <Company>Tech one global (pvt) ltd</Company>
  <LinksUpToDate>false</LinksUpToDate>
  <CharactersWithSpaces>15142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Windows Server Migration</dc:title>
  <dc:subject>WINDOWS MIGRATION design document for BEC ARABIA</dc:subject>
  <dc:creator>Version 1.6</dc:creator>
  <cp:keywords/>
  <dc:description/>
  <cp:lastModifiedBy>Salin Kumar</cp:lastModifiedBy>
  <cp:revision>191</cp:revision>
  <cp:lastPrinted>2025-08-12T06:51:00Z</cp:lastPrinted>
  <dcterms:created xsi:type="dcterms:W3CDTF">2025-08-20T08:40:00Z</dcterms:created>
  <dcterms:modified xsi:type="dcterms:W3CDTF">2026-02-14T17:26:00Z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46173104,382c6e8b,7873a101</vt:lpwstr>
  </property>
  <property fmtid="{D5CDD505-2E9C-101B-9397-08002B2CF9AE}" pid="3" name="ClassificationContentMarkingFooterFontProps">
    <vt:lpwstr>#000000,10,Calibri</vt:lpwstr>
  </property>
  <property fmtid="{D5CDD505-2E9C-101B-9397-08002B2CF9AE}" pid="4" name="ClassificationContentMarkingFooterText">
    <vt:lpwstr>Information Classification: Public </vt:lpwstr>
  </property>
  <property fmtid="{D5CDD505-2E9C-101B-9397-08002B2CF9AE}" pid="5" name="MSIP_Label_defa4170-0d19-0005-0001-bc88714345d2_Enabled">
    <vt:lpwstr>true</vt:lpwstr>
  </property>
  <property fmtid="{D5CDD505-2E9C-101B-9397-08002B2CF9AE}" pid="6" name="MSIP_Label_defa4170-0d19-0005-0001-bc88714345d2_SetDate">
    <vt:lpwstr>2025-07-31T09:19:41Z</vt:lpwstr>
  </property>
  <property fmtid="{D5CDD505-2E9C-101B-9397-08002B2CF9AE}" pid="7" name="MSIP_Label_defa4170-0d19-0005-0001-bc88714345d2_Method">
    <vt:lpwstr>Privileged</vt:lpwstr>
  </property>
  <property fmtid="{D5CDD505-2E9C-101B-9397-08002B2CF9AE}" pid="8" name="MSIP_Label_defa4170-0d19-0005-0001-bc88714345d2_Name">
    <vt:lpwstr>defa4170-0d19-0005-0001-bc88714345d2</vt:lpwstr>
  </property>
  <property fmtid="{D5CDD505-2E9C-101B-9397-08002B2CF9AE}" pid="9" name="MSIP_Label_defa4170-0d19-0005-0001-bc88714345d2_SiteId">
    <vt:lpwstr>d0e2d202-86f7-4fd0-a150-f030292f015e</vt:lpwstr>
  </property>
  <property fmtid="{D5CDD505-2E9C-101B-9397-08002B2CF9AE}" pid="10" name="MSIP_Label_defa4170-0d19-0005-0001-bc88714345d2_ActionId">
    <vt:lpwstr>a5f6989b-769f-4bb0-9413-b40f0b9376c7</vt:lpwstr>
  </property>
  <property fmtid="{D5CDD505-2E9C-101B-9397-08002B2CF9AE}" pid="11" name="MSIP_Label_defa4170-0d19-0005-0001-bc88714345d2_ContentBits">
    <vt:lpwstr>0</vt:lpwstr>
  </property>
  <property fmtid="{D5CDD505-2E9C-101B-9397-08002B2CF9AE}" pid="12" name="MSIP_Label_defa4170-0d19-0005-0001-bc88714345d2_Tag">
    <vt:lpwstr>10, 0, 1, 1</vt:lpwstr>
  </property>
</Properties>
</file>