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53144376" w:displacedByCustomXml="next"/>
    <w:bookmarkStart w:id="1" w:name="_Toc452993511" w:displacedByCustomXml="next"/>
    <w:bookmarkStart w:id="2" w:name="_Toc436559832" w:displacedByCustomXml="next"/>
    <w:bookmarkStart w:id="3" w:name="_Toc435193991" w:displacedByCustomXml="next"/>
    <w:bookmarkStart w:id="4" w:name="_Toc431484045" w:displacedByCustomXml="next"/>
    <w:bookmarkStart w:id="5" w:name="_Toc416446793" w:displacedByCustomXml="next"/>
    <w:bookmarkStart w:id="6" w:name="_Toc404606176" w:displacedByCustomXml="next"/>
    <w:bookmarkStart w:id="7" w:name="_Toc404174712" w:displacedByCustomXml="next"/>
    <w:bookmarkStart w:id="8" w:name="_Toc404174369" w:displacedByCustomXml="next"/>
    <w:sdt>
      <w:sdtPr>
        <w:id w:val="-255055889"/>
        <w:docPartObj>
          <w:docPartGallery w:val="Cover Pages"/>
          <w:docPartUnique/>
        </w:docPartObj>
      </w:sdtPr>
      <w:sdtEndPr>
        <w:rPr>
          <w:color w:val="5B9BD5" w:themeColor="accent1"/>
          <w:sz w:val="22"/>
          <w:szCs w:val="22"/>
        </w:rPr>
      </w:sdtEndPr>
      <w:sdtContent>
        <w:p w14:paraId="55B92AE7" w14:textId="06651B80" w:rsidR="009B45F0" w:rsidRPr="009B45F0" w:rsidRDefault="00AF0FBB" w:rsidP="009B45F0">
          <w:r>
            <w:rPr>
              <w:noProof/>
              <w:color w:val="1F497D"/>
            </w:rPr>
            <w:drawing>
              <wp:anchor distT="0" distB="0" distL="114300" distR="114300" simplePos="0" relativeHeight="251663360" behindDoc="0" locked="0" layoutInCell="1" allowOverlap="1" wp14:anchorId="0C9C0C27" wp14:editId="052E85BB">
                <wp:simplePos x="0" y="0"/>
                <wp:positionH relativeFrom="margin">
                  <wp:posOffset>0</wp:posOffset>
                </wp:positionH>
                <wp:positionV relativeFrom="paragraph">
                  <wp:posOffset>0</wp:posOffset>
                </wp:positionV>
                <wp:extent cx="1476375" cy="428625"/>
                <wp:effectExtent l="0" t="0" r="9525" b="9525"/>
                <wp:wrapThrough wrapText="bothSides">
                  <wp:wrapPolygon edited="0">
                    <wp:start x="0" y="0"/>
                    <wp:lineTo x="0" y="21120"/>
                    <wp:lineTo x="21461" y="21120"/>
                    <wp:lineTo x="2146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p>
      </w:sdtContent>
    </w:sdt>
    <w:p w14:paraId="3102BD91" w14:textId="38681B6A" w:rsidR="00145FAD" w:rsidRDefault="00145FAD" w:rsidP="00145FAD"/>
    <w:p w14:paraId="70520055" w14:textId="77777777" w:rsidR="002308D0" w:rsidRDefault="002308D0" w:rsidP="002308D0">
      <w:pPr>
        <w:pStyle w:val="Heading1"/>
      </w:pPr>
      <w:r>
        <w:t>Microsoft Cloud Security Strategic Framework (Microsoft 365 &amp; Azure)</w:t>
      </w:r>
    </w:p>
    <w:p w14:paraId="14E3B691" w14:textId="77777777" w:rsidR="002308D0" w:rsidRDefault="002308D0" w:rsidP="00D52957">
      <w:pPr>
        <w:jc w:val="both"/>
      </w:pPr>
      <w:r>
        <w:t>A unified high-level security framework for Microsoft 365 and Azure provides a reusable blueprint for partners and resellers to protect cloud environments. It emphasizes Zero Trust principles, robust governance, and alignment with global standards to ensure consistent, compliance-ready security posture across organizations. Key guiding themes include:</w:t>
      </w:r>
    </w:p>
    <w:p w14:paraId="7EDF8B8C" w14:textId="77777777" w:rsidR="002308D0" w:rsidRDefault="002308D0" w:rsidP="00D52957">
      <w:pPr>
        <w:jc w:val="both"/>
      </w:pPr>
      <w:r>
        <w:t>Core Security Domains and Objectives: The framework is organized into several security domains, each with a strategic objective, key governance principles, and compliance considerations. This structure ensures a consistent, high-level approach that covers the breadth of cloud security for both Microsoft 365 and Azure:</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718"/>
        <w:gridCol w:w="2650"/>
        <w:gridCol w:w="3545"/>
      </w:tblGrid>
      <w:tr w:rsidR="002308D0" w14:paraId="6A25E243" w14:textId="77777777" w:rsidTr="00C14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F986DF" w14:textId="77777777" w:rsidR="002308D0" w:rsidRDefault="002308D0" w:rsidP="00C142C4">
            <w:r>
              <w:t>Security Domain</w:t>
            </w:r>
          </w:p>
        </w:tc>
        <w:tc>
          <w:tcPr>
            <w:tcW w:w="0" w:type="auto"/>
            <w:vAlign w:val="center"/>
          </w:tcPr>
          <w:p w14:paraId="5FB81385" w14:textId="77777777" w:rsidR="002308D0" w:rsidRDefault="002308D0" w:rsidP="00C142C4">
            <w:pPr>
              <w:cnfStyle w:val="100000000000" w:firstRow="1" w:lastRow="0" w:firstColumn="0" w:lastColumn="0" w:oddVBand="0" w:evenVBand="0" w:oddHBand="0" w:evenHBand="0" w:firstRowFirstColumn="0" w:firstRowLastColumn="0" w:lastRowFirstColumn="0" w:lastRowLastColumn="0"/>
            </w:pPr>
            <w:r>
              <w:t>Strategic Objective (What)</w:t>
            </w:r>
          </w:p>
        </w:tc>
        <w:tc>
          <w:tcPr>
            <w:tcW w:w="0" w:type="auto"/>
            <w:vAlign w:val="center"/>
          </w:tcPr>
          <w:p w14:paraId="33D1AE7B" w14:textId="77777777" w:rsidR="002308D0" w:rsidRDefault="002308D0" w:rsidP="00C142C4">
            <w:pPr>
              <w:cnfStyle w:val="100000000000" w:firstRow="1" w:lastRow="0" w:firstColumn="0" w:lastColumn="0" w:oddVBand="0" w:evenVBand="0" w:oddHBand="0" w:evenHBand="0" w:firstRowFirstColumn="0" w:firstRowLastColumn="0" w:lastRowFirstColumn="0" w:lastRowLastColumn="0"/>
            </w:pPr>
            <w:r>
              <w:t>Governance Principle (How)</w:t>
            </w:r>
          </w:p>
        </w:tc>
        <w:tc>
          <w:tcPr>
            <w:tcW w:w="0" w:type="auto"/>
            <w:vAlign w:val="center"/>
          </w:tcPr>
          <w:p w14:paraId="0E1F845F" w14:textId="77777777" w:rsidR="002308D0" w:rsidRDefault="002308D0" w:rsidP="00C142C4">
            <w:pPr>
              <w:cnfStyle w:val="100000000000" w:firstRow="1" w:lastRow="0" w:firstColumn="0" w:lastColumn="0" w:oddVBand="0" w:evenVBand="0" w:oddHBand="0" w:evenHBand="0" w:firstRowFirstColumn="0" w:firstRowLastColumn="0" w:lastRowFirstColumn="0" w:lastRowLastColumn="0"/>
            </w:pPr>
            <w:r>
              <w:t>Key Compliance Considerations (Why)</w:t>
            </w:r>
          </w:p>
        </w:tc>
      </w:tr>
      <w:tr w:rsidR="002308D0" w14:paraId="27A3CF62" w14:textId="77777777" w:rsidTr="00C14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66158E" w14:textId="77777777" w:rsidR="002308D0" w:rsidRDefault="002308D0" w:rsidP="00C142C4">
            <w:r>
              <w:t>Identity &amp; Access Management</w:t>
            </w:r>
          </w:p>
        </w:tc>
        <w:tc>
          <w:tcPr>
            <w:tcW w:w="0" w:type="auto"/>
            <w:vAlign w:val="center"/>
          </w:tcPr>
          <w:p w14:paraId="4955D408" w14:textId="77777777" w:rsidR="002308D0" w:rsidRDefault="002308D0" w:rsidP="00D52957">
            <w:pPr>
              <w:jc w:val="both"/>
              <w:cnfStyle w:val="000000100000" w:firstRow="0" w:lastRow="0" w:firstColumn="0" w:lastColumn="0" w:oddVBand="0" w:evenVBand="0" w:oddHBand="1" w:evenHBand="0" w:firstRowFirstColumn="0" w:firstRowLastColumn="0" w:lastRowFirstColumn="0" w:lastRowLastColumn="0"/>
            </w:pPr>
            <w:r>
              <w:t>Ensure only authenticated, authorized access to cloud resources (Zero Trust access control).</w:t>
            </w:r>
          </w:p>
        </w:tc>
        <w:tc>
          <w:tcPr>
            <w:tcW w:w="0" w:type="auto"/>
            <w:vAlign w:val="center"/>
          </w:tcPr>
          <w:p w14:paraId="7CB422E0" w14:textId="77777777" w:rsidR="002308D0" w:rsidRDefault="002308D0" w:rsidP="00D52957">
            <w:pPr>
              <w:jc w:val="both"/>
              <w:cnfStyle w:val="000000100000" w:firstRow="0" w:lastRow="0" w:firstColumn="0" w:lastColumn="0" w:oddVBand="0" w:evenVBand="0" w:oddHBand="1" w:evenHBand="0" w:firstRowFirstColumn="0" w:firstRowLastColumn="0" w:lastRowFirstColumn="0" w:lastRowLastColumn="0"/>
            </w:pPr>
            <w:r>
              <w:t xml:space="preserve">Enforce </w:t>
            </w:r>
            <w:proofErr w:type="gramStart"/>
            <w:r>
              <w:t>least-privilege</w:t>
            </w:r>
            <w:proofErr w:type="gramEnd"/>
            <w:r>
              <w:t xml:space="preserve"> and role-based access; require MFA &amp; conditional access for all users (secure by default</w:t>
            </w:r>
            <w:proofErr w:type="gramStart"/>
            <w:r>
              <w:t>) .</w:t>
            </w:r>
            <w:proofErr w:type="gramEnd"/>
            <w:r>
              <w:t xml:space="preserve"> Regularly review privileged accounts with Azure AD PIM for governance.</w:t>
            </w:r>
          </w:p>
        </w:tc>
        <w:tc>
          <w:tcPr>
            <w:tcW w:w="0" w:type="auto"/>
            <w:vAlign w:val="center"/>
          </w:tcPr>
          <w:p w14:paraId="25AAE1C3" w14:textId="77777777" w:rsidR="002308D0" w:rsidRDefault="002308D0" w:rsidP="00D52957">
            <w:pPr>
              <w:jc w:val="both"/>
              <w:cnfStyle w:val="000000100000" w:firstRow="0" w:lastRow="0" w:firstColumn="0" w:lastColumn="0" w:oddVBand="0" w:evenVBand="0" w:oddHBand="1" w:evenHBand="0" w:firstRowFirstColumn="0" w:firstRowLastColumn="0" w:lastRowFirstColumn="0" w:lastRowLastColumn="0"/>
            </w:pPr>
            <w:r>
              <w:t xml:space="preserve">Aligned with ISO 27001 control A.9 (Access Control) via RBAC and MFA. Supports GDPR by restricting data access to authorized </w:t>
            </w:r>
            <w:proofErr w:type="gramStart"/>
            <w:r>
              <w:t>personnel, and</w:t>
            </w:r>
            <w:proofErr w:type="gramEnd"/>
            <w:r>
              <w:t xml:space="preserve"> enforcing strong identity protection to safeguard personal data.</w:t>
            </w:r>
          </w:p>
        </w:tc>
      </w:tr>
      <w:tr w:rsidR="002308D0" w14:paraId="1131F578" w14:textId="77777777" w:rsidTr="00C142C4">
        <w:tc>
          <w:tcPr>
            <w:cnfStyle w:val="001000000000" w:firstRow="0" w:lastRow="0" w:firstColumn="1" w:lastColumn="0" w:oddVBand="0" w:evenVBand="0" w:oddHBand="0" w:evenHBand="0" w:firstRowFirstColumn="0" w:firstRowLastColumn="0" w:lastRowFirstColumn="0" w:lastRowLastColumn="0"/>
            <w:tcW w:w="0" w:type="auto"/>
            <w:vAlign w:val="center"/>
          </w:tcPr>
          <w:p w14:paraId="52579866" w14:textId="77777777" w:rsidR="002308D0" w:rsidRDefault="002308D0" w:rsidP="00C142C4">
            <w:r>
              <w:t>Infrastructure &amp; Network Security</w:t>
            </w:r>
          </w:p>
        </w:tc>
        <w:tc>
          <w:tcPr>
            <w:tcW w:w="0" w:type="auto"/>
            <w:vAlign w:val="center"/>
          </w:tcPr>
          <w:p w14:paraId="057E6AEF" w14:textId="77777777" w:rsidR="002308D0" w:rsidRDefault="002308D0" w:rsidP="00D52957">
            <w:pPr>
              <w:jc w:val="both"/>
              <w:cnfStyle w:val="000000000000" w:firstRow="0" w:lastRow="0" w:firstColumn="0" w:lastColumn="0" w:oddVBand="0" w:evenVBand="0" w:oddHBand="0" w:evenHBand="0" w:firstRowFirstColumn="0" w:firstRowLastColumn="0" w:lastRowFirstColumn="0" w:lastRowLastColumn="0"/>
            </w:pPr>
            <w:r>
              <w:t>Protect cloud infrastructure and networks from threats and unauthorized access (defense-in-depth).</w:t>
            </w:r>
          </w:p>
        </w:tc>
        <w:tc>
          <w:tcPr>
            <w:tcW w:w="0" w:type="auto"/>
            <w:vAlign w:val="center"/>
          </w:tcPr>
          <w:p w14:paraId="5DD8F930" w14:textId="77777777" w:rsidR="002308D0" w:rsidRDefault="002308D0" w:rsidP="00D52957">
            <w:pPr>
              <w:jc w:val="both"/>
              <w:cnfStyle w:val="000000000000" w:firstRow="0" w:lastRow="0" w:firstColumn="0" w:lastColumn="0" w:oddVBand="0" w:evenVBand="0" w:oddHBand="0" w:evenHBand="0" w:firstRowFirstColumn="0" w:firstRowLastColumn="0" w:lastRowFirstColumn="0" w:lastRowLastColumn="0"/>
            </w:pPr>
            <w:r>
              <w:t>Establish secure configuration baselines (e.g. Azure Security Benchmark) and network segmentation. Use virtual firewalls, network security groups, and endpoint protection to harden Azure and Microsoft 365 environments. Continuously monitor configurations with policy-driven guardrails.</w:t>
            </w:r>
          </w:p>
        </w:tc>
        <w:tc>
          <w:tcPr>
            <w:tcW w:w="0" w:type="auto"/>
            <w:vAlign w:val="center"/>
          </w:tcPr>
          <w:p w14:paraId="67DC8046" w14:textId="77777777" w:rsidR="002308D0" w:rsidRDefault="002308D0" w:rsidP="00D52957">
            <w:pPr>
              <w:jc w:val="both"/>
              <w:cnfStyle w:val="000000000000" w:firstRow="0" w:lastRow="0" w:firstColumn="0" w:lastColumn="0" w:oddVBand="0" w:evenVBand="0" w:oddHBand="0" w:evenHBand="0" w:firstRowFirstColumn="0" w:firstRowLastColumn="0" w:lastRowFirstColumn="0" w:lastRowLastColumn="0"/>
            </w:pPr>
            <w:r>
              <w:t>ISO 27001 A.13 (Network/Communications Security) and A.14/A.12 (Secure Systems &amp; Operations) – achieved by implementing network controls, secure configuration management, and vulnerability management. Cloud platform certifications (e.g., Azure’s ISO 27001, SOC, PCI-DSS) attest that core infrastructure meets global security standards.</w:t>
            </w:r>
          </w:p>
        </w:tc>
      </w:tr>
      <w:tr w:rsidR="002308D0" w14:paraId="31783F55" w14:textId="77777777" w:rsidTr="00C14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A2AF9F" w14:textId="77777777" w:rsidR="002308D0" w:rsidRDefault="002308D0" w:rsidP="00C142C4">
            <w:r>
              <w:t>Data Protection &amp; Privacy</w:t>
            </w:r>
          </w:p>
        </w:tc>
        <w:tc>
          <w:tcPr>
            <w:tcW w:w="0" w:type="auto"/>
            <w:vAlign w:val="center"/>
          </w:tcPr>
          <w:p w14:paraId="303834FD" w14:textId="77777777" w:rsidR="002308D0" w:rsidRDefault="002308D0" w:rsidP="00D52957">
            <w:pPr>
              <w:jc w:val="both"/>
              <w:cnfStyle w:val="000000100000" w:firstRow="0" w:lastRow="0" w:firstColumn="0" w:lastColumn="0" w:oddVBand="0" w:evenVBand="0" w:oddHBand="1" w:evenHBand="0" w:firstRowFirstColumn="0" w:firstRowLastColumn="0" w:lastRowFirstColumn="0" w:lastRowLastColumn="0"/>
            </w:pPr>
            <w:r>
              <w:t xml:space="preserve">Safeguard sensitive information in transit and at </w:t>
            </w:r>
            <w:proofErr w:type="gramStart"/>
            <w:r>
              <w:t>rest, and</w:t>
            </w:r>
            <w:proofErr w:type="gramEnd"/>
            <w:r>
              <w:t xml:space="preserve"> ensure proper data handling and privacy.</w:t>
            </w:r>
          </w:p>
        </w:tc>
        <w:tc>
          <w:tcPr>
            <w:tcW w:w="0" w:type="auto"/>
            <w:vAlign w:val="center"/>
          </w:tcPr>
          <w:p w14:paraId="775599A9" w14:textId="77777777" w:rsidR="002308D0" w:rsidRDefault="002308D0" w:rsidP="00D52957">
            <w:pPr>
              <w:jc w:val="both"/>
              <w:cnfStyle w:val="000000100000" w:firstRow="0" w:lastRow="0" w:firstColumn="0" w:lastColumn="0" w:oddVBand="0" w:evenVBand="0" w:oddHBand="1" w:evenHBand="0" w:firstRowFirstColumn="0" w:firstRowLastColumn="0" w:lastRowFirstColumn="0" w:lastRowLastColumn="0"/>
            </w:pPr>
            <w:r>
              <w:t>Classify and label data (sensitivity labels) and apply encryption by default (Azure Key Vault, BitLocker, etc.). Implement data loss prevention (DLP) and information protection policies across Microsoft 365 and Azure storage. Enforce data lifecycle governance (retention and deletion policies) through centralized oversight.</w:t>
            </w:r>
          </w:p>
        </w:tc>
        <w:tc>
          <w:tcPr>
            <w:tcW w:w="0" w:type="auto"/>
            <w:vAlign w:val="center"/>
          </w:tcPr>
          <w:p w14:paraId="29F4DABD" w14:textId="77777777" w:rsidR="002308D0" w:rsidRDefault="002308D0" w:rsidP="00D52957">
            <w:pPr>
              <w:jc w:val="both"/>
              <w:cnfStyle w:val="000000100000" w:firstRow="0" w:lastRow="0" w:firstColumn="0" w:lastColumn="0" w:oddVBand="0" w:evenVBand="0" w:oddHBand="1" w:evenHBand="0" w:firstRowFirstColumn="0" w:firstRowLastColumn="0" w:lastRowFirstColumn="0" w:lastRowLastColumn="0"/>
            </w:pPr>
            <w:r>
              <w:t xml:space="preserve">GDPR compliance is built in via data privacy and retention controls (e.g. data minimization, “right to be forgotten”). Aligns with ISO 27001 controls A.10 (Cryptography) and A.8/A.18 (Asset management &amp; compliance) by encrypting data and managing records. Supports industry regulations (HIPAA, etc.) through strong privacy and protection </w:t>
            </w:r>
            <w:proofErr w:type="gramStart"/>
            <w:r>
              <w:t>measures .</w:t>
            </w:r>
            <w:proofErr w:type="gramEnd"/>
          </w:p>
        </w:tc>
      </w:tr>
      <w:tr w:rsidR="002308D0" w14:paraId="124B2252" w14:textId="77777777" w:rsidTr="00C142C4">
        <w:tc>
          <w:tcPr>
            <w:cnfStyle w:val="001000000000" w:firstRow="0" w:lastRow="0" w:firstColumn="1" w:lastColumn="0" w:oddVBand="0" w:evenVBand="0" w:oddHBand="0" w:evenHBand="0" w:firstRowFirstColumn="0" w:firstRowLastColumn="0" w:lastRowFirstColumn="0" w:lastRowLastColumn="0"/>
            <w:tcW w:w="0" w:type="auto"/>
            <w:vAlign w:val="center"/>
          </w:tcPr>
          <w:p w14:paraId="6D225BF8" w14:textId="77777777" w:rsidR="002308D0" w:rsidRDefault="002308D0" w:rsidP="00C142C4">
            <w:r>
              <w:lastRenderedPageBreak/>
              <w:t>Threat Detection &amp; Response</w:t>
            </w:r>
          </w:p>
        </w:tc>
        <w:tc>
          <w:tcPr>
            <w:tcW w:w="0" w:type="auto"/>
            <w:vAlign w:val="center"/>
          </w:tcPr>
          <w:p w14:paraId="5A2F2CDB" w14:textId="77777777" w:rsidR="002308D0" w:rsidRDefault="002308D0" w:rsidP="00D52957">
            <w:pPr>
              <w:jc w:val="both"/>
              <w:cnfStyle w:val="000000000000" w:firstRow="0" w:lastRow="0" w:firstColumn="0" w:lastColumn="0" w:oddVBand="0" w:evenVBand="0" w:oddHBand="0" w:evenHBand="0" w:firstRowFirstColumn="0" w:firstRowLastColumn="0" w:lastRowFirstColumn="0" w:lastRowLastColumn="0"/>
            </w:pPr>
            <w:r>
              <w:t>Continuously detect, prevent, and respond to threats and anomalies across cloud services.</w:t>
            </w:r>
          </w:p>
        </w:tc>
        <w:tc>
          <w:tcPr>
            <w:tcW w:w="0" w:type="auto"/>
            <w:vAlign w:val="center"/>
          </w:tcPr>
          <w:p w14:paraId="5ED8BFD3" w14:textId="77777777" w:rsidR="002308D0" w:rsidRDefault="002308D0" w:rsidP="00D52957">
            <w:pPr>
              <w:jc w:val="both"/>
              <w:cnfStyle w:val="000000000000" w:firstRow="0" w:lastRow="0" w:firstColumn="0" w:lastColumn="0" w:oddVBand="0" w:evenVBand="0" w:oddHBand="0" w:evenHBand="0" w:firstRowFirstColumn="0" w:firstRowLastColumn="0" w:lastRowFirstColumn="0" w:lastRowLastColumn="0"/>
            </w:pPr>
            <w:r>
              <w:t xml:space="preserve">Leverage unified security monitoring (e.g. Microsoft Defender suite, Azure Sentinel SIEM) to collect logs and detect threats in real time. Define an incident response plan and automated alerting for quick containment. Conduct regular security assessments and drills. Maintain continuous monitoring and use secure score metrics to guide </w:t>
            </w:r>
            <w:proofErr w:type="gramStart"/>
            <w:r>
              <w:t>improvements .</w:t>
            </w:r>
            <w:proofErr w:type="gramEnd"/>
          </w:p>
        </w:tc>
        <w:tc>
          <w:tcPr>
            <w:tcW w:w="0" w:type="auto"/>
            <w:vAlign w:val="center"/>
          </w:tcPr>
          <w:p w14:paraId="3C43DB91" w14:textId="77777777" w:rsidR="002308D0" w:rsidRDefault="002308D0" w:rsidP="00D52957">
            <w:pPr>
              <w:jc w:val="both"/>
              <w:cnfStyle w:val="000000000000" w:firstRow="0" w:lastRow="0" w:firstColumn="0" w:lastColumn="0" w:oddVBand="0" w:evenVBand="0" w:oddHBand="0" w:evenHBand="0" w:firstRowFirstColumn="0" w:firstRowLastColumn="0" w:lastRowFirstColumn="0" w:lastRowLastColumn="0"/>
            </w:pPr>
            <w:r>
              <w:t>Addresses ISO 27001 A.12 (Monitoring) and A.16 (Incident Management) by logging security events, analyzing them, and having incident handling procedures. Meets breach detection and reporting obligations under GDPR (Articles 33/34) by enabling rapid detection and notification of incidents. Also aligns with NIST CSF Detect/Respond functions for comprehensive cloud threat management.</w:t>
            </w:r>
          </w:p>
        </w:tc>
      </w:tr>
      <w:tr w:rsidR="002308D0" w14:paraId="1C5497B5" w14:textId="77777777" w:rsidTr="00C14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7052B1" w14:textId="77777777" w:rsidR="002308D0" w:rsidRDefault="002308D0" w:rsidP="00C142C4">
            <w:r>
              <w:t>Security Governance &amp; Compliance</w:t>
            </w:r>
          </w:p>
        </w:tc>
        <w:tc>
          <w:tcPr>
            <w:tcW w:w="0" w:type="auto"/>
            <w:vAlign w:val="center"/>
          </w:tcPr>
          <w:p w14:paraId="5B214543" w14:textId="77777777" w:rsidR="002308D0" w:rsidRDefault="002308D0" w:rsidP="00D52957">
            <w:pPr>
              <w:jc w:val="both"/>
              <w:cnfStyle w:val="000000100000" w:firstRow="0" w:lastRow="0" w:firstColumn="0" w:lastColumn="0" w:oddVBand="0" w:evenVBand="0" w:oddHBand="1" w:evenHBand="0" w:firstRowFirstColumn="0" w:firstRowLastColumn="0" w:lastRowFirstColumn="0" w:lastRowLastColumn="0"/>
            </w:pPr>
            <w:r>
              <w:t>Maintain an overarching security governance model and ensure ongoing compliance with policies and regulations.</w:t>
            </w:r>
          </w:p>
        </w:tc>
        <w:tc>
          <w:tcPr>
            <w:tcW w:w="0" w:type="auto"/>
            <w:vAlign w:val="center"/>
          </w:tcPr>
          <w:p w14:paraId="266B09F0" w14:textId="77777777" w:rsidR="002308D0" w:rsidRDefault="002308D0" w:rsidP="00D52957">
            <w:pPr>
              <w:jc w:val="both"/>
              <w:cnfStyle w:val="000000100000" w:firstRow="0" w:lastRow="0" w:firstColumn="0" w:lastColumn="0" w:oddVBand="0" w:evenVBand="0" w:oddHBand="1" w:evenHBand="0" w:firstRowFirstColumn="0" w:firstRowLastColumn="0" w:lastRowFirstColumn="0" w:lastRowLastColumn="0"/>
            </w:pPr>
            <w:r>
              <w:t xml:space="preserve">Establish a cloud security governance board or center of excellence to define security policies, risk appetite, and accountability. Use policy automation (Azure Policy, Microsoft 365 Compliance Manager) to enforce governance at scale. Regularly audit configurations and access, and measure posture via compliance scorecards. Integrate security into corporate governance (reports </w:t>
            </w:r>
            <w:proofErr w:type="gramStart"/>
            <w:r>
              <w:t>to</w:t>
            </w:r>
            <w:proofErr w:type="gramEnd"/>
            <w:r>
              <w:t xml:space="preserve"> leadership, continuous improvement cycles).</w:t>
            </w:r>
          </w:p>
        </w:tc>
        <w:tc>
          <w:tcPr>
            <w:tcW w:w="0" w:type="auto"/>
            <w:vAlign w:val="center"/>
          </w:tcPr>
          <w:p w14:paraId="7368F38F" w14:textId="77777777" w:rsidR="002308D0" w:rsidRDefault="002308D0" w:rsidP="00D52957">
            <w:pPr>
              <w:jc w:val="both"/>
              <w:cnfStyle w:val="000000100000" w:firstRow="0" w:lastRow="0" w:firstColumn="0" w:lastColumn="0" w:oddVBand="0" w:evenVBand="0" w:oddHBand="1" w:evenHBand="0" w:firstRowFirstColumn="0" w:firstRowLastColumn="0" w:lastRowFirstColumn="0" w:lastRowLastColumn="0"/>
            </w:pPr>
            <w:r>
              <w:t>Integrates with ISO 27001’s Information Security Management System (ISMS) process—risk assessment, control monitoring, continuous improvement. Microsoft Compliance Manager provides mapping to standards (ISO, GDPR, etc.) and tracks control implementation. This ensures the organization meets regulatory requirements (e.g., GDPR accountability) and maintains certifications. Microsoft 365 and Azure’s built-in certifications (ISO 27001, ISO 27701 for privacy, etc.) ease the burden of demonstrating compliance.</w:t>
            </w:r>
          </w:p>
        </w:tc>
      </w:tr>
    </w:tbl>
    <w:p w14:paraId="744CBDD0" w14:textId="77777777" w:rsidR="002308D0" w:rsidRDefault="002308D0" w:rsidP="002308D0">
      <w:r>
        <w:t>Key Principles in Practice: The above domains are underpinned by core principles and best practices:</w:t>
      </w:r>
    </w:p>
    <w:p w14:paraId="3F1AC435" w14:textId="77777777" w:rsidR="002308D0" w:rsidRDefault="002308D0" w:rsidP="00D52957">
      <w:pPr>
        <w:pStyle w:val="ListParagraph"/>
        <w:numPr>
          <w:ilvl w:val="0"/>
          <w:numId w:val="20"/>
        </w:numPr>
        <w:spacing w:after="160" w:line="279" w:lineRule="auto"/>
        <w:jc w:val="both"/>
      </w:pPr>
      <w:r>
        <w:t>Zero Trust Architecture: Every access request in Microsoft 365 or Azure is explicitly verified (no implicit trust) and limited to least privilege. This approach reduces risk of unauthorized access and lateral movement. For example, enforcing strong identity verification (MFA, device compliance) for all users and administrators is mandatory.</w:t>
      </w:r>
    </w:p>
    <w:p w14:paraId="00E5F19C" w14:textId="77777777" w:rsidR="002308D0" w:rsidRDefault="002308D0" w:rsidP="00D52957">
      <w:pPr>
        <w:pStyle w:val="ListParagraph"/>
        <w:numPr>
          <w:ilvl w:val="0"/>
          <w:numId w:val="20"/>
        </w:numPr>
        <w:spacing w:after="160" w:line="279" w:lineRule="auto"/>
        <w:jc w:val="both"/>
      </w:pPr>
      <w:r>
        <w:t>Defense in Depth: Security is implemented in layers across identity, endpoints, networks, applications, and data. Even if one layer is compromised, additional layers (such as encryption, network segmentation, or endpoint monitoring) mitigate overall risk. Both Microsoft 365 and Azure provide layered security controls (from email filtering and app security in M365 to network security groups and VM hardening in Azure) to support this principle.</w:t>
      </w:r>
    </w:p>
    <w:p w14:paraId="1072A4AC" w14:textId="77777777" w:rsidR="002308D0" w:rsidRDefault="002308D0" w:rsidP="00D52957">
      <w:pPr>
        <w:pStyle w:val="ListParagraph"/>
        <w:numPr>
          <w:ilvl w:val="0"/>
          <w:numId w:val="20"/>
        </w:numPr>
        <w:spacing w:after="160" w:line="279" w:lineRule="auto"/>
        <w:jc w:val="both"/>
      </w:pPr>
      <w:r>
        <w:t xml:space="preserve">Secure by Design &amp; Default: Following Microsoft’s secure-by-design, secure-by-default ethos, the framework advocates adopting secure configurations from the start and using Microsoft’s recommended baselines. Cloud services should be configured with out-of-the-box security features enabled (for instance, Azure secure VM configurations or Office 365 default threat protection policies) to avoid the “open door” </w:t>
      </w:r>
      <w:r>
        <w:lastRenderedPageBreak/>
        <w:t>of default misconfigurations. Governance processes ensure any configuration drift is corrected promptly to maintain a strong baseline.</w:t>
      </w:r>
    </w:p>
    <w:p w14:paraId="19241A67" w14:textId="77777777" w:rsidR="002308D0" w:rsidRDefault="002308D0" w:rsidP="00D52957">
      <w:pPr>
        <w:pStyle w:val="ListParagraph"/>
        <w:numPr>
          <w:ilvl w:val="0"/>
          <w:numId w:val="20"/>
        </w:numPr>
        <w:spacing w:after="160" w:line="279" w:lineRule="auto"/>
        <w:jc w:val="both"/>
      </w:pPr>
      <w:r>
        <w:t xml:space="preserve">Shared Responsibility Awareness: The framework clearly </w:t>
      </w:r>
      <w:proofErr w:type="gramStart"/>
      <w:r>
        <w:t>delineates</w:t>
      </w:r>
      <w:proofErr w:type="gramEnd"/>
      <w:r>
        <w:t xml:space="preserve"> which security tasks are handled by Microsoft and which by the customer. In Azure IaaS/PaaS, cloud users must secure their VMs, applications, and data, whereas Microsoft secures the underlying physical network and hosts. In Microsoft 365 (SaaS), Microsoft manages most infrastructure, but the customer must still manage identities, device access, and data </w:t>
      </w:r>
      <w:proofErr w:type="gramStart"/>
      <w:r>
        <w:t>governance .</w:t>
      </w:r>
      <w:proofErr w:type="gramEnd"/>
      <w:r>
        <w:t xml:space="preserve"> All stakeholders are educated on these boundaries to ensure no critical areas are overlooked.</w:t>
      </w:r>
    </w:p>
    <w:p w14:paraId="19159E13" w14:textId="77777777" w:rsidR="002308D0" w:rsidRDefault="002308D0" w:rsidP="00D52957">
      <w:pPr>
        <w:pStyle w:val="ListParagraph"/>
        <w:numPr>
          <w:ilvl w:val="0"/>
          <w:numId w:val="20"/>
        </w:numPr>
        <w:spacing w:after="160" w:line="279" w:lineRule="auto"/>
        <w:jc w:val="both"/>
      </w:pPr>
      <w:r>
        <w:t xml:space="preserve">Continuous Compliance &amp; Improvement: Alignment with standards and regulations is continuous. The framework uses tools like Microsoft Purview Compliance Manager and Azure Policy to map security controls to frameworks such as ISO 27001, NIST, and GDPR and to get alerts on any compliance </w:t>
      </w:r>
      <w:proofErr w:type="gramStart"/>
      <w:r>
        <w:t>gaps .</w:t>
      </w:r>
      <w:proofErr w:type="gramEnd"/>
      <w:r>
        <w:t xml:space="preserve"> Regular audits and compliance reviews are conducted to adapt to evolving regulations. This proactive stance (“compliance by design”) ensures that as the threat landscape or regulatory environment changes, the security posture and policies are updated accordingly, providing assurance to global customers and regulators.</w:t>
      </w:r>
    </w:p>
    <w:p w14:paraId="6D5E0705" w14:textId="77777777" w:rsidR="002308D0" w:rsidRDefault="002308D0" w:rsidP="00D52957">
      <w:pPr>
        <w:jc w:val="both"/>
      </w:pPr>
      <w:r>
        <w:t xml:space="preserve">Executive Focus: By prioritizing the above domains and principles first, leadership can ensure that Microsoft cloud security is ingrained in the organization’s strategy and culture rather than treated as an afterthought. The framework’s high-level governance focus — </w:t>
      </w:r>
      <w:proofErr w:type="gramStart"/>
      <w:r>
        <w:t>from</w:t>
      </w:r>
      <w:proofErr w:type="gramEnd"/>
      <w:r>
        <w:t xml:space="preserve"> clear policies and roles to measurable compliance metrics — enables consistent execution by technical teams without diving into product-specific details. It provides partners and </w:t>
      </w:r>
      <w:proofErr w:type="gramStart"/>
      <w:r>
        <w:t>resellers</w:t>
      </w:r>
      <w:proofErr w:type="gramEnd"/>
      <w:r>
        <w:t xml:space="preserve"> a common blueprint to advise organizations worldwide on cloud security, ensuring that regardless of region or industry, the same core principles and best practices are applied. In summary, this strategic framework delivers clarity on “what good looks like” for securing Microsoft 365 and Azure environments, balancing strong security with regulatory compliance and operational </w:t>
      </w:r>
      <w:proofErr w:type="gramStart"/>
      <w:r>
        <w:t>practicality .</w:t>
      </w:r>
      <w:proofErr w:type="gramEnd"/>
    </w:p>
    <w:bookmarkEnd w:id="8"/>
    <w:bookmarkEnd w:id="7"/>
    <w:bookmarkEnd w:id="6"/>
    <w:bookmarkEnd w:id="5"/>
    <w:bookmarkEnd w:id="4"/>
    <w:bookmarkEnd w:id="3"/>
    <w:bookmarkEnd w:id="2"/>
    <w:bookmarkEnd w:id="1"/>
    <w:bookmarkEnd w:id="0"/>
    <w:p w14:paraId="25D8CC22" w14:textId="77777777" w:rsidR="002308D0" w:rsidRDefault="002308D0" w:rsidP="00145FAD"/>
    <w:sectPr w:rsidR="002308D0" w:rsidSect="00EE03B4">
      <w:headerReference w:type="default" r:id="rId11"/>
      <w:footerReference w:type="even" r:id="rId12"/>
      <w:footerReference w:type="defaul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E8DE2" w14:textId="77777777" w:rsidR="00A1355C" w:rsidRDefault="00A1355C" w:rsidP="00EE03B4">
      <w:pPr>
        <w:spacing w:after="0" w:line="240" w:lineRule="auto"/>
      </w:pPr>
      <w:r>
        <w:separator/>
      </w:r>
    </w:p>
  </w:endnote>
  <w:endnote w:type="continuationSeparator" w:id="0">
    <w:p w14:paraId="4EA58D0F" w14:textId="77777777" w:rsidR="00A1355C" w:rsidRDefault="00A1355C" w:rsidP="00EE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Light">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9DE1" w14:textId="601D7625" w:rsidR="00A85AEE" w:rsidRDefault="00A85AEE">
    <w:pPr>
      <w:pStyle w:val="Footer"/>
    </w:pPr>
    <w:r>
      <w:rPr>
        <w:noProof/>
      </w:rPr>
      <mc:AlternateContent>
        <mc:Choice Requires="wps">
          <w:drawing>
            <wp:anchor distT="0" distB="0" distL="0" distR="0" simplePos="0" relativeHeight="251660288" behindDoc="0" locked="0" layoutInCell="1" allowOverlap="1" wp14:anchorId="654A51BD" wp14:editId="596EF212">
              <wp:simplePos x="635" y="635"/>
              <wp:positionH relativeFrom="page">
                <wp:align>left</wp:align>
              </wp:positionH>
              <wp:positionV relativeFrom="page">
                <wp:align>bottom</wp:align>
              </wp:positionV>
              <wp:extent cx="1946910" cy="361315"/>
              <wp:effectExtent l="0" t="0" r="15240" b="0"/>
              <wp:wrapNone/>
              <wp:docPr id="942435979" name="Text Box 4"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4A51BD" id="_x0000_t202" coordsize="21600,21600" o:spt="202" path="m,l,21600r21600,l21600,xe">
              <v:stroke joinstyle="miter"/>
              <v:path gradientshapeok="t" o:connecttype="rect"/>
            </v:shapetype>
            <v:shape id="Text Box 4" o:spid="_x0000_s1026" type="#_x0000_t202" alt="Information Classification: Public " style="position:absolute;margin-left:0;margin-top:0;width:153.3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" filled="f" stroked="f">
              <v:textbox style="mso-fit-shape-to-text:t" inset="20pt,0,0,15pt">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FB52" w14:textId="716B4993" w:rsidR="004A7203" w:rsidRDefault="00A85AEE">
    <w:pPr>
      <w:pStyle w:val="Footer"/>
      <w:jc w:val="center"/>
    </w:pPr>
    <w:r>
      <w:rPr>
        <w:noProof/>
      </w:rPr>
      <mc:AlternateContent>
        <mc:Choice Requires="wps">
          <w:drawing>
            <wp:anchor distT="0" distB="0" distL="0" distR="0" simplePos="0" relativeHeight="251661312" behindDoc="0" locked="0" layoutInCell="1" allowOverlap="1" wp14:anchorId="3BF28004" wp14:editId="6865DB00">
              <wp:simplePos x="915035" y="9291955"/>
              <wp:positionH relativeFrom="page">
                <wp:align>left</wp:align>
              </wp:positionH>
              <wp:positionV relativeFrom="page">
                <wp:align>bottom</wp:align>
              </wp:positionV>
              <wp:extent cx="1946910" cy="361315"/>
              <wp:effectExtent l="0" t="0" r="15240" b="0"/>
              <wp:wrapNone/>
              <wp:docPr id="2020843777" name="Text Box 5"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F28004" id="_x0000_t202" coordsize="21600,21600" o:spt="202" path="m,l,21600r21600,l21600,xe">
              <v:stroke joinstyle="miter"/>
              <v:path gradientshapeok="t" o:connecttype="rect"/>
            </v:shapetype>
            <v:shape id="Text Box 5" o:spid="_x0000_s1027" type="#_x0000_t202" alt="Information Classification: Public " style="position:absolute;left:0;text-align:left;margin-left:0;margin-top:0;width:153.3pt;height:28.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" filled="f" stroked="f">
              <v:textbox style="mso-fit-shape-to-text:t" inset="20pt,0,0,15pt">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p w14:paraId="62BF571F" w14:textId="77777777" w:rsidR="004A7203" w:rsidRDefault="004A72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DBE6" w14:textId="3A0816B5" w:rsidR="00A85AEE" w:rsidRDefault="00A85AEE">
    <w:pPr>
      <w:pStyle w:val="Footer"/>
    </w:pPr>
    <w:r>
      <w:rPr>
        <w:noProof/>
      </w:rPr>
      <mc:AlternateContent>
        <mc:Choice Requires="wps">
          <w:drawing>
            <wp:anchor distT="0" distB="0" distL="0" distR="0" simplePos="0" relativeHeight="251659264" behindDoc="0" locked="0" layoutInCell="1" allowOverlap="1" wp14:anchorId="635BF98A" wp14:editId="0ED82A58">
              <wp:simplePos x="914400" y="9448800"/>
              <wp:positionH relativeFrom="page">
                <wp:align>left</wp:align>
              </wp:positionH>
              <wp:positionV relativeFrom="page">
                <wp:align>bottom</wp:align>
              </wp:positionV>
              <wp:extent cx="1946910" cy="361315"/>
              <wp:effectExtent l="0" t="0" r="15240" b="0"/>
              <wp:wrapNone/>
              <wp:docPr id="1175924996" name="Text Box 3"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5BF98A" id="_x0000_t202" coordsize="21600,21600" o:spt="202" path="m,l,21600r21600,l21600,xe">
              <v:stroke joinstyle="miter"/>
              <v:path gradientshapeok="t" o:connecttype="rect"/>
            </v:shapetype>
            <v:shape id="Text Box 3" o:spid="_x0000_s1028" type="#_x0000_t202" alt="Information Classification: Public " style="position:absolute;margin-left:0;margin-top:0;width:153.3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" filled="f" stroked="f">
              <v:textbox style="mso-fit-shape-to-text:t" inset="20pt,0,0,15pt">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96DB8" w14:textId="77777777" w:rsidR="00A1355C" w:rsidRDefault="00A1355C" w:rsidP="00EE03B4">
      <w:pPr>
        <w:spacing w:after="0" w:line="240" w:lineRule="auto"/>
      </w:pPr>
      <w:r>
        <w:separator/>
      </w:r>
    </w:p>
  </w:footnote>
  <w:footnote w:type="continuationSeparator" w:id="0">
    <w:p w14:paraId="02D43354" w14:textId="77777777" w:rsidR="00A1355C" w:rsidRDefault="00A1355C" w:rsidP="00EE0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6FC8" w14:textId="1C176DA1" w:rsidR="004A7203" w:rsidRPr="00C82620" w:rsidRDefault="00AF0FBB" w:rsidP="00DE6D2C">
    <w:pPr>
      <w:pStyle w:val="Header"/>
      <w:rPr>
        <w:sz w:val="16"/>
        <w:szCs w:val="16"/>
      </w:rPr>
    </w:pPr>
    <w:r>
      <w:rPr>
        <w:noProof/>
        <w:color w:val="1F497D"/>
      </w:rPr>
      <w:drawing>
        <wp:anchor distT="0" distB="0" distL="114300" distR="114300" simplePos="0" relativeHeight="251658240" behindDoc="0" locked="0" layoutInCell="1" allowOverlap="1" wp14:anchorId="22415CB5" wp14:editId="00222BBF">
          <wp:simplePos x="0" y="0"/>
          <wp:positionH relativeFrom="margin">
            <wp:align>right</wp:align>
          </wp:positionH>
          <wp:positionV relativeFrom="paragraph">
            <wp:posOffset>-123825</wp:posOffset>
          </wp:positionV>
          <wp:extent cx="1476375" cy="428625"/>
          <wp:effectExtent l="0" t="0" r="9525" b="9525"/>
          <wp:wrapThrough wrapText="bothSides">
            <wp:wrapPolygon edited="0">
              <wp:start x="0" y="0"/>
              <wp:lineTo x="0" y="21120"/>
              <wp:lineTo x="21461" y="21120"/>
              <wp:lineTo x="2146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r w:rsidR="004A7203">
      <w:rPr>
        <w:sz w:val="16"/>
        <w:szCs w:val="16"/>
      </w:rPr>
      <w:tab/>
    </w:r>
    <w:r w:rsidR="004A7203">
      <w:rPr>
        <w:sz w:val="16"/>
        <w:szCs w:val="16"/>
      </w:rPr>
      <w:tab/>
    </w:r>
    <w:r w:rsidR="004A7203">
      <w:rPr>
        <w:sz w:val="16"/>
        <w:szCs w:val="16"/>
      </w:rPr>
      <w:tab/>
    </w:r>
  </w:p>
  <w:p w14:paraId="467A41AB" w14:textId="77777777" w:rsidR="004A7203" w:rsidRDefault="004A7203">
    <w:pPr>
      <w:pStyle w:val="Header"/>
    </w:pPr>
  </w:p>
  <w:p w14:paraId="5B361A2E" w14:textId="77777777" w:rsidR="004A7203" w:rsidRDefault="004A7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EE0"/>
    <w:multiLevelType w:val="hybridMultilevel"/>
    <w:tmpl w:val="646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EA9E4"/>
    <w:multiLevelType w:val="hybridMultilevel"/>
    <w:tmpl w:val="FFFFFFFF"/>
    <w:lvl w:ilvl="0" w:tplc="0B38CDAA">
      <w:start w:val="1"/>
      <w:numFmt w:val="bullet"/>
      <w:lvlText w:val=""/>
      <w:lvlJc w:val="left"/>
      <w:pPr>
        <w:ind w:left="720" w:hanging="360"/>
      </w:pPr>
      <w:rPr>
        <w:rFonts w:ascii="Symbol" w:eastAsia="Symbol" w:hAnsi="Symbol" w:cs="Symbol"/>
      </w:rPr>
    </w:lvl>
    <w:lvl w:ilvl="1" w:tplc="B05A16CE">
      <w:start w:val="1"/>
      <w:numFmt w:val="bullet"/>
      <w:lvlText w:val="o"/>
      <w:lvlJc w:val="left"/>
      <w:pPr>
        <w:ind w:left="1440" w:hanging="360"/>
      </w:pPr>
      <w:rPr>
        <w:rFonts w:ascii="Courier New" w:eastAsia="Courier New" w:hAnsi="Courier New" w:cs="Courier New"/>
      </w:rPr>
    </w:lvl>
    <w:lvl w:ilvl="2" w:tplc="21A03EB6">
      <w:start w:val="1"/>
      <w:numFmt w:val="bullet"/>
      <w:lvlText w:val=""/>
      <w:lvlJc w:val="left"/>
      <w:pPr>
        <w:ind w:left="2160" w:hanging="360"/>
      </w:pPr>
      <w:rPr>
        <w:rFonts w:ascii="Wingdings" w:eastAsia="Wingdings" w:hAnsi="Wingdings" w:cs="Wingdings"/>
      </w:rPr>
    </w:lvl>
    <w:lvl w:ilvl="3" w:tplc="6010B378">
      <w:start w:val="1"/>
      <w:numFmt w:val="bullet"/>
      <w:lvlText w:val=""/>
      <w:lvlJc w:val="left"/>
      <w:pPr>
        <w:ind w:left="2880" w:hanging="360"/>
      </w:pPr>
      <w:rPr>
        <w:rFonts w:ascii="Symbol" w:eastAsia="Symbol" w:hAnsi="Symbol" w:cs="Symbol"/>
      </w:rPr>
    </w:lvl>
    <w:lvl w:ilvl="4" w:tplc="9EE68792">
      <w:start w:val="1"/>
      <w:numFmt w:val="bullet"/>
      <w:lvlText w:val="o"/>
      <w:lvlJc w:val="left"/>
      <w:pPr>
        <w:ind w:left="3600" w:hanging="360"/>
      </w:pPr>
      <w:rPr>
        <w:rFonts w:ascii="Courier New" w:eastAsia="Courier New" w:hAnsi="Courier New" w:cs="Courier New"/>
      </w:rPr>
    </w:lvl>
    <w:lvl w:ilvl="5" w:tplc="67EAFB0A">
      <w:start w:val="1"/>
      <w:numFmt w:val="bullet"/>
      <w:lvlText w:val=""/>
      <w:lvlJc w:val="left"/>
      <w:pPr>
        <w:ind w:left="4320" w:hanging="360"/>
      </w:pPr>
      <w:rPr>
        <w:rFonts w:ascii="Wingdings" w:eastAsia="Wingdings" w:hAnsi="Wingdings" w:cs="Wingdings"/>
      </w:rPr>
    </w:lvl>
    <w:lvl w:ilvl="6" w:tplc="43544F3C">
      <w:start w:val="1"/>
      <w:numFmt w:val="bullet"/>
      <w:lvlText w:val=""/>
      <w:lvlJc w:val="left"/>
      <w:pPr>
        <w:ind w:left="5040" w:hanging="360"/>
      </w:pPr>
      <w:rPr>
        <w:rFonts w:ascii="Symbol" w:eastAsia="Symbol" w:hAnsi="Symbol" w:cs="Symbol"/>
      </w:rPr>
    </w:lvl>
    <w:lvl w:ilvl="7" w:tplc="3F889834">
      <w:start w:val="1"/>
      <w:numFmt w:val="bullet"/>
      <w:lvlText w:val="o"/>
      <w:lvlJc w:val="left"/>
      <w:pPr>
        <w:ind w:left="5760" w:hanging="360"/>
      </w:pPr>
      <w:rPr>
        <w:rFonts w:ascii="Courier New" w:eastAsia="Courier New" w:hAnsi="Courier New" w:cs="Courier New"/>
      </w:rPr>
    </w:lvl>
    <w:lvl w:ilvl="8" w:tplc="9170EE24">
      <w:start w:val="1"/>
      <w:numFmt w:val="bullet"/>
      <w:lvlText w:val=""/>
      <w:lvlJc w:val="left"/>
      <w:pPr>
        <w:ind w:left="6480" w:hanging="360"/>
      </w:pPr>
      <w:rPr>
        <w:rFonts w:ascii="Wingdings" w:eastAsia="Wingdings" w:hAnsi="Wingdings" w:cs="Wingdings"/>
      </w:rPr>
    </w:lvl>
  </w:abstractNum>
  <w:abstractNum w:abstractNumId="2" w15:restartNumberingAfterBreak="0">
    <w:nsid w:val="02FC384F"/>
    <w:multiLevelType w:val="hybridMultilevel"/>
    <w:tmpl w:val="BB88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A83DB8"/>
    <w:multiLevelType w:val="hybridMultilevel"/>
    <w:tmpl w:val="B4A22F1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CFC4490"/>
    <w:multiLevelType w:val="hybridMultilevel"/>
    <w:tmpl w:val="19E26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BC0EF1"/>
    <w:multiLevelType w:val="hybridMultilevel"/>
    <w:tmpl w:val="DA5C9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F07E3A"/>
    <w:multiLevelType w:val="hybridMultilevel"/>
    <w:tmpl w:val="A8C87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0022B4"/>
    <w:multiLevelType w:val="hybridMultilevel"/>
    <w:tmpl w:val="34563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B61F39"/>
    <w:multiLevelType w:val="hybridMultilevel"/>
    <w:tmpl w:val="1D942D04"/>
    <w:lvl w:ilvl="0" w:tplc="4F409ACC">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034BAF8">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42F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60B2C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42D7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14015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6081A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1E445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04C5E8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59749BA"/>
    <w:multiLevelType w:val="hybridMultilevel"/>
    <w:tmpl w:val="478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5B14A7"/>
    <w:multiLevelType w:val="hybridMultilevel"/>
    <w:tmpl w:val="157E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6A0C27"/>
    <w:multiLevelType w:val="hybridMultilevel"/>
    <w:tmpl w:val="FFFFFFFF"/>
    <w:lvl w:ilvl="0" w:tplc="794AB1C6">
      <w:start w:val="1"/>
      <w:numFmt w:val="bullet"/>
      <w:lvlText w:val=""/>
      <w:lvlJc w:val="left"/>
      <w:pPr>
        <w:ind w:left="720" w:hanging="360"/>
      </w:pPr>
      <w:rPr>
        <w:rFonts w:ascii="Symbol" w:eastAsia="Symbol" w:hAnsi="Symbol" w:cs="Symbol"/>
      </w:rPr>
    </w:lvl>
    <w:lvl w:ilvl="1" w:tplc="94DAE312">
      <w:start w:val="1"/>
      <w:numFmt w:val="bullet"/>
      <w:lvlText w:val="o"/>
      <w:lvlJc w:val="left"/>
      <w:pPr>
        <w:ind w:left="1440" w:hanging="360"/>
      </w:pPr>
      <w:rPr>
        <w:rFonts w:ascii="Courier New" w:eastAsia="Courier New" w:hAnsi="Courier New" w:cs="Courier New"/>
      </w:rPr>
    </w:lvl>
    <w:lvl w:ilvl="2" w:tplc="E2243A10">
      <w:start w:val="1"/>
      <w:numFmt w:val="bullet"/>
      <w:lvlText w:val=""/>
      <w:lvlJc w:val="left"/>
      <w:pPr>
        <w:ind w:left="2160" w:hanging="360"/>
      </w:pPr>
      <w:rPr>
        <w:rFonts w:ascii="Wingdings" w:eastAsia="Wingdings" w:hAnsi="Wingdings" w:cs="Wingdings"/>
      </w:rPr>
    </w:lvl>
    <w:lvl w:ilvl="3" w:tplc="E56842BA">
      <w:start w:val="1"/>
      <w:numFmt w:val="bullet"/>
      <w:lvlText w:val=""/>
      <w:lvlJc w:val="left"/>
      <w:pPr>
        <w:ind w:left="2880" w:hanging="360"/>
      </w:pPr>
      <w:rPr>
        <w:rFonts w:ascii="Symbol" w:eastAsia="Symbol" w:hAnsi="Symbol" w:cs="Symbol"/>
      </w:rPr>
    </w:lvl>
    <w:lvl w:ilvl="4" w:tplc="4CCEFAF8">
      <w:start w:val="1"/>
      <w:numFmt w:val="bullet"/>
      <w:lvlText w:val="o"/>
      <w:lvlJc w:val="left"/>
      <w:pPr>
        <w:ind w:left="3600" w:hanging="360"/>
      </w:pPr>
      <w:rPr>
        <w:rFonts w:ascii="Courier New" w:eastAsia="Courier New" w:hAnsi="Courier New" w:cs="Courier New"/>
      </w:rPr>
    </w:lvl>
    <w:lvl w:ilvl="5" w:tplc="81866E7C">
      <w:start w:val="1"/>
      <w:numFmt w:val="bullet"/>
      <w:lvlText w:val=""/>
      <w:lvlJc w:val="left"/>
      <w:pPr>
        <w:ind w:left="4320" w:hanging="360"/>
      </w:pPr>
      <w:rPr>
        <w:rFonts w:ascii="Wingdings" w:eastAsia="Wingdings" w:hAnsi="Wingdings" w:cs="Wingdings"/>
      </w:rPr>
    </w:lvl>
    <w:lvl w:ilvl="6" w:tplc="0F1ACFE0">
      <w:start w:val="1"/>
      <w:numFmt w:val="bullet"/>
      <w:lvlText w:val=""/>
      <w:lvlJc w:val="left"/>
      <w:pPr>
        <w:ind w:left="5040" w:hanging="360"/>
      </w:pPr>
      <w:rPr>
        <w:rFonts w:ascii="Symbol" w:eastAsia="Symbol" w:hAnsi="Symbol" w:cs="Symbol"/>
      </w:rPr>
    </w:lvl>
    <w:lvl w:ilvl="7" w:tplc="4A064EE0">
      <w:start w:val="1"/>
      <w:numFmt w:val="bullet"/>
      <w:lvlText w:val="o"/>
      <w:lvlJc w:val="left"/>
      <w:pPr>
        <w:ind w:left="5760" w:hanging="360"/>
      </w:pPr>
      <w:rPr>
        <w:rFonts w:ascii="Courier New" w:eastAsia="Courier New" w:hAnsi="Courier New" w:cs="Courier New"/>
      </w:rPr>
    </w:lvl>
    <w:lvl w:ilvl="8" w:tplc="379A644E">
      <w:start w:val="1"/>
      <w:numFmt w:val="bullet"/>
      <w:lvlText w:val=""/>
      <w:lvlJc w:val="left"/>
      <w:pPr>
        <w:ind w:left="6480" w:hanging="360"/>
      </w:pPr>
      <w:rPr>
        <w:rFonts w:ascii="Wingdings" w:eastAsia="Wingdings" w:hAnsi="Wingdings" w:cs="Wingdings"/>
      </w:rPr>
    </w:lvl>
  </w:abstractNum>
  <w:abstractNum w:abstractNumId="12" w15:restartNumberingAfterBreak="0">
    <w:nsid w:val="41B7427B"/>
    <w:multiLevelType w:val="hybridMultilevel"/>
    <w:tmpl w:val="49EEA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530FEC"/>
    <w:multiLevelType w:val="hybridMultilevel"/>
    <w:tmpl w:val="02A60928"/>
    <w:lvl w:ilvl="0" w:tplc="B8C4D200">
      <w:start w:val="1"/>
      <w:numFmt w:val="bullet"/>
      <w:lvlText w:val=""/>
      <w:lvlJc w:val="left"/>
      <w:pPr>
        <w:ind w:left="720" w:hanging="360"/>
      </w:pPr>
      <w:rPr>
        <w:rFonts w:ascii="Symbol" w:eastAsia="Symbol" w:hAnsi="Symbol" w:cs="Symbol"/>
      </w:rPr>
    </w:lvl>
    <w:lvl w:ilvl="1" w:tplc="CCC40ADE">
      <w:start w:val="1"/>
      <w:numFmt w:val="bullet"/>
      <w:lvlText w:val="o"/>
      <w:lvlJc w:val="left"/>
      <w:pPr>
        <w:ind w:left="1440" w:hanging="360"/>
      </w:pPr>
      <w:rPr>
        <w:rFonts w:ascii="Courier New" w:eastAsia="Courier New" w:hAnsi="Courier New" w:cs="Courier New"/>
      </w:rPr>
    </w:lvl>
    <w:lvl w:ilvl="2" w:tplc="58AAF118">
      <w:start w:val="1"/>
      <w:numFmt w:val="bullet"/>
      <w:lvlText w:val=""/>
      <w:lvlJc w:val="left"/>
      <w:pPr>
        <w:ind w:left="2160" w:hanging="360"/>
      </w:pPr>
      <w:rPr>
        <w:rFonts w:ascii="Wingdings" w:eastAsia="Wingdings" w:hAnsi="Wingdings" w:cs="Wingdings"/>
      </w:rPr>
    </w:lvl>
    <w:lvl w:ilvl="3" w:tplc="C9B22DA8">
      <w:start w:val="1"/>
      <w:numFmt w:val="bullet"/>
      <w:lvlText w:val=""/>
      <w:lvlJc w:val="left"/>
      <w:pPr>
        <w:ind w:left="2880" w:hanging="360"/>
      </w:pPr>
      <w:rPr>
        <w:rFonts w:ascii="Symbol" w:eastAsia="Symbol" w:hAnsi="Symbol" w:cs="Symbol"/>
      </w:rPr>
    </w:lvl>
    <w:lvl w:ilvl="4" w:tplc="E3D4BC34">
      <w:start w:val="1"/>
      <w:numFmt w:val="bullet"/>
      <w:lvlText w:val="o"/>
      <w:lvlJc w:val="left"/>
      <w:pPr>
        <w:ind w:left="3600" w:hanging="360"/>
      </w:pPr>
      <w:rPr>
        <w:rFonts w:ascii="Courier New" w:eastAsia="Courier New" w:hAnsi="Courier New" w:cs="Courier New"/>
      </w:rPr>
    </w:lvl>
    <w:lvl w:ilvl="5" w:tplc="89842D8A">
      <w:start w:val="1"/>
      <w:numFmt w:val="bullet"/>
      <w:lvlText w:val=""/>
      <w:lvlJc w:val="left"/>
      <w:pPr>
        <w:ind w:left="4320" w:hanging="360"/>
      </w:pPr>
      <w:rPr>
        <w:rFonts w:ascii="Wingdings" w:eastAsia="Wingdings" w:hAnsi="Wingdings" w:cs="Wingdings"/>
      </w:rPr>
    </w:lvl>
    <w:lvl w:ilvl="6" w:tplc="4B2C4EEA">
      <w:start w:val="1"/>
      <w:numFmt w:val="bullet"/>
      <w:lvlText w:val=""/>
      <w:lvlJc w:val="left"/>
      <w:pPr>
        <w:ind w:left="5040" w:hanging="360"/>
      </w:pPr>
      <w:rPr>
        <w:rFonts w:ascii="Symbol" w:eastAsia="Symbol" w:hAnsi="Symbol" w:cs="Symbol"/>
      </w:rPr>
    </w:lvl>
    <w:lvl w:ilvl="7" w:tplc="E6782756">
      <w:start w:val="1"/>
      <w:numFmt w:val="bullet"/>
      <w:lvlText w:val="o"/>
      <w:lvlJc w:val="left"/>
      <w:pPr>
        <w:ind w:left="5760" w:hanging="360"/>
      </w:pPr>
      <w:rPr>
        <w:rFonts w:ascii="Courier New" w:eastAsia="Courier New" w:hAnsi="Courier New" w:cs="Courier New"/>
      </w:rPr>
    </w:lvl>
    <w:lvl w:ilvl="8" w:tplc="8C181014">
      <w:start w:val="1"/>
      <w:numFmt w:val="bullet"/>
      <w:lvlText w:val=""/>
      <w:lvlJc w:val="left"/>
      <w:pPr>
        <w:ind w:left="6480" w:hanging="360"/>
      </w:pPr>
      <w:rPr>
        <w:rFonts w:ascii="Wingdings" w:eastAsia="Wingdings" w:hAnsi="Wingdings" w:cs="Wingdings"/>
      </w:rPr>
    </w:lvl>
  </w:abstractNum>
  <w:abstractNum w:abstractNumId="14" w15:restartNumberingAfterBreak="0">
    <w:nsid w:val="50D53930"/>
    <w:multiLevelType w:val="hybridMultilevel"/>
    <w:tmpl w:val="6758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034B2"/>
    <w:multiLevelType w:val="hybridMultilevel"/>
    <w:tmpl w:val="9E604E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DA12DD6"/>
    <w:multiLevelType w:val="hybridMultilevel"/>
    <w:tmpl w:val="61F2E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E938EE"/>
    <w:multiLevelType w:val="hybridMultilevel"/>
    <w:tmpl w:val="8468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5E6B81"/>
    <w:multiLevelType w:val="hybridMultilevel"/>
    <w:tmpl w:val="245EA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6A11A5"/>
    <w:multiLevelType w:val="hybridMultilevel"/>
    <w:tmpl w:val="4B406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5812255">
    <w:abstractNumId w:val="8"/>
  </w:num>
  <w:num w:numId="2" w16cid:durableId="2099013664">
    <w:abstractNumId w:val="3"/>
  </w:num>
  <w:num w:numId="3" w16cid:durableId="1065109355">
    <w:abstractNumId w:val="18"/>
  </w:num>
  <w:num w:numId="4" w16cid:durableId="1017729909">
    <w:abstractNumId w:val="0"/>
  </w:num>
  <w:num w:numId="5" w16cid:durableId="1937982636">
    <w:abstractNumId w:val="10"/>
  </w:num>
  <w:num w:numId="6" w16cid:durableId="444274264">
    <w:abstractNumId w:val="14"/>
  </w:num>
  <w:num w:numId="7" w16cid:durableId="140849496">
    <w:abstractNumId w:val="12"/>
  </w:num>
  <w:num w:numId="8" w16cid:durableId="146288828">
    <w:abstractNumId w:val="16"/>
  </w:num>
  <w:num w:numId="9" w16cid:durableId="163128149">
    <w:abstractNumId w:val="9"/>
  </w:num>
  <w:num w:numId="10" w16cid:durableId="592513396">
    <w:abstractNumId w:val="17"/>
  </w:num>
  <w:num w:numId="11" w16cid:durableId="529492387">
    <w:abstractNumId w:val="15"/>
  </w:num>
  <w:num w:numId="12" w16cid:durableId="2120055285">
    <w:abstractNumId w:val="5"/>
  </w:num>
  <w:num w:numId="13" w16cid:durableId="2123573697">
    <w:abstractNumId w:val="19"/>
  </w:num>
  <w:num w:numId="14" w16cid:durableId="908417583">
    <w:abstractNumId w:val="6"/>
  </w:num>
  <w:num w:numId="15" w16cid:durableId="397367668">
    <w:abstractNumId w:val="4"/>
  </w:num>
  <w:num w:numId="16" w16cid:durableId="876696084">
    <w:abstractNumId w:val="2"/>
  </w:num>
  <w:num w:numId="17" w16cid:durableId="1347486650">
    <w:abstractNumId w:val="7"/>
  </w:num>
  <w:num w:numId="18" w16cid:durableId="574631553">
    <w:abstractNumId w:val="11"/>
  </w:num>
  <w:num w:numId="19" w16cid:durableId="1071543508">
    <w:abstractNumId w:val="13"/>
  </w:num>
  <w:num w:numId="20" w16cid:durableId="69036849">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B97"/>
    <w:rsid w:val="000028C7"/>
    <w:rsid w:val="00006CFB"/>
    <w:rsid w:val="000077E4"/>
    <w:rsid w:val="00015CB4"/>
    <w:rsid w:val="00017AB3"/>
    <w:rsid w:val="00030B04"/>
    <w:rsid w:val="00030E05"/>
    <w:rsid w:val="00031CC1"/>
    <w:rsid w:val="000323A5"/>
    <w:rsid w:val="00032EFF"/>
    <w:rsid w:val="00036BC1"/>
    <w:rsid w:val="00046B77"/>
    <w:rsid w:val="000514D0"/>
    <w:rsid w:val="00053461"/>
    <w:rsid w:val="0005431F"/>
    <w:rsid w:val="00056D02"/>
    <w:rsid w:val="00060142"/>
    <w:rsid w:val="000607F7"/>
    <w:rsid w:val="000612FE"/>
    <w:rsid w:val="000671BF"/>
    <w:rsid w:val="000842DA"/>
    <w:rsid w:val="0008641D"/>
    <w:rsid w:val="00086C3B"/>
    <w:rsid w:val="00091BD0"/>
    <w:rsid w:val="00092D5C"/>
    <w:rsid w:val="00096565"/>
    <w:rsid w:val="000974DA"/>
    <w:rsid w:val="000A1564"/>
    <w:rsid w:val="000A6AEC"/>
    <w:rsid w:val="000B2466"/>
    <w:rsid w:val="000C3E59"/>
    <w:rsid w:val="000C4875"/>
    <w:rsid w:val="000C5B18"/>
    <w:rsid w:val="000D1EDF"/>
    <w:rsid w:val="000D2BB5"/>
    <w:rsid w:val="000E2FF3"/>
    <w:rsid w:val="000E4E36"/>
    <w:rsid w:val="000E4EB3"/>
    <w:rsid w:val="00100750"/>
    <w:rsid w:val="00101E70"/>
    <w:rsid w:val="00104234"/>
    <w:rsid w:val="001043AC"/>
    <w:rsid w:val="0010606F"/>
    <w:rsid w:val="00106C7C"/>
    <w:rsid w:val="00107509"/>
    <w:rsid w:val="00114933"/>
    <w:rsid w:val="0011589A"/>
    <w:rsid w:val="00116D18"/>
    <w:rsid w:val="001210F1"/>
    <w:rsid w:val="00130268"/>
    <w:rsid w:val="00130CB4"/>
    <w:rsid w:val="001326F8"/>
    <w:rsid w:val="00140CA3"/>
    <w:rsid w:val="00141B4C"/>
    <w:rsid w:val="00145073"/>
    <w:rsid w:val="00145FAD"/>
    <w:rsid w:val="00147C33"/>
    <w:rsid w:val="00150C95"/>
    <w:rsid w:val="00163A47"/>
    <w:rsid w:val="001643EC"/>
    <w:rsid w:val="001666C3"/>
    <w:rsid w:val="001809B4"/>
    <w:rsid w:val="00183E4B"/>
    <w:rsid w:val="00187C1B"/>
    <w:rsid w:val="00190A9E"/>
    <w:rsid w:val="00192ED6"/>
    <w:rsid w:val="001A4A70"/>
    <w:rsid w:val="001A6026"/>
    <w:rsid w:val="001A6053"/>
    <w:rsid w:val="001A6C37"/>
    <w:rsid w:val="001B0C7E"/>
    <w:rsid w:val="001B2787"/>
    <w:rsid w:val="001B3B61"/>
    <w:rsid w:val="001B6B3B"/>
    <w:rsid w:val="001C256A"/>
    <w:rsid w:val="001D7D0C"/>
    <w:rsid w:val="001E4069"/>
    <w:rsid w:val="001F294E"/>
    <w:rsid w:val="001F7912"/>
    <w:rsid w:val="00201204"/>
    <w:rsid w:val="00201D75"/>
    <w:rsid w:val="00203074"/>
    <w:rsid w:val="00206851"/>
    <w:rsid w:val="00210581"/>
    <w:rsid w:val="002127E6"/>
    <w:rsid w:val="00220B7B"/>
    <w:rsid w:val="0022253B"/>
    <w:rsid w:val="002232C6"/>
    <w:rsid w:val="00225375"/>
    <w:rsid w:val="00226C01"/>
    <w:rsid w:val="002308D0"/>
    <w:rsid w:val="00237C8A"/>
    <w:rsid w:val="00244B98"/>
    <w:rsid w:val="002505DA"/>
    <w:rsid w:val="00256B77"/>
    <w:rsid w:val="00257DA3"/>
    <w:rsid w:val="002601D1"/>
    <w:rsid w:val="002623D5"/>
    <w:rsid w:val="0026309D"/>
    <w:rsid w:val="002657E7"/>
    <w:rsid w:val="00265B0A"/>
    <w:rsid w:val="00274B4D"/>
    <w:rsid w:val="00277E0A"/>
    <w:rsid w:val="002813B3"/>
    <w:rsid w:val="00282339"/>
    <w:rsid w:val="002875D0"/>
    <w:rsid w:val="002878D2"/>
    <w:rsid w:val="00292635"/>
    <w:rsid w:val="002928F6"/>
    <w:rsid w:val="00293C65"/>
    <w:rsid w:val="0029457E"/>
    <w:rsid w:val="00294BC5"/>
    <w:rsid w:val="002962E1"/>
    <w:rsid w:val="002A4307"/>
    <w:rsid w:val="002A4852"/>
    <w:rsid w:val="002A66A7"/>
    <w:rsid w:val="002B6286"/>
    <w:rsid w:val="002B7CD1"/>
    <w:rsid w:val="002C3EA7"/>
    <w:rsid w:val="002C5B99"/>
    <w:rsid w:val="002D0CD8"/>
    <w:rsid w:val="002D2FF8"/>
    <w:rsid w:val="002D3347"/>
    <w:rsid w:val="002D6C11"/>
    <w:rsid w:val="002D71CF"/>
    <w:rsid w:val="002E36A4"/>
    <w:rsid w:val="002E5D55"/>
    <w:rsid w:val="002E72F4"/>
    <w:rsid w:val="002F20E0"/>
    <w:rsid w:val="002F2CB2"/>
    <w:rsid w:val="002F38B8"/>
    <w:rsid w:val="002F76EF"/>
    <w:rsid w:val="002F77BC"/>
    <w:rsid w:val="003045B2"/>
    <w:rsid w:val="00307C06"/>
    <w:rsid w:val="00313609"/>
    <w:rsid w:val="00322AFF"/>
    <w:rsid w:val="003266E7"/>
    <w:rsid w:val="0032791D"/>
    <w:rsid w:val="00331B56"/>
    <w:rsid w:val="0033460A"/>
    <w:rsid w:val="00340F2C"/>
    <w:rsid w:val="00341709"/>
    <w:rsid w:val="003477FC"/>
    <w:rsid w:val="003478D4"/>
    <w:rsid w:val="00350B3C"/>
    <w:rsid w:val="00351EEF"/>
    <w:rsid w:val="00360BAD"/>
    <w:rsid w:val="00362F3A"/>
    <w:rsid w:val="00365E3A"/>
    <w:rsid w:val="00366393"/>
    <w:rsid w:val="00366BBA"/>
    <w:rsid w:val="00367794"/>
    <w:rsid w:val="00370E55"/>
    <w:rsid w:val="00374CC0"/>
    <w:rsid w:val="0038262C"/>
    <w:rsid w:val="0038281E"/>
    <w:rsid w:val="00383DA5"/>
    <w:rsid w:val="003853E5"/>
    <w:rsid w:val="003857F5"/>
    <w:rsid w:val="00386EA3"/>
    <w:rsid w:val="00395DDF"/>
    <w:rsid w:val="0039664F"/>
    <w:rsid w:val="00397000"/>
    <w:rsid w:val="00397696"/>
    <w:rsid w:val="003A41BB"/>
    <w:rsid w:val="003A503C"/>
    <w:rsid w:val="003A66D5"/>
    <w:rsid w:val="003B0186"/>
    <w:rsid w:val="003B18C7"/>
    <w:rsid w:val="003B2CC0"/>
    <w:rsid w:val="003B4A29"/>
    <w:rsid w:val="003B6E85"/>
    <w:rsid w:val="003B7916"/>
    <w:rsid w:val="003C2E90"/>
    <w:rsid w:val="003D278F"/>
    <w:rsid w:val="003D2B2A"/>
    <w:rsid w:val="003D73B2"/>
    <w:rsid w:val="003E796E"/>
    <w:rsid w:val="003F37C5"/>
    <w:rsid w:val="003F5BF4"/>
    <w:rsid w:val="004078B9"/>
    <w:rsid w:val="00407CCA"/>
    <w:rsid w:val="00410F13"/>
    <w:rsid w:val="00421674"/>
    <w:rsid w:val="004250E9"/>
    <w:rsid w:val="00427314"/>
    <w:rsid w:val="004307B6"/>
    <w:rsid w:val="00436CA9"/>
    <w:rsid w:val="00436F99"/>
    <w:rsid w:val="00440BEE"/>
    <w:rsid w:val="00442946"/>
    <w:rsid w:val="0044451F"/>
    <w:rsid w:val="00447365"/>
    <w:rsid w:val="00447398"/>
    <w:rsid w:val="00447667"/>
    <w:rsid w:val="00451505"/>
    <w:rsid w:val="00454BE5"/>
    <w:rsid w:val="004577C2"/>
    <w:rsid w:val="004611C3"/>
    <w:rsid w:val="00464616"/>
    <w:rsid w:val="00464C48"/>
    <w:rsid w:val="00465ADD"/>
    <w:rsid w:val="004666A2"/>
    <w:rsid w:val="00471174"/>
    <w:rsid w:val="00472D39"/>
    <w:rsid w:val="00473DA8"/>
    <w:rsid w:val="00473ED9"/>
    <w:rsid w:val="00480311"/>
    <w:rsid w:val="00487C0B"/>
    <w:rsid w:val="00491CD4"/>
    <w:rsid w:val="00491DE2"/>
    <w:rsid w:val="00492B91"/>
    <w:rsid w:val="00494E16"/>
    <w:rsid w:val="004A065A"/>
    <w:rsid w:val="004A0BAD"/>
    <w:rsid w:val="004A12A8"/>
    <w:rsid w:val="004A3BE7"/>
    <w:rsid w:val="004A51DE"/>
    <w:rsid w:val="004A6634"/>
    <w:rsid w:val="004A7203"/>
    <w:rsid w:val="004A788B"/>
    <w:rsid w:val="004A7BB3"/>
    <w:rsid w:val="004B43B1"/>
    <w:rsid w:val="004B6617"/>
    <w:rsid w:val="004C0170"/>
    <w:rsid w:val="004C196A"/>
    <w:rsid w:val="004C1D67"/>
    <w:rsid w:val="004C4130"/>
    <w:rsid w:val="004C418D"/>
    <w:rsid w:val="004C64A6"/>
    <w:rsid w:val="004D11E0"/>
    <w:rsid w:val="004D1960"/>
    <w:rsid w:val="004D2193"/>
    <w:rsid w:val="004D3B93"/>
    <w:rsid w:val="004E66B8"/>
    <w:rsid w:val="004F0A51"/>
    <w:rsid w:val="004F0BB9"/>
    <w:rsid w:val="004F546C"/>
    <w:rsid w:val="0050145D"/>
    <w:rsid w:val="00505CB6"/>
    <w:rsid w:val="00506628"/>
    <w:rsid w:val="005072A6"/>
    <w:rsid w:val="00511B5D"/>
    <w:rsid w:val="00511E01"/>
    <w:rsid w:val="00512FB9"/>
    <w:rsid w:val="005210B6"/>
    <w:rsid w:val="00521BBB"/>
    <w:rsid w:val="0052658A"/>
    <w:rsid w:val="00531158"/>
    <w:rsid w:val="0053308C"/>
    <w:rsid w:val="0053632A"/>
    <w:rsid w:val="00543E40"/>
    <w:rsid w:val="00545068"/>
    <w:rsid w:val="00545766"/>
    <w:rsid w:val="005639ED"/>
    <w:rsid w:val="005646C8"/>
    <w:rsid w:val="0056644D"/>
    <w:rsid w:val="00567698"/>
    <w:rsid w:val="00570E23"/>
    <w:rsid w:val="005742C3"/>
    <w:rsid w:val="005761E7"/>
    <w:rsid w:val="0057664A"/>
    <w:rsid w:val="0057681E"/>
    <w:rsid w:val="005846FF"/>
    <w:rsid w:val="00587317"/>
    <w:rsid w:val="00587E67"/>
    <w:rsid w:val="005905E0"/>
    <w:rsid w:val="0059368E"/>
    <w:rsid w:val="0059383B"/>
    <w:rsid w:val="00595B18"/>
    <w:rsid w:val="0059748E"/>
    <w:rsid w:val="005975D5"/>
    <w:rsid w:val="00597814"/>
    <w:rsid w:val="005A200B"/>
    <w:rsid w:val="005A207A"/>
    <w:rsid w:val="005A36DD"/>
    <w:rsid w:val="005A5DF9"/>
    <w:rsid w:val="005A697F"/>
    <w:rsid w:val="005B17A8"/>
    <w:rsid w:val="005B687A"/>
    <w:rsid w:val="005B6914"/>
    <w:rsid w:val="005C12B8"/>
    <w:rsid w:val="005C1F68"/>
    <w:rsid w:val="005C2C76"/>
    <w:rsid w:val="005C4B7B"/>
    <w:rsid w:val="005C64FD"/>
    <w:rsid w:val="005D077D"/>
    <w:rsid w:val="005D1087"/>
    <w:rsid w:val="005E0625"/>
    <w:rsid w:val="005E406B"/>
    <w:rsid w:val="005E4D43"/>
    <w:rsid w:val="005E68B9"/>
    <w:rsid w:val="005E73E9"/>
    <w:rsid w:val="005E758D"/>
    <w:rsid w:val="005F014A"/>
    <w:rsid w:val="005F06CE"/>
    <w:rsid w:val="005F0FBD"/>
    <w:rsid w:val="005F1701"/>
    <w:rsid w:val="005F4898"/>
    <w:rsid w:val="005F605F"/>
    <w:rsid w:val="00602D45"/>
    <w:rsid w:val="006039D8"/>
    <w:rsid w:val="00605A27"/>
    <w:rsid w:val="00607289"/>
    <w:rsid w:val="0061316A"/>
    <w:rsid w:val="006142CA"/>
    <w:rsid w:val="0061550D"/>
    <w:rsid w:val="00617060"/>
    <w:rsid w:val="00617F58"/>
    <w:rsid w:val="0062398D"/>
    <w:rsid w:val="006302BB"/>
    <w:rsid w:val="00633F70"/>
    <w:rsid w:val="00634670"/>
    <w:rsid w:val="00634D9C"/>
    <w:rsid w:val="00636CDC"/>
    <w:rsid w:val="0063757E"/>
    <w:rsid w:val="00637AB3"/>
    <w:rsid w:val="0064190D"/>
    <w:rsid w:val="00653B4C"/>
    <w:rsid w:val="006556F7"/>
    <w:rsid w:val="0066010B"/>
    <w:rsid w:val="006606F1"/>
    <w:rsid w:val="0066318F"/>
    <w:rsid w:val="00666519"/>
    <w:rsid w:val="00671EC0"/>
    <w:rsid w:val="0067311C"/>
    <w:rsid w:val="0067551A"/>
    <w:rsid w:val="00680914"/>
    <w:rsid w:val="00681676"/>
    <w:rsid w:val="00682B55"/>
    <w:rsid w:val="00691F0B"/>
    <w:rsid w:val="00695F7D"/>
    <w:rsid w:val="006A25BC"/>
    <w:rsid w:val="006A386D"/>
    <w:rsid w:val="006A3E97"/>
    <w:rsid w:val="006A5F7B"/>
    <w:rsid w:val="006B5B42"/>
    <w:rsid w:val="006C54A4"/>
    <w:rsid w:val="006D0401"/>
    <w:rsid w:val="006D15DE"/>
    <w:rsid w:val="006D3246"/>
    <w:rsid w:val="006D7EBC"/>
    <w:rsid w:val="006E28AA"/>
    <w:rsid w:val="006E5C4F"/>
    <w:rsid w:val="006F2203"/>
    <w:rsid w:val="00700612"/>
    <w:rsid w:val="00700889"/>
    <w:rsid w:val="00704CC6"/>
    <w:rsid w:val="00705092"/>
    <w:rsid w:val="007076D1"/>
    <w:rsid w:val="00723451"/>
    <w:rsid w:val="00726CB2"/>
    <w:rsid w:val="007279EE"/>
    <w:rsid w:val="0073165E"/>
    <w:rsid w:val="00733AC2"/>
    <w:rsid w:val="007400B7"/>
    <w:rsid w:val="00740476"/>
    <w:rsid w:val="007411EA"/>
    <w:rsid w:val="00741DA0"/>
    <w:rsid w:val="0074408E"/>
    <w:rsid w:val="00744874"/>
    <w:rsid w:val="00751076"/>
    <w:rsid w:val="00761DE3"/>
    <w:rsid w:val="00765D74"/>
    <w:rsid w:val="007666CE"/>
    <w:rsid w:val="00767574"/>
    <w:rsid w:val="00771F50"/>
    <w:rsid w:val="007725A9"/>
    <w:rsid w:val="00773C72"/>
    <w:rsid w:val="00780470"/>
    <w:rsid w:val="00781742"/>
    <w:rsid w:val="0078367B"/>
    <w:rsid w:val="00785DD5"/>
    <w:rsid w:val="0078666D"/>
    <w:rsid w:val="007932EC"/>
    <w:rsid w:val="0079702A"/>
    <w:rsid w:val="007A3C6C"/>
    <w:rsid w:val="007A3ED7"/>
    <w:rsid w:val="007A42D8"/>
    <w:rsid w:val="007A5901"/>
    <w:rsid w:val="007A6444"/>
    <w:rsid w:val="007C07E6"/>
    <w:rsid w:val="007C2269"/>
    <w:rsid w:val="007C47D2"/>
    <w:rsid w:val="007C49F1"/>
    <w:rsid w:val="007C5A39"/>
    <w:rsid w:val="007D0D18"/>
    <w:rsid w:val="007D1210"/>
    <w:rsid w:val="007D540B"/>
    <w:rsid w:val="007D6E1A"/>
    <w:rsid w:val="007D7A58"/>
    <w:rsid w:val="007D7D95"/>
    <w:rsid w:val="007E1A6D"/>
    <w:rsid w:val="007E1D42"/>
    <w:rsid w:val="007E3D54"/>
    <w:rsid w:val="007E42BD"/>
    <w:rsid w:val="007F301C"/>
    <w:rsid w:val="007F3953"/>
    <w:rsid w:val="00805426"/>
    <w:rsid w:val="0080598F"/>
    <w:rsid w:val="00812C92"/>
    <w:rsid w:val="00817DCB"/>
    <w:rsid w:val="00821BEE"/>
    <w:rsid w:val="00823744"/>
    <w:rsid w:val="008275B5"/>
    <w:rsid w:val="008301AE"/>
    <w:rsid w:val="00830ECE"/>
    <w:rsid w:val="00832FB3"/>
    <w:rsid w:val="00833E18"/>
    <w:rsid w:val="008366B1"/>
    <w:rsid w:val="00837555"/>
    <w:rsid w:val="008434B1"/>
    <w:rsid w:val="00844B97"/>
    <w:rsid w:val="00844C2D"/>
    <w:rsid w:val="0085591B"/>
    <w:rsid w:val="00871263"/>
    <w:rsid w:val="00871D89"/>
    <w:rsid w:val="00872E6D"/>
    <w:rsid w:val="008768A1"/>
    <w:rsid w:val="00883BFF"/>
    <w:rsid w:val="0088564B"/>
    <w:rsid w:val="00885885"/>
    <w:rsid w:val="00890EB8"/>
    <w:rsid w:val="00891AEC"/>
    <w:rsid w:val="00892109"/>
    <w:rsid w:val="00892855"/>
    <w:rsid w:val="008956A4"/>
    <w:rsid w:val="00895814"/>
    <w:rsid w:val="00897B09"/>
    <w:rsid w:val="00897F9E"/>
    <w:rsid w:val="008A1E30"/>
    <w:rsid w:val="008A69E7"/>
    <w:rsid w:val="008B2481"/>
    <w:rsid w:val="008B3E49"/>
    <w:rsid w:val="008B432C"/>
    <w:rsid w:val="008B5044"/>
    <w:rsid w:val="008B567A"/>
    <w:rsid w:val="008C08EA"/>
    <w:rsid w:val="008C10A1"/>
    <w:rsid w:val="008C4EDF"/>
    <w:rsid w:val="008C5BF8"/>
    <w:rsid w:val="008C63F9"/>
    <w:rsid w:val="008C7D45"/>
    <w:rsid w:val="008D1573"/>
    <w:rsid w:val="008D5907"/>
    <w:rsid w:val="008D5A65"/>
    <w:rsid w:val="008E7C34"/>
    <w:rsid w:val="008F0FD8"/>
    <w:rsid w:val="008F11D9"/>
    <w:rsid w:val="008F140B"/>
    <w:rsid w:val="008F641A"/>
    <w:rsid w:val="00900140"/>
    <w:rsid w:val="00902D3D"/>
    <w:rsid w:val="00902F9A"/>
    <w:rsid w:val="0090384B"/>
    <w:rsid w:val="00903C9B"/>
    <w:rsid w:val="00904481"/>
    <w:rsid w:val="009137BB"/>
    <w:rsid w:val="00915317"/>
    <w:rsid w:val="009171D8"/>
    <w:rsid w:val="009230D6"/>
    <w:rsid w:val="0093141A"/>
    <w:rsid w:val="00937964"/>
    <w:rsid w:val="00942AEB"/>
    <w:rsid w:val="00942C81"/>
    <w:rsid w:val="00943E52"/>
    <w:rsid w:val="00947D7E"/>
    <w:rsid w:val="0095023B"/>
    <w:rsid w:val="009508BF"/>
    <w:rsid w:val="009509CE"/>
    <w:rsid w:val="00954BE9"/>
    <w:rsid w:val="00954CBE"/>
    <w:rsid w:val="009577F4"/>
    <w:rsid w:val="009578AE"/>
    <w:rsid w:val="00963E0B"/>
    <w:rsid w:val="009646EE"/>
    <w:rsid w:val="00972BB0"/>
    <w:rsid w:val="00973B70"/>
    <w:rsid w:val="00974408"/>
    <w:rsid w:val="0097683C"/>
    <w:rsid w:val="00977761"/>
    <w:rsid w:val="009826B5"/>
    <w:rsid w:val="00985A67"/>
    <w:rsid w:val="00995664"/>
    <w:rsid w:val="00995A5F"/>
    <w:rsid w:val="009A1D24"/>
    <w:rsid w:val="009A2AF1"/>
    <w:rsid w:val="009B2C6F"/>
    <w:rsid w:val="009B45F0"/>
    <w:rsid w:val="009B6FCE"/>
    <w:rsid w:val="009C079E"/>
    <w:rsid w:val="009C4031"/>
    <w:rsid w:val="009C74F8"/>
    <w:rsid w:val="009D3562"/>
    <w:rsid w:val="009E123C"/>
    <w:rsid w:val="009E298A"/>
    <w:rsid w:val="009E2E86"/>
    <w:rsid w:val="009E515D"/>
    <w:rsid w:val="009F0F5D"/>
    <w:rsid w:val="009F7C26"/>
    <w:rsid w:val="00A00074"/>
    <w:rsid w:val="00A0234F"/>
    <w:rsid w:val="00A0550D"/>
    <w:rsid w:val="00A1355C"/>
    <w:rsid w:val="00A14BE6"/>
    <w:rsid w:val="00A14FD1"/>
    <w:rsid w:val="00A17C3E"/>
    <w:rsid w:val="00A267C1"/>
    <w:rsid w:val="00A27F5D"/>
    <w:rsid w:val="00A30A5F"/>
    <w:rsid w:val="00A35EF8"/>
    <w:rsid w:val="00A376A7"/>
    <w:rsid w:val="00A50E1D"/>
    <w:rsid w:val="00A536B7"/>
    <w:rsid w:val="00A53CE6"/>
    <w:rsid w:val="00A607DB"/>
    <w:rsid w:val="00A60C9B"/>
    <w:rsid w:val="00A61370"/>
    <w:rsid w:val="00A6428D"/>
    <w:rsid w:val="00A71B74"/>
    <w:rsid w:val="00A72F32"/>
    <w:rsid w:val="00A73E9A"/>
    <w:rsid w:val="00A743E8"/>
    <w:rsid w:val="00A77BB5"/>
    <w:rsid w:val="00A83974"/>
    <w:rsid w:val="00A83F04"/>
    <w:rsid w:val="00A85AEE"/>
    <w:rsid w:val="00A86D14"/>
    <w:rsid w:val="00A9105B"/>
    <w:rsid w:val="00A922B5"/>
    <w:rsid w:val="00A9499D"/>
    <w:rsid w:val="00A95A14"/>
    <w:rsid w:val="00A95CF7"/>
    <w:rsid w:val="00AA00D5"/>
    <w:rsid w:val="00AA36D9"/>
    <w:rsid w:val="00AA3A2F"/>
    <w:rsid w:val="00AA664A"/>
    <w:rsid w:val="00AB251E"/>
    <w:rsid w:val="00AB3507"/>
    <w:rsid w:val="00AB770D"/>
    <w:rsid w:val="00AC2B02"/>
    <w:rsid w:val="00AC7EFB"/>
    <w:rsid w:val="00AD5405"/>
    <w:rsid w:val="00AE0987"/>
    <w:rsid w:val="00AE4385"/>
    <w:rsid w:val="00AE482D"/>
    <w:rsid w:val="00AE5365"/>
    <w:rsid w:val="00AE58CA"/>
    <w:rsid w:val="00AF0FBB"/>
    <w:rsid w:val="00AF26BE"/>
    <w:rsid w:val="00AF4902"/>
    <w:rsid w:val="00AF4B42"/>
    <w:rsid w:val="00AF4F32"/>
    <w:rsid w:val="00AF5A0F"/>
    <w:rsid w:val="00AF5E96"/>
    <w:rsid w:val="00B00C0E"/>
    <w:rsid w:val="00B017D3"/>
    <w:rsid w:val="00B0258D"/>
    <w:rsid w:val="00B03397"/>
    <w:rsid w:val="00B1020B"/>
    <w:rsid w:val="00B11F06"/>
    <w:rsid w:val="00B1266F"/>
    <w:rsid w:val="00B14780"/>
    <w:rsid w:val="00B1600F"/>
    <w:rsid w:val="00B17B56"/>
    <w:rsid w:val="00B23E0F"/>
    <w:rsid w:val="00B331F3"/>
    <w:rsid w:val="00B35EFB"/>
    <w:rsid w:val="00B363C3"/>
    <w:rsid w:val="00B41FDA"/>
    <w:rsid w:val="00B42816"/>
    <w:rsid w:val="00B42F09"/>
    <w:rsid w:val="00B45FC2"/>
    <w:rsid w:val="00B46174"/>
    <w:rsid w:val="00B46F72"/>
    <w:rsid w:val="00B55D97"/>
    <w:rsid w:val="00B62238"/>
    <w:rsid w:val="00B62374"/>
    <w:rsid w:val="00B6252A"/>
    <w:rsid w:val="00B63149"/>
    <w:rsid w:val="00B63A49"/>
    <w:rsid w:val="00B703CB"/>
    <w:rsid w:val="00B70B20"/>
    <w:rsid w:val="00B719F3"/>
    <w:rsid w:val="00B71D85"/>
    <w:rsid w:val="00B72711"/>
    <w:rsid w:val="00B72D56"/>
    <w:rsid w:val="00B73046"/>
    <w:rsid w:val="00B736F0"/>
    <w:rsid w:val="00B7610B"/>
    <w:rsid w:val="00B76365"/>
    <w:rsid w:val="00B77BED"/>
    <w:rsid w:val="00B8458E"/>
    <w:rsid w:val="00B861C5"/>
    <w:rsid w:val="00B86B96"/>
    <w:rsid w:val="00B9362B"/>
    <w:rsid w:val="00B96D34"/>
    <w:rsid w:val="00B97DC4"/>
    <w:rsid w:val="00BA00F8"/>
    <w:rsid w:val="00BB07DF"/>
    <w:rsid w:val="00BB3260"/>
    <w:rsid w:val="00BB34B8"/>
    <w:rsid w:val="00BC0C70"/>
    <w:rsid w:val="00BC0FBD"/>
    <w:rsid w:val="00BC1D83"/>
    <w:rsid w:val="00BC4C6B"/>
    <w:rsid w:val="00BC53DA"/>
    <w:rsid w:val="00BC60E7"/>
    <w:rsid w:val="00BD3F01"/>
    <w:rsid w:val="00BD460B"/>
    <w:rsid w:val="00BD5BF6"/>
    <w:rsid w:val="00BD738D"/>
    <w:rsid w:val="00BD7779"/>
    <w:rsid w:val="00BD7E7E"/>
    <w:rsid w:val="00BE5896"/>
    <w:rsid w:val="00BE6690"/>
    <w:rsid w:val="00BF0A45"/>
    <w:rsid w:val="00BF31FA"/>
    <w:rsid w:val="00BF5E4A"/>
    <w:rsid w:val="00C01F75"/>
    <w:rsid w:val="00C07ED7"/>
    <w:rsid w:val="00C07F6E"/>
    <w:rsid w:val="00C159C4"/>
    <w:rsid w:val="00C2023C"/>
    <w:rsid w:val="00C21D34"/>
    <w:rsid w:val="00C22077"/>
    <w:rsid w:val="00C23FFC"/>
    <w:rsid w:val="00C31EFC"/>
    <w:rsid w:val="00C34970"/>
    <w:rsid w:val="00C425BD"/>
    <w:rsid w:val="00C43FCD"/>
    <w:rsid w:val="00C457D7"/>
    <w:rsid w:val="00C459F1"/>
    <w:rsid w:val="00C50131"/>
    <w:rsid w:val="00C6148C"/>
    <w:rsid w:val="00C77D8A"/>
    <w:rsid w:val="00C812E3"/>
    <w:rsid w:val="00C82F75"/>
    <w:rsid w:val="00C90056"/>
    <w:rsid w:val="00C900B7"/>
    <w:rsid w:val="00C90F29"/>
    <w:rsid w:val="00CA31D4"/>
    <w:rsid w:val="00CA78A5"/>
    <w:rsid w:val="00CB483A"/>
    <w:rsid w:val="00CB5BDD"/>
    <w:rsid w:val="00CB72F6"/>
    <w:rsid w:val="00CB7421"/>
    <w:rsid w:val="00CC000F"/>
    <w:rsid w:val="00CC07D0"/>
    <w:rsid w:val="00CC099F"/>
    <w:rsid w:val="00CC221A"/>
    <w:rsid w:val="00CC7335"/>
    <w:rsid w:val="00CC76A8"/>
    <w:rsid w:val="00CD2853"/>
    <w:rsid w:val="00CD6CD3"/>
    <w:rsid w:val="00CD7710"/>
    <w:rsid w:val="00CD7EB3"/>
    <w:rsid w:val="00CE02AE"/>
    <w:rsid w:val="00CE300C"/>
    <w:rsid w:val="00CE5A2C"/>
    <w:rsid w:val="00CF0D5A"/>
    <w:rsid w:val="00CF2FAD"/>
    <w:rsid w:val="00CF5F09"/>
    <w:rsid w:val="00CF633A"/>
    <w:rsid w:val="00D01643"/>
    <w:rsid w:val="00D021C3"/>
    <w:rsid w:val="00D0406F"/>
    <w:rsid w:val="00D05149"/>
    <w:rsid w:val="00D057BE"/>
    <w:rsid w:val="00D10A75"/>
    <w:rsid w:val="00D21B7F"/>
    <w:rsid w:val="00D22A5E"/>
    <w:rsid w:val="00D22F75"/>
    <w:rsid w:val="00D33374"/>
    <w:rsid w:val="00D37D09"/>
    <w:rsid w:val="00D40695"/>
    <w:rsid w:val="00D46C81"/>
    <w:rsid w:val="00D52957"/>
    <w:rsid w:val="00D54F53"/>
    <w:rsid w:val="00D56140"/>
    <w:rsid w:val="00D61C9A"/>
    <w:rsid w:val="00D65241"/>
    <w:rsid w:val="00D843E4"/>
    <w:rsid w:val="00D844A8"/>
    <w:rsid w:val="00D852E9"/>
    <w:rsid w:val="00D904A7"/>
    <w:rsid w:val="00D90DE7"/>
    <w:rsid w:val="00D91A1A"/>
    <w:rsid w:val="00D95147"/>
    <w:rsid w:val="00DA43CB"/>
    <w:rsid w:val="00DB0506"/>
    <w:rsid w:val="00DB13CE"/>
    <w:rsid w:val="00DB2601"/>
    <w:rsid w:val="00DC295A"/>
    <w:rsid w:val="00DC648F"/>
    <w:rsid w:val="00DD2AC2"/>
    <w:rsid w:val="00DD3A02"/>
    <w:rsid w:val="00DD5529"/>
    <w:rsid w:val="00DD5698"/>
    <w:rsid w:val="00DE20C9"/>
    <w:rsid w:val="00DE400E"/>
    <w:rsid w:val="00DE698C"/>
    <w:rsid w:val="00DE6D2C"/>
    <w:rsid w:val="00DE78EA"/>
    <w:rsid w:val="00DE7B9D"/>
    <w:rsid w:val="00DF1141"/>
    <w:rsid w:val="00DF2ADD"/>
    <w:rsid w:val="00DF3722"/>
    <w:rsid w:val="00DF5BD4"/>
    <w:rsid w:val="00DF6FF4"/>
    <w:rsid w:val="00E0164B"/>
    <w:rsid w:val="00E0296A"/>
    <w:rsid w:val="00E03C28"/>
    <w:rsid w:val="00E069D6"/>
    <w:rsid w:val="00E07597"/>
    <w:rsid w:val="00E17FFC"/>
    <w:rsid w:val="00E20B33"/>
    <w:rsid w:val="00E21C5B"/>
    <w:rsid w:val="00E2683F"/>
    <w:rsid w:val="00E301E6"/>
    <w:rsid w:val="00E32718"/>
    <w:rsid w:val="00E33D79"/>
    <w:rsid w:val="00E41803"/>
    <w:rsid w:val="00E42ACF"/>
    <w:rsid w:val="00E43017"/>
    <w:rsid w:val="00E43B85"/>
    <w:rsid w:val="00E43C1A"/>
    <w:rsid w:val="00E50E53"/>
    <w:rsid w:val="00E51457"/>
    <w:rsid w:val="00E542AB"/>
    <w:rsid w:val="00E546FC"/>
    <w:rsid w:val="00E5515B"/>
    <w:rsid w:val="00E62A1D"/>
    <w:rsid w:val="00E633D1"/>
    <w:rsid w:val="00E64591"/>
    <w:rsid w:val="00E65AC4"/>
    <w:rsid w:val="00E66D17"/>
    <w:rsid w:val="00E700C5"/>
    <w:rsid w:val="00E769AA"/>
    <w:rsid w:val="00E80A7F"/>
    <w:rsid w:val="00E80E06"/>
    <w:rsid w:val="00E913CD"/>
    <w:rsid w:val="00E9424C"/>
    <w:rsid w:val="00EA0C2C"/>
    <w:rsid w:val="00EA1136"/>
    <w:rsid w:val="00EA32D8"/>
    <w:rsid w:val="00EA7BFE"/>
    <w:rsid w:val="00EB05B1"/>
    <w:rsid w:val="00EB66DB"/>
    <w:rsid w:val="00EB674A"/>
    <w:rsid w:val="00EB6D32"/>
    <w:rsid w:val="00EC010C"/>
    <w:rsid w:val="00EC6017"/>
    <w:rsid w:val="00ED080D"/>
    <w:rsid w:val="00ED1076"/>
    <w:rsid w:val="00ED3FB7"/>
    <w:rsid w:val="00ED5D48"/>
    <w:rsid w:val="00ED60FC"/>
    <w:rsid w:val="00ED6955"/>
    <w:rsid w:val="00ED6A88"/>
    <w:rsid w:val="00EE03B4"/>
    <w:rsid w:val="00EE20E2"/>
    <w:rsid w:val="00EE2206"/>
    <w:rsid w:val="00EE3601"/>
    <w:rsid w:val="00EE5A31"/>
    <w:rsid w:val="00EE63D1"/>
    <w:rsid w:val="00EF1DA5"/>
    <w:rsid w:val="00F00FC7"/>
    <w:rsid w:val="00F0221F"/>
    <w:rsid w:val="00F04076"/>
    <w:rsid w:val="00F04DA9"/>
    <w:rsid w:val="00F12ACC"/>
    <w:rsid w:val="00F20B18"/>
    <w:rsid w:val="00F245C2"/>
    <w:rsid w:val="00F2516E"/>
    <w:rsid w:val="00F256B9"/>
    <w:rsid w:val="00F27EC9"/>
    <w:rsid w:val="00F33060"/>
    <w:rsid w:val="00F335F7"/>
    <w:rsid w:val="00F354C6"/>
    <w:rsid w:val="00F35E35"/>
    <w:rsid w:val="00F369AF"/>
    <w:rsid w:val="00F37ED8"/>
    <w:rsid w:val="00F40EF7"/>
    <w:rsid w:val="00F44151"/>
    <w:rsid w:val="00F4427C"/>
    <w:rsid w:val="00F50231"/>
    <w:rsid w:val="00F50C4D"/>
    <w:rsid w:val="00F52310"/>
    <w:rsid w:val="00F550A6"/>
    <w:rsid w:val="00F6499D"/>
    <w:rsid w:val="00F64ACE"/>
    <w:rsid w:val="00F65424"/>
    <w:rsid w:val="00F72F9F"/>
    <w:rsid w:val="00F734E2"/>
    <w:rsid w:val="00F754A0"/>
    <w:rsid w:val="00F83632"/>
    <w:rsid w:val="00F84C58"/>
    <w:rsid w:val="00F85EAC"/>
    <w:rsid w:val="00F900EA"/>
    <w:rsid w:val="00F95523"/>
    <w:rsid w:val="00F97F21"/>
    <w:rsid w:val="00FA45EE"/>
    <w:rsid w:val="00FA61D1"/>
    <w:rsid w:val="00FA61DD"/>
    <w:rsid w:val="00FB0B92"/>
    <w:rsid w:val="00FB27DA"/>
    <w:rsid w:val="00FB41F0"/>
    <w:rsid w:val="00FB4816"/>
    <w:rsid w:val="00FB79FB"/>
    <w:rsid w:val="00FC1FAC"/>
    <w:rsid w:val="00FC2C15"/>
    <w:rsid w:val="00FC5080"/>
    <w:rsid w:val="00FD0DD6"/>
    <w:rsid w:val="00FD196E"/>
    <w:rsid w:val="00FD26DF"/>
    <w:rsid w:val="00FD32DC"/>
    <w:rsid w:val="00FD5671"/>
    <w:rsid w:val="00FE0C5D"/>
    <w:rsid w:val="00FE2E6F"/>
    <w:rsid w:val="00FE7E98"/>
    <w:rsid w:val="00FF04C6"/>
    <w:rsid w:val="00FF0D95"/>
    <w:rsid w:val="00FF3B7A"/>
    <w:rsid w:val="00FF48ED"/>
    <w:rsid w:val="6E88BE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861C1"/>
  <w15:chartTrackingRefBased/>
  <w15:docId w15:val="{451FFF7B-1906-47C3-BFF9-F582B51D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B4"/>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EE03B4"/>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36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6D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03B4"/>
    <w:rPr>
      <w:rFonts w:asciiTheme="majorHAnsi" w:eastAsiaTheme="majorEastAsia" w:hAnsiTheme="majorHAnsi" w:cstheme="majorBidi"/>
      <w:color w:val="2E74B5" w:themeColor="accent1" w:themeShade="BF"/>
      <w:sz w:val="32"/>
      <w:szCs w:val="32"/>
    </w:rPr>
  </w:style>
  <w:style w:type="paragraph" w:customStyle="1" w:styleId="Default">
    <w:name w:val="Default"/>
    <w:rsid w:val="00EE03B4"/>
    <w:pPr>
      <w:autoSpaceDE w:val="0"/>
      <w:autoSpaceDN w:val="0"/>
      <w:adjustRightInd w:val="0"/>
      <w:spacing w:after="0" w:line="240" w:lineRule="auto"/>
    </w:pPr>
    <w:rPr>
      <w:rFonts w:ascii="Segoe UI" w:eastAsiaTheme="minorEastAsia" w:hAnsi="Segoe UI" w:cs="Segoe UI"/>
      <w:color w:val="000000"/>
      <w:sz w:val="24"/>
      <w:szCs w:val="24"/>
    </w:rPr>
  </w:style>
  <w:style w:type="paragraph" w:styleId="Header">
    <w:name w:val="header"/>
    <w:basedOn w:val="Normal"/>
    <w:link w:val="HeaderChar"/>
    <w:uiPriority w:val="99"/>
    <w:unhideWhenUsed/>
    <w:rsid w:val="00EE0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3B4"/>
    <w:rPr>
      <w:rFonts w:eastAsiaTheme="minorEastAsia"/>
      <w:sz w:val="20"/>
      <w:szCs w:val="20"/>
    </w:rPr>
  </w:style>
  <w:style w:type="paragraph" w:styleId="Footer">
    <w:name w:val="footer"/>
    <w:basedOn w:val="Normal"/>
    <w:link w:val="FooterChar"/>
    <w:uiPriority w:val="99"/>
    <w:unhideWhenUsed/>
    <w:rsid w:val="00EE0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B4"/>
    <w:rPr>
      <w:rFonts w:eastAsiaTheme="minorEastAsia"/>
      <w:sz w:val="20"/>
      <w:szCs w:val="20"/>
    </w:rPr>
  </w:style>
  <w:style w:type="paragraph" w:styleId="NoSpacing">
    <w:name w:val="No Spacing"/>
    <w:link w:val="NoSpacingChar"/>
    <w:uiPriority w:val="1"/>
    <w:qFormat/>
    <w:rsid w:val="00EE03B4"/>
    <w:pPr>
      <w:spacing w:after="0" w:line="240" w:lineRule="auto"/>
    </w:pPr>
    <w:rPr>
      <w:rFonts w:eastAsiaTheme="minorEastAsia"/>
    </w:rPr>
  </w:style>
  <w:style w:type="character" w:customStyle="1" w:styleId="NoSpacingChar">
    <w:name w:val="No Spacing Char"/>
    <w:basedOn w:val="DefaultParagraphFont"/>
    <w:link w:val="NoSpacing"/>
    <w:uiPriority w:val="1"/>
    <w:rsid w:val="00EE03B4"/>
    <w:rPr>
      <w:rFonts w:eastAsiaTheme="minorEastAsia"/>
    </w:rPr>
  </w:style>
  <w:style w:type="character" w:customStyle="1" w:styleId="Heading3Char">
    <w:name w:val="Heading 3 Char"/>
    <w:basedOn w:val="DefaultParagraphFont"/>
    <w:link w:val="Heading3"/>
    <w:uiPriority w:val="9"/>
    <w:rsid w:val="00DE6D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DE6D2C"/>
    <w:rPr>
      <w:color w:val="0563C1" w:themeColor="hyperlink"/>
      <w:u w:val="single"/>
    </w:rPr>
  </w:style>
  <w:style w:type="paragraph" w:customStyle="1" w:styleId="iTS-BodyText">
    <w:name w:val="!iTS - Body Text"/>
    <w:basedOn w:val="Normal"/>
    <w:link w:val="iTS-BodyTextChar"/>
    <w:rsid w:val="00DE6D2C"/>
    <w:pPr>
      <w:spacing w:after="40" w:line="240" w:lineRule="auto"/>
    </w:pPr>
    <w:rPr>
      <w:rFonts w:ascii="Arial" w:eastAsia="MS Mincho" w:hAnsi="Arial" w:cs="Times New Roman"/>
      <w:sz w:val="16"/>
      <w:szCs w:val="18"/>
    </w:rPr>
  </w:style>
  <w:style w:type="character" w:customStyle="1" w:styleId="iTS-BodyTextChar">
    <w:name w:val="!iTS - Body Text Char"/>
    <w:link w:val="iTS-BodyText"/>
    <w:rsid w:val="00DE6D2C"/>
    <w:rPr>
      <w:rFonts w:ascii="Arial" w:eastAsia="MS Mincho" w:hAnsi="Arial" w:cs="Times New Roman"/>
      <w:sz w:val="16"/>
      <w:szCs w:val="18"/>
    </w:rPr>
  </w:style>
  <w:style w:type="character" w:customStyle="1" w:styleId="Heading2Char">
    <w:name w:val="Heading 2 Char"/>
    <w:basedOn w:val="DefaultParagraphFont"/>
    <w:link w:val="Heading2"/>
    <w:rsid w:val="00313609"/>
    <w:rPr>
      <w:rFonts w:asciiTheme="majorHAnsi" w:eastAsiaTheme="majorEastAsia" w:hAnsiTheme="majorHAnsi" w:cstheme="majorBidi"/>
      <w:color w:val="2E74B5" w:themeColor="accent1" w:themeShade="BF"/>
      <w:sz w:val="26"/>
      <w:szCs w:val="26"/>
    </w:rPr>
  </w:style>
  <w:style w:type="paragraph" w:styleId="ListParagraph">
    <w:name w:val="List Paragraph"/>
    <w:aliases w:val="lp1,List Paragraph1,List Paragraph Char Char,b1,Number_1,List Paragraph11,List Paragraph2,Normal Sentence,Colorful List - Accent 11,new,SGLText List Paragraph,ListPar1,List Paragraph21,list1,Bullet 1,Use Case List Paragraph,Heading2,列出段落"/>
    <w:basedOn w:val="Normal"/>
    <w:link w:val="ListParagraphChar"/>
    <w:uiPriority w:val="34"/>
    <w:qFormat/>
    <w:rsid w:val="00313609"/>
    <w:pPr>
      <w:ind w:left="720"/>
      <w:contextualSpacing/>
    </w:pPr>
  </w:style>
  <w:style w:type="table" w:styleId="GridTable1Light-Accent3">
    <w:name w:val="Grid Table 1 Light Accent 3"/>
    <w:basedOn w:val="TableNormal"/>
    <w:uiPriority w:val="46"/>
    <w:rsid w:val="00313609"/>
    <w:pPr>
      <w:spacing w:after="0" w:line="240" w:lineRule="auto"/>
      <w:jc w:val="both"/>
    </w:pPr>
    <w:rPr>
      <w:rFonts w:eastAsiaTheme="minorEastAsia"/>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45FAD"/>
    <w:pPr>
      <w:spacing w:before="240" w:line="259" w:lineRule="auto"/>
      <w:outlineLvl w:val="9"/>
    </w:pPr>
  </w:style>
  <w:style w:type="paragraph" w:styleId="TOC1">
    <w:name w:val="toc 1"/>
    <w:basedOn w:val="Normal"/>
    <w:next w:val="Normal"/>
    <w:autoRedefine/>
    <w:uiPriority w:val="39"/>
    <w:unhideWhenUsed/>
    <w:rsid w:val="00145FAD"/>
    <w:pPr>
      <w:spacing w:after="100"/>
    </w:pPr>
  </w:style>
  <w:style w:type="paragraph" w:styleId="TOC3">
    <w:name w:val="toc 3"/>
    <w:basedOn w:val="Normal"/>
    <w:next w:val="Normal"/>
    <w:autoRedefine/>
    <w:uiPriority w:val="39"/>
    <w:unhideWhenUsed/>
    <w:rsid w:val="00145FAD"/>
    <w:pPr>
      <w:spacing w:after="100"/>
      <w:ind w:left="400"/>
    </w:pPr>
  </w:style>
  <w:style w:type="paragraph" w:customStyle="1" w:styleId="StyleBlueRight004Before3ptAfter72ptExpanded">
    <w:name w:val="Style Blue Right:  0.04&quot; Before:  3 pt After:  7.2 pt Expanded ..."/>
    <w:basedOn w:val="Normal"/>
    <w:rsid w:val="007725A9"/>
    <w:pPr>
      <w:spacing w:before="60" w:line="276" w:lineRule="auto"/>
      <w:ind w:right="58"/>
    </w:pPr>
    <w:rPr>
      <w:rFonts w:ascii="Trebuchet MS" w:eastAsia="Times New Roman" w:hAnsi="Trebuchet MS" w:cs="Times New Roman"/>
      <w:color w:val="0000FF"/>
      <w:spacing w:val="6"/>
      <w:sz w:val="22"/>
    </w:rPr>
  </w:style>
  <w:style w:type="character" w:customStyle="1" w:styleId="ListParagraphChar">
    <w:name w:val="List Paragraph Char"/>
    <w:aliases w:val="lp1 Char,List Paragraph1 Char,List Paragraph Char Char Char,b1 Char,Number_1 Char,List Paragraph11 Char,List Paragraph2 Char,Normal Sentence Char,Colorful List - Accent 11 Char,new Char,SGLText List Paragraph Char,ListPar1 Char"/>
    <w:link w:val="ListParagraph"/>
    <w:uiPriority w:val="34"/>
    <w:qFormat/>
    <w:locked/>
    <w:rsid w:val="007725A9"/>
    <w:rPr>
      <w:rFonts w:eastAsiaTheme="minorEastAsia"/>
      <w:sz w:val="20"/>
      <w:szCs w:val="20"/>
    </w:rPr>
  </w:style>
  <w:style w:type="paragraph" w:customStyle="1" w:styleId="lf-text-block">
    <w:name w:val="lf-text-block"/>
    <w:basedOn w:val="Normal"/>
    <w:rsid w:val="00331B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f-thread-btn">
    <w:name w:val="lf-thread-btn"/>
    <w:basedOn w:val="DefaultParagraphFont"/>
    <w:rsid w:val="00331B56"/>
  </w:style>
  <w:style w:type="character" w:styleId="Strong">
    <w:name w:val="Strong"/>
    <w:basedOn w:val="DefaultParagraphFont"/>
    <w:uiPriority w:val="22"/>
    <w:qFormat/>
    <w:rsid w:val="00331B56"/>
    <w:rPr>
      <w:b/>
      <w:bCs/>
    </w:rPr>
  </w:style>
  <w:style w:type="table" w:styleId="TableGrid">
    <w:name w:val="Table Grid"/>
    <w:aliases w:val="Tabla Microsoft Servicios,Table Grid (MS Design format)"/>
    <w:basedOn w:val="TableNormal"/>
    <w:uiPriority w:val="39"/>
    <w:rsid w:val="00331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31B56"/>
    <w:rPr>
      <w:i/>
      <w:iCs/>
    </w:rPr>
  </w:style>
  <w:style w:type="paragraph" w:styleId="NormalWeb">
    <w:name w:val="Normal (Web)"/>
    <w:basedOn w:val="Normal"/>
    <w:uiPriority w:val="99"/>
    <w:unhideWhenUsed/>
    <w:rsid w:val="00331B56"/>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5742C3"/>
    <w:pPr>
      <w:spacing w:after="100"/>
      <w:ind w:left="200"/>
    </w:pPr>
  </w:style>
  <w:style w:type="paragraph" w:styleId="BalloonText">
    <w:name w:val="Balloon Text"/>
    <w:basedOn w:val="Normal"/>
    <w:link w:val="BalloonTextChar"/>
    <w:uiPriority w:val="99"/>
    <w:semiHidden/>
    <w:unhideWhenUsed/>
    <w:rsid w:val="0053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158"/>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531158"/>
    <w:rPr>
      <w:color w:val="605E5C"/>
      <w:shd w:val="clear" w:color="auto" w:fill="E1DFDD"/>
    </w:rPr>
  </w:style>
  <w:style w:type="paragraph" w:customStyle="1" w:styleId="BodyMS">
    <w:name w:val="Body MS"/>
    <w:qFormat/>
    <w:rsid w:val="00D91A1A"/>
    <w:pPr>
      <w:spacing w:before="200" w:after="200" w:line="264" w:lineRule="auto"/>
    </w:pPr>
    <w:rPr>
      <w:rFonts w:ascii="Segoe Light" w:hAnsi="Segoe Light"/>
      <w:sz w:val="20"/>
      <w:szCs w:val="20"/>
    </w:rPr>
  </w:style>
  <w:style w:type="character" w:styleId="HTMLCode">
    <w:name w:val="HTML Code"/>
    <w:basedOn w:val="DefaultParagraphFont"/>
    <w:uiPriority w:val="99"/>
    <w:semiHidden/>
    <w:unhideWhenUsed/>
    <w:rsid w:val="003A503C"/>
    <w:rPr>
      <w:rFonts w:ascii="Courier New" w:eastAsia="Times New Roman" w:hAnsi="Courier New" w:cs="Courier New"/>
      <w:sz w:val="20"/>
      <w:szCs w:val="20"/>
    </w:rPr>
  </w:style>
  <w:style w:type="table" w:customStyle="1" w:styleId="TableGrid0">
    <w:name w:val="TableGrid"/>
    <w:rsid w:val="008C4EDF"/>
    <w:pPr>
      <w:spacing w:after="0" w:line="240" w:lineRule="auto"/>
    </w:pPr>
    <w:rPr>
      <w:rFonts w:eastAsiaTheme="minorEastAsia"/>
      <w:lang w:val="en-AE" w:eastAsia="en-AE"/>
    </w:rPr>
    <w:tblPr>
      <w:tblCellMar>
        <w:top w:w="0" w:type="dxa"/>
        <w:left w:w="0" w:type="dxa"/>
        <w:bottom w:w="0" w:type="dxa"/>
        <w:right w:w="0" w:type="dxa"/>
      </w:tblCellMar>
    </w:tblPr>
  </w:style>
  <w:style w:type="table" w:styleId="GridTable4-Accent1">
    <w:name w:val="Grid Table 4 Accent 1"/>
    <w:basedOn w:val="TableNormal"/>
    <w:uiPriority w:val="49"/>
    <w:rsid w:val="00CD7EB3"/>
    <w:pPr>
      <w:spacing w:after="0" w:line="240" w:lineRule="auto"/>
    </w:pPr>
    <w:rPr>
      <w:rFonts w:eastAsiaTheme="minorEastAsia"/>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0739">
      <w:bodyDiv w:val="1"/>
      <w:marLeft w:val="0"/>
      <w:marRight w:val="0"/>
      <w:marTop w:val="0"/>
      <w:marBottom w:val="0"/>
      <w:divBdr>
        <w:top w:val="none" w:sz="0" w:space="0" w:color="auto"/>
        <w:left w:val="none" w:sz="0" w:space="0" w:color="auto"/>
        <w:bottom w:val="none" w:sz="0" w:space="0" w:color="auto"/>
        <w:right w:val="none" w:sz="0" w:space="0" w:color="auto"/>
      </w:divBdr>
    </w:div>
    <w:div w:id="525557580">
      <w:bodyDiv w:val="1"/>
      <w:marLeft w:val="0"/>
      <w:marRight w:val="0"/>
      <w:marTop w:val="0"/>
      <w:marBottom w:val="0"/>
      <w:divBdr>
        <w:top w:val="none" w:sz="0" w:space="0" w:color="auto"/>
        <w:left w:val="none" w:sz="0" w:space="0" w:color="auto"/>
        <w:bottom w:val="none" w:sz="0" w:space="0" w:color="auto"/>
        <w:right w:val="none" w:sz="0" w:space="0" w:color="auto"/>
      </w:divBdr>
    </w:div>
    <w:div w:id="943465347">
      <w:bodyDiv w:val="1"/>
      <w:marLeft w:val="0"/>
      <w:marRight w:val="0"/>
      <w:marTop w:val="0"/>
      <w:marBottom w:val="0"/>
      <w:divBdr>
        <w:top w:val="none" w:sz="0" w:space="0" w:color="auto"/>
        <w:left w:val="none" w:sz="0" w:space="0" w:color="auto"/>
        <w:bottom w:val="none" w:sz="0" w:space="0" w:color="auto"/>
        <w:right w:val="none" w:sz="0" w:space="0" w:color="auto"/>
      </w:divBdr>
      <w:divsChild>
        <w:div w:id="1795783256">
          <w:marLeft w:val="0"/>
          <w:marRight w:val="0"/>
          <w:marTop w:val="0"/>
          <w:marBottom w:val="0"/>
          <w:divBdr>
            <w:top w:val="none" w:sz="0" w:space="0" w:color="auto"/>
            <w:left w:val="none" w:sz="0" w:space="0" w:color="auto"/>
            <w:bottom w:val="none" w:sz="0" w:space="0" w:color="auto"/>
            <w:right w:val="none" w:sz="0" w:space="0" w:color="auto"/>
          </w:divBdr>
        </w:div>
      </w:divsChild>
    </w:div>
    <w:div w:id="1345205751">
      <w:bodyDiv w:val="1"/>
      <w:marLeft w:val="0"/>
      <w:marRight w:val="0"/>
      <w:marTop w:val="0"/>
      <w:marBottom w:val="0"/>
      <w:divBdr>
        <w:top w:val="none" w:sz="0" w:space="0" w:color="auto"/>
        <w:left w:val="none" w:sz="0" w:space="0" w:color="auto"/>
        <w:bottom w:val="none" w:sz="0" w:space="0" w:color="auto"/>
        <w:right w:val="none" w:sz="0" w:space="0" w:color="auto"/>
      </w:divBdr>
    </w:div>
    <w:div w:id="1413354807">
      <w:bodyDiv w:val="1"/>
      <w:marLeft w:val="0"/>
      <w:marRight w:val="0"/>
      <w:marTop w:val="0"/>
      <w:marBottom w:val="0"/>
      <w:divBdr>
        <w:top w:val="none" w:sz="0" w:space="0" w:color="auto"/>
        <w:left w:val="none" w:sz="0" w:space="0" w:color="auto"/>
        <w:bottom w:val="none" w:sz="0" w:space="0" w:color="auto"/>
        <w:right w:val="none" w:sz="0" w:space="0" w:color="auto"/>
      </w:divBdr>
    </w:div>
    <w:div w:id="1481968460">
      <w:bodyDiv w:val="1"/>
      <w:marLeft w:val="0"/>
      <w:marRight w:val="0"/>
      <w:marTop w:val="0"/>
      <w:marBottom w:val="0"/>
      <w:divBdr>
        <w:top w:val="none" w:sz="0" w:space="0" w:color="auto"/>
        <w:left w:val="none" w:sz="0" w:space="0" w:color="auto"/>
        <w:bottom w:val="none" w:sz="0" w:space="0" w:color="auto"/>
        <w:right w:val="none" w:sz="0" w:space="0" w:color="auto"/>
      </w:divBdr>
    </w:div>
    <w:div w:id="1575893600">
      <w:bodyDiv w:val="1"/>
      <w:marLeft w:val="0"/>
      <w:marRight w:val="0"/>
      <w:marTop w:val="0"/>
      <w:marBottom w:val="0"/>
      <w:divBdr>
        <w:top w:val="none" w:sz="0" w:space="0" w:color="auto"/>
        <w:left w:val="none" w:sz="0" w:space="0" w:color="auto"/>
        <w:bottom w:val="none" w:sz="0" w:space="0" w:color="auto"/>
        <w:right w:val="none" w:sz="0" w:space="0" w:color="auto"/>
      </w:divBdr>
      <w:divsChild>
        <w:div w:id="1300497724">
          <w:marLeft w:val="0"/>
          <w:marRight w:val="0"/>
          <w:marTop w:val="0"/>
          <w:marBottom w:val="0"/>
          <w:divBdr>
            <w:top w:val="none" w:sz="0" w:space="0" w:color="auto"/>
            <w:left w:val="none" w:sz="0" w:space="0" w:color="auto"/>
            <w:bottom w:val="none" w:sz="0" w:space="0" w:color="auto"/>
            <w:right w:val="none" w:sz="0" w:space="0" w:color="auto"/>
          </w:divBdr>
        </w:div>
      </w:divsChild>
    </w:div>
    <w:div w:id="1735816819">
      <w:bodyDiv w:val="1"/>
      <w:marLeft w:val="0"/>
      <w:marRight w:val="0"/>
      <w:marTop w:val="0"/>
      <w:marBottom w:val="0"/>
      <w:divBdr>
        <w:top w:val="none" w:sz="0" w:space="0" w:color="auto"/>
        <w:left w:val="none" w:sz="0" w:space="0" w:color="auto"/>
        <w:bottom w:val="none" w:sz="0" w:space="0" w:color="auto"/>
        <w:right w:val="none" w:sz="0" w:space="0" w:color="auto"/>
      </w:divBdr>
      <w:divsChild>
        <w:div w:id="1849558859">
          <w:marLeft w:val="0"/>
          <w:marRight w:val="0"/>
          <w:marTop w:val="0"/>
          <w:marBottom w:val="0"/>
          <w:divBdr>
            <w:top w:val="none" w:sz="0" w:space="0" w:color="auto"/>
            <w:left w:val="none" w:sz="0" w:space="0" w:color="auto"/>
            <w:bottom w:val="none" w:sz="0" w:space="0" w:color="auto"/>
            <w:right w:val="none" w:sz="0" w:space="0" w:color="auto"/>
          </w:divBdr>
        </w:div>
        <w:div w:id="1734281066">
          <w:marLeft w:val="0"/>
          <w:marRight w:val="0"/>
          <w:marTop w:val="0"/>
          <w:marBottom w:val="0"/>
          <w:divBdr>
            <w:top w:val="none" w:sz="0" w:space="0" w:color="auto"/>
            <w:left w:val="none" w:sz="0" w:space="0" w:color="auto"/>
            <w:bottom w:val="none" w:sz="0" w:space="0" w:color="auto"/>
            <w:right w:val="none" w:sz="0" w:space="0" w:color="auto"/>
          </w:divBdr>
        </w:div>
      </w:divsChild>
    </w:div>
    <w:div w:id="1798989676">
      <w:bodyDiv w:val="1"/>
      <w:marLeft w:val="0"/>
      <w:marRight w:val="0"/>
      <w:marTop w:val="0"/>
      <w:marBottom w:val="0"/>
      <w:divBdr>
        <w:top w:val="none" w:sz="0" w:space="0" w:color="auto"/>
        <w:left w:val="none" w:sz="0" w:space="0" w:color="auto"/>
        <w:bottom w:val="none" w:sz="0" w:space="0" w:color="auto"/>
        <w:right w:val="none" w:sz="0" w:space="0" w:color="auto"/>
      </w:divBdr>
    </w:div>
    <w:div w:id="1959674483">
      <w:bodyDiv w:val="1"/>
      <w:marLeft w:val="0"/>
      <w:marRight w:val="0"/>
      <w:marTop w:val="0"/>
      <w:marBottom w:val="0"/>
      <w:divBdr>
        <w:top w:val="none" w:sz="0" w:space="0" w:color="auto"/>
        <w:left w:val="none" w:sz="0" w:space="0" w:color="auto"/>
        <w:bottom w:val="none" w:sz="0" w:space="0" w:color="auto"/>
        <w:right w:val="none" w:sz="0" w:space="0" w:color="auto"/>
      </w:divBdr>
    </w:div>
    <w:div w:id="1965309303">
      <w:bodyDiv w:val="1"/>
      <w:marLeft w:val="0"/>
      <w:marRight w:val="0"/>
      <w:marTop w:val="0"/>
      <w:marBottom w:val="0"/>
      <w:divBdr>
        <w:top w:val="none" w:sz="0" w:space="0" w:color="auto"/>
        <w:left w:val="none" w:sz="0" w:space="0" w:color="auto"/>
        <w:bottom w:val="none" w:sz="0" w:space="0" w:color="auto"/>
        <w:right w:val="none" w:sz="0" w:space="0" w:color="auto"/>
      </w:divBdr>
    </w:div>
    <w:div w:id="2079010272">
      <w:bodyDiv w:val="1"/>
      <w:marLeft w:val="0"/>
      <w:marRight w:val="0"/>
      <w:marTop w:val="0"/>
      <w:marBottom w:val="0"/>
      <w:divBdr>
        <w:top w:val="none" w:sz="0" w:space="0" w:color="auto"/>
        <w:left w:val="none" w:sz="0" w:space="0" w:color="auto"/>
        <w:bottom w:val="none" w:sz="0" w:space="0" w:color="auto"/>
        <w:right w:val="none" w:sz="0" w:space="0" w:color="auto"/>
      </w:divBdr>
    </w:div>
    <w:div w:id="2099254826">
      <w:bodyDiv w:val="1"/>
      <w:marLeft w:val="0"/>
      <w:marRight w:val="0"/>
      <w:marTop w:val="0"/>
      <w:marBottom w:val="0"/>
      <w:divBdr>
        <w:top w:val="none" w:sz="0" w:space="0" w:color="auto"/>
        <w:left w:val="none" w:sz="0" w:space="0" w:color="auto"/>
        <w:bottom w:val="none" w:sz="0" w:space="0" w:color="auto"/>
        <w:right w:val="none" w:sz="0" w:space="0" w:color="auto"/>
      </w:divBdr>
      <w:divsChild>
        <w:div w:id="1766345136">
          <w:marLeft w:val="0"/>
          <w:marRight w:val="0"/>
          <w:marTop w:val="0"/>
          <w:marBottom w:val="0"/>
          <w:divBdr>
            <w:top w:val="none" w:sz="0" w:space="0" w:color="auto"/>
            <w:left w:val="none" w:sz="0" w:space="0" w:color="auto"/>
            <w:bottom w:val="none" w:sz="0" w:space="0" w:color="auto"/>
            <w:right w:val="none" w:sz="0" w:space="0" w:color="auto"/>
          </w:divBdr>
        </w:div>
        <w:div w:id="2136673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cid:image002.png@01D87E4F.6A1310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cid:image002.png@01D87E4F.6A1310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876D12-F11F-4DC3-A083-856F828E449B}">
  <ds:schemaRefs>
    <ds:schemaRef ds:uri="http://schemas.openxmlformats.org/officeDocument/2006/bibliography"/>
  </ds:schemaRefs>
</ds:datastoreItem>
</file>

<file path=docMetadata/LabelInfo.xml><?xml version="1.0" encoding="utf-8"?>
<clbl:labelList xmlns:clbl="http://schemas.microsoft.com/office/2020/mipLabelMetadata">
  <clbl:label id="{a7a471ca-2c4b-4a75-8ee2-a41ce8b6c322}"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Template>
  <TotalTime>508</TotalTime>
  <Pages>3</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Microsoft Windows Server Migration</vt:lpstr>
    </vt:vector>
  </TitlesOfParts>
  <Company>Tech one global (pvt) ltd</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Migration</dc:title>
  <dc:subject>WINDOWS MIGRATION design document for BEC ARABIA</dc:subject>
  <dc:creator>Version 1.6</dc:creator>
  <cp:keywords/>
  <dc:description/>
  <cp:lastModifiedBy>Salin Kumar</cp:lastModifiedBy>
  <cp:revision>192</cp:revision>
  <cp:lastPrinted>2025-08-12T06:51:00Z</cp:lastPrinted>
  <dcterms:created xsi:type="dcterms:W3CDTF">2025-08-20T08:40:00Z</dcterms:created>
  <dcterms:modified xsi:type="dcterms:W3CDTF">2026-02-14T17:26:00Z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46173104,382c6e8b,7873a101</vt:lpwstr>
  </property>
  <property fmtid="{D5CDD505-2E9C-101B-9397-08002B2CF9AE}" pid="3" name="ClassificationContentMarkingFooterFontProps">
    <vt:lpwstr>#000000,10,Calibri</vt:lpwstr>
  </property>
  <property fmtid="{D5CDD505-2E9C-101B-9397-08002B2CF9AE}" pid="4" name="ClassificationContentMarkingFooterText">
    <vt:lpwstr>Information Classification: Public </vt:lpwstr>
  </property>
  <property fmtid="{D5CDD505-2E9C-101B-9397-08002B2CF9AE}" pid="5" name="MSIP_Label_defa4170-0d19-0005-0001-bc88714345d2_Enabled">
    <vt:lpwstr>true</vt:lpwstr>
  </property>
  <property fmtid="{D5CDD505-2E9C-101B-9397-08002B2CF9AE}" pid="6" name="MSIP_Label_defa4170-0d19-0005-0001-bc88714345d2_SetDate">
    <vt:lpwstr>2025-07-31T09:19:41Z</vt:lpwstr>
  </property>
  <property fmtid="{D5CDD505-2E9C-101B-9397-08002B2CF9AE}" pid="7" name="MSIP_Label_defa4170-0d19-0005-0001-bc88714345d2_Method">
    <vt:lpwstr>Privileged</vt:lpwstr>
  </property>
  <property fmtid="{D5CDD505-2E9C-101B-9397-08002B2CF9AE}" pid="8" name="MSIP_Label_defa4170-0d19-0005-0001-bc88714345d2_Name">
    <vt:lpwstr>defa4170-0d19-0005-0001-bc88714345d2</vt:lpwstr>
  </property>
  <property fmtid="{D5CDD505-2E9C-101B-9397-08002B2CF9AE}" pid="9" name="MSIP_Label_defa4170-0d19-0005-0001-bc88714345d2_SiteId">
    <vt:lpwstr>d0e2d202-86f7-4fd0-a150-f030292f015e</vt:lpwstr>
  </property>
  <property fmtid="{D5CDD505-2E9C-101B-9397-08002B2CF9AE}" pid="10" name="MSIP_Label_defa4170-0d19-0005-0001-bc88714345d2_ActionId">
    <vt:lpwstr>a5f6989b-769f-4bb0-9413-b40f0b9376c7</vt:lpwstr>
  </property>
  <property fmtid="{D5CDD505-2E9C-101B-9397-08002B2CF9AE}" pid="11" name="MSIP_Label_defa4170-0d19-0005-0001-bc88714345d2_ContentBits">
    <vt:lpwstr>0</vt:lpwstr>
  </property>
  <property fmtid="{D5CDD505-2E9C-101B-9397-08002B2CF9AE}" pid="12" name="MSIP_Label_defa4170-0d19-0005-0001-bc88714345d2_Tag">
    <vt:lpwstr>10, 0, 1, 1</vt:lpwstr>
  </property>
</Properties>
</file>