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53144376" w:displacedByCustomXml="next"/>
    <w:bookmarkStart w:id="1" w:name="_Toc452993511" w:displacedByCustomXml="next"/>
    <w:bookmarkStart w:id="2" w:name="_Toc436559832" w:displacedByCustomXml="next"/>
    <w:bookmarkStart w:id="3" w:name="_Toc435193991" w:displacedByCustomXml="next"/>
    <w:bookmarkStart w:id="4" w:name="_Toc431484045" w:displacedByCustomXml="next"/>
    <w:bookmarkStart w:id="5" w:name="_Toc416446793" w:displacedByCustomXml="next"/>
    <w:bookmarkStart w:id="6" w:name="_Toc404606176" w:displacedByCustomXml="next"/>
    <w:bookmarkStart w:id="7" w:name="_Toc404174712" w:displacedByCustomXml="next"/>
    <w:bookmarkStart w:id="8" w:name="_Toc404174369" w:displacedByCustomXml="next"/>
    <w:sdt>
      <w:sdtPr>
        <w:id w:val="-255055889"/>
        <w:docPartObj>
          <w:docPartGallery w:val="Cover Pages"/>
          <w:docPartUnique/>
        </w:docPartObj>
      </w:sdtPr>
      <w:sdtEndPr>
        <w:rPr>
          <w:color w:val="5B9BD5" w:themeColor="accent1"/>
          <w:sz w:val="22"/>
          <w:szCs w:val="22"/>
        </w:rPr>
      </w:sdtEndPr>
      <w:sdtContent>
        <w:p w14:paraId="55B92AE7" w14:textId="06651B80" w:rsidR="009B45F0" w:rsidRPr="009B45F0" w:rsidRDefault="00AF0FBB" w:rsidP="009B45F0">
          <w:r>
            <w:rPr>
              <w:noProof/>
              <w:color w:val="1F497D"/>
            </w:rPr>
            <w:drawing>
              <wp:anchor distT="0" distB="0" distL="114300" distR="114300" simplePos="0" relativeHeight="251663360" behindDoc="0" locked="0" layoutInCell="1" allowOverlap="1" wp14:anchorId="0C9C0C27" wp14:editId="052E85BB">
                <wp:simplePos x="0" y="0"/>
                <wp:positionH relativeFrom="margin">
                  <wp:posOffset>0</wp:posOffset>
                </wp:positionH>
                <wp:positionV relativeFrom="paragraph">
                  <wp:posOffset>0</wp:posOffset>
                </wp:positionV>
                <wp:extent cx="1476375" cy="428625"/>
                <wp:effectExtent l="0" t="0" r="9525" b="9525"/>
                <wp:wrapThrough wrapText="bothSides">
                  <wp:wrapPolygon edited="0">
                    <wp:start x="0" y="0"/>
                    <wp:lineTo x="0" y="21120"/>
                    <wp:lineTo x="21461" y="21120"/>
                    <wp:lineTo x="2146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p>
      </w:sdtContent>
    </w:sdt>
    <w:p w14:paraId="3102BD91" w14:textId="38681B6A" w:rsidR="00145FAD" w:rsidRDefault="00145FAD" w:rsidP="00145FAD"/>
    <w:p w14:paraId="17374250" w14:textId="77777777" w:rsidR="004B7D4C" w:rsidRDefault="004B7D4C" w:rsidP="00B977FB">
      <w:pPr>
        <w:pStyle w:val="Heading1"/>
        <w:jc w:val="both"/>
      </w:pPr>
      <w:r>
        <w:t>Microsoft Cloud Security Solution Playbook for Partners</w:t>
      </w:r>
    </w:p>
    <w:p w14:paraId="3DF7C763" w14:textId="77777777" w:rsidR="004B7D4C" w:rsidRDefault="004B7D4C" w:rsidP="00B977FB">
      <w:pPr>
        <w:pStyle w:val="Heading2"/>
        <w:jc w:val="both"/>
      </w:pPr>
      <w:r>
        <w:t>Introduction: The Cloud Security Imperative</w:t>
      </w:r>
    </w:p>
    <w:p w14:paraId="65A8F003" w14:textId="77777777" w:rsidR="004B7D4C" w:rsidRDefault="004B7D4C" w:rsidP="00B977FB">
      <w:pPr>
        <w:jc w:val="both"/>
      </w:pPr>
      <w:r>
        <w:t xml:space="preserve">In today’s threat landscape, effective cloud security has become paramount for organizations undergoing digital transformation. As businesses migrate workloads to Microsoft Azure and adopt Microsoft 365 cloud services, they face sophisticated threats like data breaches, account hijacking, ransomware, and insider </w:t>
      </w:r>
      <w:proofErr w:type="gramStart"/>
      <w:r>
        <w:t>attacks .</w:t>
      </w:r>
      <w:proofErr w:type="gramEnd"/>
      <w:r>
        <w:t xml:space="preserve"> At the same time, customers must meet stringent regulatory requirements (e.g. GDPR, HIPAA) while enabling productivity and cloud innovation. Microsoft’s own priority is to ensure a “secure cyber foundation” for every customer, reflecting the philosophy that security is fundamental to cloud success and a prerequisite for innovating with AI and cloud services.</w:t>
      </w:r>
    </w:p>
    <w:p w14:paraId="1D0C9522" w14:textId="77777777" w:rsidR="004B7D4C" w:rsidRDefault="004B7D4C" w:rsidP="00B977FB">
      <w:pPr>
        <w:jc w:val="both"/>
      </w:pPr>
      <w:r>
        <w:t xml:space="preserve">Microsoft’s Cloud Security Portfolio </w:t>
      </w:r>
      <w:proofErr w:type="gramStart"/>
      <w:r>
        <w:t>at a Glance</w:t>
      </w:r>
      <w:proofErr w:type="gramEnd"/>
      <w:r>
        <w:t xml:space="preserve">: The Microsoft Cloud offers a comprehensive suite of integrated security solutions spanning identity and access management, device and endpoint protection, threat detection and response, cloud infrastructure security, data protection, and compliance. These solutions are widely adopted – over 1 million organizations worldwide rely on Microsoft Security technologies. This broad adoption is backed by Microsoft’s global scale and intelligence: for example, Microsoft Security now protects over 1.5 million endpoints and 720,000+ SharePoint sites, and processes more than 225 terabytes of threat data </w:t>
      </w:r>
      <w:proofErr w:type="gramStart"/>
      <w:r>
        <w:t>very</w:t>
      </w:r>
      <w:proofErr w:type="gramEnd"/>
      <w:r>
        <w:t xml:space="preserve"> week to keep customers </w:t>
      </w:r>
      <w:proofErr w:type="gramStart"/>
      <w:r>
        <w:t>safe .</w:t>
      </w:r>
      <w:proofErr w:type="gramEnd"/>
      <w:r>
        <w:t xml:space="preserve"> The sheer volume of signals and threat intelligence from Microsoft’s ecosystem enables rapid detection of emerging threats and informed, automated responses across cloud and hybrid environments.</w:t>
      </w:r>
    </w:p>
    <w:p w14:paraId="06C1FE5D" w14:textId="77777777" w:rsidR="004B7D4C" w:rsidRDefault="004B7D4C" w:rsidP="00B977FB">
      <w:pPr>
        <w:jc w:val="both"/>
      </w:pPr>
      <w:r>
        <w:t xml:space="preserve">Why Cloud Security Matters: Cloud services introduce new attack surfaces and amplify the importance of controls around identity, data, and devices. A thriving underground economy offers cheap attack tools – for instance, stolen passwords can be bought in bulk for less than $1 per thousand, and ransomware kits are readily available for a few hundred </w:t>
      </w:r>
      <w:proofErr w:type="gramStart"/>
      <w:r>
        <w:t>dollars .</w:t>
      </w:r>
      <w:proofErr w:type="gramEnd"/>
      <w:r>
        <w:t xml:space="preserve"> Such realities drive up the volume and sophistication of attacks. In response, organizations must “increase the failure rate of attacks and raise the cost to attackers” by strengthening their </w:t>
      </w:r>
      <w:proofErr w:type="gramStart"/>
      <w:r>
        <w:t>defenses .</w:t>
      </w:r>
      <w:proofErr w:type="gramEnd"/>
      <w:r>
        <w:t xml:space="preserve"> Microsoft’s investments in Secure-by-Design cloud infrastructure and advanced security technologies help achieve this goal. For example, Microsoft operates one of the world’s most secure cloud infrastructures with multi-layer physical security, continuous red-team/blue-team testing, and strict just-in-time administrative access controls to protect customer </w:t>
      </w:r>
      <w:proofErr w:type="gramStart"/>
      <w:r>
        <w:t>data .</w:t>
      </w:r>
      <w:proofErr w:type="gramEnd"/>
      <w:r>
        <w:t xml:space="preserve"> This secure foundation, combined with robust security tools and intelligent automation, enables organizations to leverage the cloud with confidence.</w:t>
      </w:r>
    </w:p>
    <w:p w14:paraId="5B47F46D" w14:textId="77777777" w:rsidR="004B7D4C" w:rsidRDefault="004B7D4C" w:rsidP="00B977FB">
      <w:pPr>
        <w:jc w:val="both"/>
      </w:pPr>
      <w:r>
        <w:t>Shared Responsibility in the Cloud: It’s important to note that cloud security is a shared responsibility between the cloud provider and the customer. Microsoft ensures a secure cloud platform (e.g. data center security, physical network protection, host infrastructure, and built-in service security), while partners and customers are responsible for securely configuring and managing their data, identities, applications, and devices in the cloud. This playbook will outline how partners can guide customers in fulfilling their responsibilities – from implementing identity controls and data protection to continuous monitoring – while leveraging Microsoft’s secure cloud platform and advanced security services.</w:t>
      </w:r>
    </w:p>
    <w:p w14:paraId="7278CDBD" w14:textId="77777777" w:rsidR="004B7D4C" w:rsidRDefault="004B7D4C" w:rsidP="00B977FB">
      <w:pPr>
        <w:pStyle w:val="Heading2"/>
        <w:jc w:val="both"/>
      </w:pPr>
      <w:r>
        <w:t>Microsoft Cloud Security Portfolio: Key Solution Components</w:t>
      </w:r>
    </w:p>
    <w:p w14:paraId="1F79CB31" w14:textId="77777777" w:rsidR="004B7D4C" w:rsidRDefault="004B7D4C" w:rsidP="00B977FB">
      <w:pPr>
        <w:jc w:val="both"/>
      </w:pPr>
      <w:r>
        <w:t>Microsoft’s security portfolio spans the Modern Work (Microsoft 365) and Azure cloud environments, providing an integrated defense across on-premises, cloud, and hybrid workloads. Key solution components include:</w:t>
      </w:r>
    </w:p>
    <w:p w14:paraId="1E74D046" w14:textId="77777777" w:rsidR="004B7D4C" w:rsidRDefault="004B7D4C" w:rsidP="00B977FB">
      <w:pPr>
        <w:pStyle w:val="ListParagraph"/>
        <w:numPr>
          <w:ilvl w:val="0"/>
          <w:numId w:val="19"/>
        </w:numPr>
        <w:spacing w:after="160" w:line="279" w:lineRule="auto"/>
        <w:jc w:val="both"/>
      </w:pPr>
      <w:r>
        <w:t xml:space="preserve">Identity &amp; Access Management (IAM) – Microsoft Entra ID (formerly Azure Active Directory) is the core cloud IAM service, offering secure single sign-on, authentication, and Conditional Access for workforce and customer identities. It enables an identity-centric security approach (often described as “identity is the new perimeter”) and enforces strong access policies like Multi-Factor Authentication (MFA) and risk-based sign-in </w:t>
      </w:r>
      <w:proofErr w:type="gramStart"/>
      <w:r>
        <w:t>controls .</w:t>
      </w:r>
      <w:proofErr w:type="gramEnd"/>
      <w:r>
        <w:t xml:space="preserve"> Entra ID also includes features like Privileged Identity Management (PIM) for just-in-time admin </w:t>
      </w:r>
      <w:r>
        <w:lastRenderedPageBreak/>
        <w:t>access and Identity Protection for automated detection of compromised accounts. By controlling identities, partners help customers ensure that only authorized users and compliant devices access sensitive cloud resources.</w:t>
      </w:r>
    </w:p>
    <w:p w14:paraId="0266CD1F" w14:textId="77777777" w:rsidR="004B7D4C" w:rsidRDefault="004B7D4C" w:rsidP="00B977FB">
      <w:pPr>
        <w:pStyle w:val="ListParagraph"/>
        <w:numPr>
          <w:ilvl w:val="0"/>
          <w:numId w:val="19"/>
        </w:numPr>
        <w:spacing w:after="160" w:line="279" w:lineRule="auto"/>
        <w:jc w:val="both"/>
      </w:pPr>
      <w:r>
        <w:t>Endpoint &amp; Device Management – Secure management of user devices and client endpoints is critical in the cloud era. Microsoft Intune (part of Microsoft Endpoint Manager) allows partners to enforce security policies on devices – ensuring compliance (e.g. up-to-date patching, encryption) and enabling conditional access based on device health. For threat protection on endpoints, Microsoft Defender for Endpoint provides advanced endpoint detection and response (EDR) capabilities, helping detect and remediate malware, ransomware, and other endpoint threats in real time. Intune combined with Defender for Endpoint empowers a robust Zero Trust posture by treating each device and session as untrusted until verified.</w:t>
      </w:r>
    </w:p>
    <w:p w14:paraId="3CD7E0E0" w14:textId="77777777" w:rsidR="004B7D4C" w:rsidRDefault="004B7D4C" w:rsidP="00B977FB">
      <w:pPr>
        <w:pStyle w:val="ListParagraph"/>
        <w:numPr>
          <w:ilvl w:val="0"/>
          <w:numId w:val="19"/>
        </w:numPr>
        <w:spacing w:after="160" w:line="279" w:lineRule="auto"/>
        <w:jc w:val="both"/>
      </w:pPr>
      <w:r>
        <w:t xml:space="preserve">Threat Protection (XDR) – Microsoft offers extended detection and response (XDR) across identities, endpoints, email, documents, and cloud apps through the Microsoft 365 Defender </w:t>
      </w:r>
      <w:proofErr w:type="gramStart"/>
      <w:r>
        <w:t>suite .</w:t>
      </w:r>
      <w:proofErr w:type="gramEnd"/>
      <w:r>
        <w:t xml:space="preserve"> This includes solutions like Defender for Endpoint (endpoint security), Defender for Office 365 (email &amp; collaboration security), Defender for Identity (detecting identity-based attacks against on-prem AD), and Defender for Cloud Apps (CASB for SaaS app security) – all feeding into a unified portal (Defender portal) and correlated through Microsoft 365 Defender. These tools provide integrated threat protection: for example, if a user’s device is compromised, the platform can automatically flag the user’s credentials at risk and enforce account protection across Azure </w:t>
      </w:r>
      <w:proofErr w:type="gramStart"/>
      <w:r>
        <w:t>AD .</w:t>
      </w:r>
      <w:proofErr w:type="gramEnd"/>
      <w:r>
        <w:t xml:space="preserve"> This holistic XDR approach helps partners rapidly detect and respond to advanced threats across an organization’s digital estate.</w:t>
      </w:r>
    </w:p>
    <w:p w14:paraId="40DAB736" w14:textId="77777777" w:rsidR="004B7D4C" w:rsidRDefault="004B7D4C" w:rsidP="00B977FB">
      <w:pPr>
        <w:pStyle w:val="ListParagraph"/>
        <w:numPr>
          <w:ilvl w:val="0"/>
          <w:numId w:val="19"/>
        </w:numPr>
        <w:spacing w:after="160" w:line="279" w:lineRule="auto"/>
        <w:jc w:val="both"/>
      </w:pPr>
      <w:r>
        <w:t xml:space="preserve">Cloud Security &amp; Workload Protection – In Azure and multi-cloud environments, Microsoft Defender for Cloud (formerly Azure Security Center + Azure Defender) provides Cloud Security Posture Management (CSPM) and threat protection for workloads. It continuously assesses the security configuration of Azure, AWS, and GCP resources, providing a Secure Score and recommendations to improve the cloud’s security </w:t>
      </w:r>
      <w:proofErr w:type="gramStart"/>
      <w:r>
        <w:t>posture .</w:t>
      </w:r>
      <w:proofErr w:type="gramEnd"/>
      <w:r>
        <w:t xml:space="preserve"> It also includes built-in threat detection (sometimes referred to as “Azure Defender” plans for VMs, databases, containers, etc.) to protect against attacks on cloud </w:t>
      </w:r>
      <w:proofErr w:type="gramStart"/>
      <w:r>
        <w:t>workloads .</w:t>
      </w:r>
      <w:proofErr w:type="gramEnd"/>
      <w:r>
        <w:t xml:space="preserve"> The service helps partners identify misconfigurations (such as open ports or unencrypted data stores), enforce compliance policies, and protect servers, containers, databases, and other services from cyber </w:t>
      </w:r>
      <w:proofErr w:type="gramStart"/>
      <w:r>
        <w:t>threats .</w:t>
      </w:r>
      <w:proofErr w:type="gramEnd"/>
      <w:r>
        <w:t xml:space="preserve"> Additionally, Azure offers network security services like Azure Firewall, Web Application Firewall (WAF), DDoS Protection, Network Security Groups (NSGs) for segmentation, and VPN/ExpressRoute for secure connectivity, all essential for a layered cloud defense.</w:t>
      </w:r>
    </w:p>
    <w:p w14:paraId="21B36830" w14:textId="77777777" w:rsidR="004B7D4C" w:rsidRDefault="004B7D4C" w:rsidP="00B977FB">
      <w:pPr>
        <w:pStyle w:val="ListParagraph"/>
        <w:numPr>
          <w:ilvl w:val="0"/>
          <w:numId w:val="19"/>
        </w:numPr>
        <w:spacing w:after="160" w:line="279" w:lineRule="auto"/>
        <w:jc w:val="both"/>
      </w:pPr>
      <w:r>
        <w:t xml:space="preserve">Security Operations &amp; Incident Response (SIEM/SOAR) – Microsoft Sentinel is a cloud-native Security Information and Event Management (SIEM) and Security Orchestration, Automation, and Response (SOAR) platform. It aggregates security logs and signals from across Microsoft and third-party systems, leveraging AI and Microsoft’s threat intelligence to detect incidents </w:t>
      </w:r>
      <w:proofErr w:type="gramStart"/>
      <w:r>
        <w:t>early .</w:t>
      </w:r>
      <w:proofErr w:type="gramEnd"/>
      <w:r>
        <w:t xml:space="preserve"> Sentinel enables partners to build or enhance a Security Operations Center (SOC) for clients with features like built-in analytics, user and entity behavior analytics (UEBA), and automated playbooks for incident response. It provides a “single pane of glass” for monitoring threats across Azure, on-premises, Microsoft 365, and even other </w:t>
      </w:r>
      <w:proofErr w:type="gramStart"/>
      <w:r>
        <w:t>clouds .</w:t>
      </w:r>
      <w:proofErr w:type="gramEnd"/>
      <w:r>
        <w:t xml:space="preserve"> By deploying Sentinel, partners can help customers quickly identify, investigate, and remediate threats – often replacing or augmenting legacy on-prem SIEMs with a more scalable, AI-driven solution. (As an example, ABM Industries used Azure Sentinel to automate responses to over half of its security alerts, significantly reducing the workload on analysts – detailed later in this </w:t>
      </w:r>
      <w:proofErr w:type="gramStart"/>
      <w:r>
        <w:t>playbook .</w:t>
      </w:r>
      <w:proofErr w:type="gramEnd"/>
      <w:r>
        <w:t>)</w:t>
      </w:r>
    </w:p>
    <w:p w14:paraId="7AB0BD8B" w14:textId="77777777" w:rsidR="004B7D4C" w:rsidRDefault="004B7D4C" w:rsidP="00B977FB">
      <w:pPr>
        <w:pStyle w:val="ListParagraph"/>
        <w:numPr>
          <w:ilvl w:val="0"/>
          <w:numId w:val="19"/>
        </w:numPr>
        <w:spacing w:after="160" w:line="279" w:lineRule="auto"/>
        <w:jc w:val="both"/>
      </w:pPr>
      <w:r>
        <w:t xml:space="preserve">Data Protection &amp; Compliance – Microsoft Purview provides a comprehensive set of information protection, data governance, and compliance solutions (formerly part of the Azure/Microsoft 365 compliance suite). With Purview, partners can help customers classify and label sensitive data, enforce Data Loss Prevention </w:t>
      </w:r>
      <w:r>
        <w:lastRenderedPageBreak/>
        <w:t xml:space="preserve">(DLP) policies across emails, files, and endpoints, and govern data lifecycle (retention, deletion) in line with </w:t>
      </w:r>
      <w:proofErr w:type="gramStart"/>
      <w:r>
        <w:t>regulations .</w:t>
      </w:r>
      <w:proofErr w:type="gramEnd"/>
      <w:r>
        <w:t xml:space="preserve"> Purview’s Compliance Manager and insider risk management tools help organizations assess compliance with standards and detect risky user behavior. By deploying Purview alongside security controls, partners ensure that customers not only protect data from external </w:t>
      </w:r>
      <w:proofErr w:type="gramStart"/>
      <w:r>
        <w:t>threats, but</w:t>
      </w:r>
      <w:proofErr w:type="gramEnd"/>
      <w:r>
        <w:t xml:space="preserve"> also maintain compliance and proper data handling internally.</w:t>
      </w:r>
    </w:p>
    <w:p w14:paraId="696481F8" w14:textId="77777777" w:rsidR="004B7D4C" w:rsidRDefault="004B7D4C" w:rsidP="00B977FB">
      <w:pPr>
        <w:pBdr>
          <w:left w:val="single" w:sz="18" w:space="4" w:color="A6A6A6"/>
        </w:pBdr>
        <w:ind w:left="180"/>
        <w:jc w:val="both"/>
      </w:pPr>
      <w:r>
        <w:t xml:space="preserve">Note: Microsoft’s security services are designed to work together as an integrated ecosystem. For instance, Defender for Cloud can surface recommendations to Azure AD or Intune (Entra) for policy enforcement; Microsoft 365 Defender and Sentinel share incident data for faster response; and Purview’s discovery of sensitive data can feed into DLP enforcement across Defender for Cloud Apps and Exchange Online. This integrated approach allows partners to deliver end-to-end security solutions, aligned to the Zero Trust model, where all layers – identities, endpoints, apps, data, network, and infrastructure – are secured </w:t>
      </w:r>
      <w:proofErr w:type="gramStart"/>
      <w:r>
        <w:t>holistically .</w:t>
      </w:r>
      <w:proofErr w:type="gramEnd"/>
    </w:p>
    <w:p w14:paraId="4FDAE654" w14:textId="77777777" w:rsidR="004B7D4C" w:rsidRDefault="004B7D4C" w:rsidP="00B977FB">
      <w:pPr>
        <w:jc w:val="both"/>
      </w:pPr>
      <w:r>
        <w:t xml:space="preserve">Below </w:t>
      </w:r>
      <w:proofErr w:type="gramStart"/>
      <w:r>
        <w:t>is</w:t>
      </w:r>
      <w:proofErr w:type="gramEnd"/>
      <w:r>
        <w:t xml:space="preserve"> a summary of the major Microsoft Cloud Security solution components and their roles: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3"/>
        <w:gridCol w:w="2686"/>
        <w:gridCol w:w="5171"/>
      </w:tblGrid>
      <w:tr w:rsidR="004B7D4C" w14:paraId="3D22AD63" w14:textId="77777777" w:rsidTr="007716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C2F930" w14:textId="77777777" w:rsidR="004B7D4C" w:rsidRDefault="004B7D4C" w:rsidP="00B977FB">
            <w:pPr>
              <w:jc w:val="both"/>
            </w:pPr>
            <w:r>
              <w:t>Security Domain</w:t>
            </w:r>
          </w:p>
        </w:tc>
        <w:tc>
          <w:tcPr>
            <w:tcW w:w="0" w:type="auto"/>
            <w:vAlign w:val="center"/>
          </w:tcPr>
          <w:p w14:paraId="21DE63A8" w14:textId="77777777" w:rsidR="004B7D4C" w:rsidRDefault="004B7D4C" w:rsidP="00B977FB">
            <w:pPr>
              <w:jc w:val="both"/>
              <w:cnfStyle w:val="100000000000" w:firstRow="1" w:lastRow="0" w:firstColumn="0" w:lastColumn="0" w:oddVBand="0" w:evenVBand="0" w:oddHBand="0" w:evenHBand="0" w:firstRowFirstColumn="0" w:firstRowLastColumn="0" w:lastRowFirstColumn="0" w:lastRowLastColumn="0"/>
            </w:pPr>
            <w:r>
              <w:t>Key Microsoft Solutions</w:t>
            </w:r>
          </w:p>
        </w:tc>
        <w:tc>
          <w:tcPr>
            <w:tcW w:w="0" w:type="auto"/>
            <w:vAlign w:val="center"/>
          </w:tcPr>
          <w:p w14:paraId="6BA1E6DD" w14:textId="77777777" w:rsidR="004B7D4C" w:rsidRDefault="004B7D4C" w:rsidP="00B977FB">
            <w:pPr>
              <w:jc w:val="both"/>
              <w:cnfStyle w:val="100000000000" w:firstRow="1" w:lastRow="0" w:firstColumn="0" w:lastColumn="0" w:oddVBand="0" w:evenVBand="0" w:oddHBand="0" w:evenHBand="0" w:firstRowFirstColumn="0" w:firstRowLastColumn="0" w:lastRowFirstColumn="0" w:lastRowLastColumn="0"/>
            </w:pPr>
            <w:r>
              <w:t>Role in Cloud Security</w:t>
            </w:r>
          </w:p>
        </w:tc>
      </w:tr>
      <w:tr w:rsidR="004B7D4C" w14:paraId="5605941F" w14:textId="77777777" w:rsidTr="00771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2879A" w14:textId="77777777" w:rsidR="004B7D4C" w:rsidRDefault="004B7D4C" w:rsidP="00B977FB">
            <w:pPr>
              <w:jc w:val="both"/>
            </w:pPr>
            <w:r>
              <w:t>Identity &amp; Access</w:t>
            </w:r>
          </w:p>
        </w:tc>
        <w:tc>
          <w:tcPr>
            <w:tcW w:w="0" w:type="auto"/>
            <w:vAlign w:val="center"/>
          </w:tcPr>
          <w:p w14:paraId="3CF91A94" w14:textId="77777777" w:rsidR="004B7D4C" w:rsidRDefault="004B7D4C" w:rsidP="00B977FB">
            <w:pPr>
              <w:jc w:val="both"/>
              <w:cnfStyle w:val="000000100000" w:firstRow="0" w:lastRow="0" w:firstColumn="0" w:lastColumn="0" w:oddVBand="0" w:evenVBand="0" w:oddHBand="1" w:evenHBand="0" w:firstRowFirstColumn="0" w:firstRowLastColumn="0" w:lastRowFirstColumn="0" w:lastRowLastColumn="0"/>
            </w:pPr>
            <w:r>
              <w:t>Microsoft Entra ID (Azure AD), Entra Permissions Management, Entra Verified ID, Azure AD Conditional Access, MFA, Privileged Identity Management (PIM)</w:t>
            </w:r>
          </w:p>
        </w:tc>
        <w:tc>
          <w:tcPr>
            <w:tcW w:w="0" w:type="auto"/>
            <w:vAlign w:val="center"/>
          </w:tcPr>
          <w:p w14:paraId="3B7D6E84" w14:textId="77777777" w:rsidR="004B7D4C" w:rsidRDefault="004B7D4C" w:rsidP="00B977FB">
            <w:pPr>
              <w:jc w:val="both"/>
              <w:cnfStyle w:val="000000100000" w:firstRow="0" w:lastRow="0" w:firstColumn="0" w:lastColumn="0" w:oddVBand="0" w:evenVBand="0" w:oddHBand="1" w:evenHBand="0" w:firstRowFirstColumn="0" w:firstRowLastColumn="0" w:lastRowFirstColumn="0" w:lastRowLastColumn="0"/>
            </w:pPr>
            <w:r>
              <w:t xml:space="preserve">Manages user and admin identities and their access to resources. Enforces strong authentication (MFA), least privilege, conditional access policies, and just-in-time access for </w:t>
            </w:r>
            <w:proofErr w:type="gramStart"/>
            <w:r>
              <w:t>admins .</w:t>
            </w:r>
            <w:proofErr w:type="gramEnd"/>
            <w:r>
              <w:t xml:space="preserve"> Secures the front door to cloud resources by ensuring only verified identities and compliant devices access data.</w:t>
            </w:r>
          </w:p>
        </w:tc>
      </w:tr>
      <w:tr w:rsidR="004B7D4C" w14:paraId="3D0EAF59" w14:textId="77777777" w:rsidTr="0077165C">
        <w:tc>
          <w:tcPr>
            <w:cnfStyle w:val="001000000000" w:firstRow="0" w:lastRow="0" w:firstColumn="1" w:lastColumn="0" w:oddVBand="0" w:evenVBand="0" w:oddHBand="0" w:evenHBand="0" w:firstRowFirstColumn="0" w:firstRowLastColumn="0" w:lastRowFirstColumn="0" w:lastRowLastColumn="0"/>
            <w:tcW w:w="0" w:type="auto"/>
            <w:vAlign w:val="center"/>
          </w:tcPr>
          <w:p w14:paraId="2F103EC2" w14:textId="77777777" w:rsidR="004B7D4C" w:rsidRDefault="004B7D4C" w:rsidP="00B977FB">
            <w:pPr>
              <w:jc w:val="both"/>
            </w:pPr>
            <w:r>
              <w:t>Endpoints &amp; Devices</w:t>
            </w:r>
          </w:p>
        </w:tc>
        <w:tc>
          <w:tcPr>
            <w:tcW w:w="0" w:type="auto"/>
            <w:vAlign w:val="center"/>
          </w:tcPr>
          <w:p w14:paraId="1D44559F" w14:textId="77777777" w:rsidR="004B7D4C" w:rsidRDefault="004B7D4C" w:rsidP="00B977FB">
            <w:pPr>
              <w:jc w:val="both"/>
              <w:cnfStyle w:val="000000000000" w:firstRow="0" w:lastRow="0" w:firstColumn="0" w:lastColumn="0" w:oddVBand="0" w:evenVBand="0" w:oddHBand="0" w:evenHBand="0" w:firstRowFirstColumn="0" w:firstRowLastColumn="0" w:lastRowFirstColumn="0" w:lastRowLastColumn="0"/>
            </w:pPr>
            <w:r>
              <w:t>Microsoft Intune (Endpoint Manager), Defender for Endpoint</w:t>
            </w:r>
          </w:p>
        </w:tc>
        <w:tc>
          <w:tcPr>
            <w:tcW w:w="0" w:type="auto"/>
            <w:vAlign w:val="center"/>
          </w:tcPr>
          <w:p w14:paraId="619570A1" w14:textId="77777777" w:rsidR="004B7D4C" w:rsidRDefault="004B7D4C" w:rsidP="00B977FB">
            <w:pPr>
              <w:jc w:val="both"/>
              <w:cnfStyle w:val="000000000000" w:firstRow="0" w:lastRow="0" w:firstColumn="0" w:lastColumn="0" w:oddVBand="0" w:evenVBand="0" w:oddHBand="0" w:evenHBand="0" w:firstRowFirstColumn="0" w:firstRowLastColumn="0" w:lastRowFirstColumn="0" w:lastRowLastColumn="0"/>
            </w:pPr>
            <w:proofErr w:type="gramStart"/>
            <w:r>
              <w:t>Ensures</w:t>
            </w:r>
            <w:proofErr w:type="gramEnd"/>
            <w:r>
              <w:t xml:space="preserve"> devices are securely configured and compliant (encryption, patching) before granting access. Protects PCs and mobile devices from malware, ransomware, and exploits with industry-leading EDR and XDR </w:t>
            </w:r>
            <w:proofErr w:type="gramStart"/>
            <w:r>
              <w:t>capabilities .</w:t>
            </w:r>
            <w:proofErr w:type="gramEnd"/>
            <w:r>
              <w:t xml:space="preserve"> Integral for Zero Trust enforcement on device health and security.</w:t>
            </w:r>
          </w:p>
        </w:tc>
      </w:tr>
      <w:tr w:rsidR="004B7D4C" w14:paraId="706D86FF" w14:textId="77777777" w:rsidTr="00771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69C185" w14:textId="77777777" w:rsidR="004B7D4C" w:rsidRDefault="004B7D4C" w:rsidP="00B977FB">
            <w:pPr>
              <w:jc w:val="both"/>
            </w:pPr>
            <w:r>
              <w:t>Threat Protection (XDR)</w:t>
            </w:r>
          </w:p>
        </w:tc>
        <w:tc>
          <w:tcPr>
            <w:tcW w:w="0" w:type="auto"/>
            <w:vAlign w:val="center"/>
          </w:tcPr>
          <w:p w14:paraId="2F320381" w14:textId="77777777" w:rsidR="004B7D4C" w:rsidRDefault="004B7D4C" w:rsidP="00B977FB">
            <w:pPr>
              <w:jc w:val="both"/>
              <w:cnfStyle w:val="000000100000" w:firstRow="0" w:lastRow="0" w:firstColumn="0" w:lastColumn="0" w:oddVBand="0" w:evenVBand="0" w:oddHBand="1" w:evenHBand="0" w:firstRowFirstColumn="0" w:firstRowLastColumn="0" w:lastRowFirstColumn="0" w:lastRowLastColumn="0"/>
            </w:pPr>
            <w:r>
              <w:t>Microsoft 365 Defender suite: including Defender for Endpoint, Defender for Office 365, Defender for Identity, Defender for Cloud Apps</w:t>
            </w:r>
          </w:p>
        </w:tc>
        <w:tc>
          <w:tcPr>
            <w:tcW w:w="0" w:type="auto"/>
            <w:vAlign w:val="center"/>
          </w:tcPr>
          <w:p w14:paraId="2CBD2CD4" w14:textId="77777777" w:rsidR="004B7D4C" w:rsidRDefault="004B7D4C" w:rsidP="00B977FB">
            <w:pPr>
              <w:jc w:val="both"/>
              <w:cnfStyle w:val="000000100000" w:firstRow="0" w:lastRow="0" w:firstColumn="0" w:lastColumn="0" w:oddVBand="0" w:evenVBand="0" w:oddHBand="1" w:evenHBand="0" w:firstRowFirstColumn="0" w:firstRowLastColumn="0" w:lastRowFirstColumn="0" w:lastRowLastColumn="0"/>
            </w:pPr>
            <w:r>
              <w:t xml:space="preserve">Provides cross-domain threat detection and response across endpoints, email, identities, and cloud apps. Uses automation and AI to correlate signals (e.g., linking a malware incident on a PC with a credential compromise) for rapid, coordinated </w:t>
            </w:r>
            <w:proofErr w:type="gramStart"/>
            <w:r>
              <w:t>response .</w:t>
            </w:r>
            <w:proofErr w:type="gramEnd"/>
            <w:r>
              <w:t xml:space="preserve"> Reduces breach impact through early detection and auto-remediation across the kill chain.</w:t>
            </w:r>
          </w:p>
        </w:tc>
      </w:tr>
      <w:tr w:rsidR="004B7D4C" w14:paraId="65C55198" w14:textId="77777777" w:rsidTr="0077165C">
        <w:tc>
          <w:tcPr>
            <w:cnfStyle w:val="001000000000" w:firstRow="0" w:lastRow="0" w:firstColumn="1" w:lastColumn="0" w:oddVBand="0" w:evenVBand="0" w:oddHBand="0" w:evenHBand="0" w:firstRowFirstColumn="0" w:firstRowLastColumn="0" w:lastRowFirstColumn="0" w:lastRowLastColumn="0"/>
            <w:tcW w:w="0" w:type="auto"/>
            <w:vAlign w:val="center"/>
          </w:tcPr>
          <w:p w14:paraId="34E0D781" w14:textId="77777777" w:rsidR="004B7D4C" w:rsidRDefault="004B7D4C" w:rsidP="00B977FB">
            <w:pPr>
              <w:jc w:val="both"/>
            </w:pPr>
            <w:r>
              <w:t>Cloud Security &amp; CSPM</w:t>
            </w:r>
          </w:p>
        </w:tc>
        <w:tc>
          <w:tcPr>
            <w:tcW w:w="0" w:type="auto"/>
            <w:vAlign w:val="center"/>
          </w:tcPr>
          <w:p w14:paraId="30B834E0" w14:textId="77777777" w:rsidR="004B7D4C" w:rsidRDefault="004B7D4C" w:rsidP="00B977FB">
            <w:pPr>
              <w:jc w:val="both"/>
              <w:cnfStyle w:val="000000000000" w:firstRow="0" w:lastRow="0" w:firstColumn="0" w:lastColumn="0" w:oddVBand="0" w:evenVBand="0" w:oddHBand="0" w:evenHBand="0" w:firstRowFirstColumn="0" w:firstRowLastColumn="0" w:lastRowFirstColumn="0" w:lastRowLastColumn="0"/>
            </w:pPr>
            <w:r>
              <w:t>Microsoft Defender for Cloud (formerly Azure Security Center), Azure Network Security (NSGs, Azure Firewall, WAF, DDoS Protection)</w:t>
            </w:r>
          </w:p>
        </w:tc>
        <w:tc>
          <w:tcPr>
            <w:tcW w:w="0" w:type="auto"/>
            <w:vAlign w:val="center"/>
          </w:tcPr>
          <w:p w14:paraId="25D13404" w14:textId="77777777" w:rsidR="004B7D4C" w:rsidRDefault="004B7D4C" w:rsidP="00B977FB">
            <w:pPr>
              <w:jc w:val="both"/>
              <w:cnfStyle w:val="000000000000" w:firstRow="0" w:lastRow="0" w:firstColumn="0" w:lastColumn="0" w:oddVBand="0" w:evenVBand="0" w:oddHBand="0" w:evenHBand="0" w:firstRowFirstColumn="0" w:firstRowLastColumn="0" w:lastRowFirstColumn="0" w:lastRowLastColumn="0"/>
            </w:pPr>
            <w:r>
              <w:t xml:space="preserve">Continuously assesses and strengthens cloud resource configurations (CSPM), providing recommendations and secure score to harden Azure and multi-cloud </w:t>
            </w:r>
            <w:proofErr w:type="gramStart"/>
            <w:r>
              <w:t>environments .</w:t>
            </w:r>
            <w:proofErr w:type="gramEnd"/>
            <w:r>
              <w:t xml:space="preserve"> Offers threat protection for Azure VMs, containers, databases, and more (CWPP). Network security services safeguard cloud networks and web applications from intrusion and attacks.</w:t>
            </w:r>
          </w:p>
        </w:tc>
      </w:tr>
      <w:tr w:rsidR="004B7D4C" w14:paraId="3BAFCFE3" w14:textId="77777777" w:rsidTr="00771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DD833BF" w14:textId="77777777" w:rsidR="004B7D4C" w:rsidRDefault="004B7D4C" w:rsidP="00B977FB">
            <w:pPr>
              <w:jc w:val="both"/>
            </w:pPr>
            <w:r>
              <w:t>Security Management &amp; SIEM</w:t>
            </w:r>
          </w:p>
        </w:tc>
        <w:tc>
          <w:tcPr>
            <w:tcW w:w="0" w:type="auto"/>
            <w:vAlign w:val="center"/>
          </w:tcPr>
          <w:p w14:paraId="4A460612" w14:textId="77777777" w:rsidR="004B7D4C" w:rsidRDefault="004B7D4C" w:rsidP="00B977FB">
            <w:pPr>
              <w:jc w:val="both"/>
              <w:cnfStyle w:val="000000100000" w:firstRow="0" w:lastRow="0" w:firstColumn="0" w:lastColumn="0" w:oddVBand="0" w:evenVBand="0" w:oddHBand="1" w:evenHBand="0" w:firstRowFirstColumn="0" w:firstRowLastColumn="0" w:lastRowFirstColumn="0" w:lastRowLastColumn="0"/>
            </w:pPr>
            <w:r>
              <w:t xml:space="preserve">Microsoft Sentinel (SIEM/SOAR), Azure Monitor, Log Analytics, Microsoft </w:t>
            </w:r>
            <w:r>
              <w:lastRenderedPageBreak/>
              <w:t>Defender External Attack Surface Management (EASM)</w:t>
            </w:r>
          </w:p>
        </w:tc>
        <w:tc>
          <w:tcPr>
            <w:tcW w:w="0" w:type="auto"/>
            <w:vAlign w:val="center"/>
          </w:tcPr>
          <w:p w14:paraId="7B63B8A7" w14:textId="77777777" w:rsidR="004B7D4C" w:rsidRDefault="004B7D4C" w:rsidP="00B977FB">
            <w:pPr>
              <w:jc w:val="both"/>
              <w:cnfStyle w:val="000000100000" w:firstRow="0" w:lastRow="0" w:firstColumn="0" w:lastColumn="0" w:oddVBand="0" w:evenVBand="0" w:oddHBand="1" w:evenHBand="0" w:firstRowFirstColumn="0" w:firstRowLastColumn="0" w:lastRowFirstColumn="0" w:lastRowLastColumn="0"/>
            </w:pPr>
            <w:r>
              <w:lastRenderedPageBreak/>
              <w:t xml:space="preserve">Monitors and analyzes security events across the enterprise. Microsoft Sentinel aggregates logs and alerts from Microsoft and third-party sources, using analytics and threat intelligence for incident detection. It also orchestrates response through automated playbooks, enabling faster </w:t>
            </w:r>
            <w:r>
              <w:lastRenderedPageBreak/>
              <w:t xml:space="preserve">containment and remediation of </w:t>
            </w:r>
            <w:proofErr w:type="gramStart"/>
            <w:r>
              <w:t>threats .</w:t>
            </w:r>
            <w:proofErr w:type="gramEnd"/>
            <w:r>
              <w:t xml:space="preserve"> Security scorecards like Azure Secure Score and attack surface management tools help track and reduce exposure.</w:t>
            </w:r>
          </w:p>
        </w:tc>
      </w:tr>
      <w:tr w:rsidR="004B7D4C" w14:paraId="26990A29" w14:textId="77777777" w:rsidTr="0077165C">
        <w:tc>
          <w:tcPr>
            <w:cnfStyle w:val="001000000000" w:firstRow="0" w:lastRow="0" w:firstColumn="1" w:lastColumn="0" w:oddVBand="0" w:evenVBand="0" w:oddHBand="0" w:evenHBand="0" w:firstRowFirstColumn="0" w:firstRowLastColumn="0" w:lastRowFirstColumn="0" w:lastRowLastColumn="0"/>
            <w:tcW w:w="0" w:type="auto"/>
            <w:vAlign w:val="center"/>
          </w:tcPr>
          <w:p w14:paraId="62C6FC9F" w14:textId="77777777" w:rsidR="004B7D4C" w:rsidRDefault="004B7D4C" w:rsidP="00B977FB">
            <w:pPr>
              <w:jc w:val="both"/>
            </w:pPr>
            <w:r>
              <w:lastRenderedPageBreak/>
              <w:t>Data Protection &amp; Compliance</w:t>
            </w:r>
          </w:p>
        </w:tc>
        <w:tc>
          <w:tcPr>
            <w:tcW w:w="0" w:type="auto"/>
            <w:vAlign w:val="center"/>
          </w:tcPr>
          <w:p w14:paraId="06D652B5" w14:textId="77777777" w:rsidR="004B7D4C" w:rsidRDefault="004B7D4C" w:rsidP="00B977FB">
            <w:pPr>
              <w:jc w:val="both"/>
              <w:cnfStyle w:val="000000000000" w:firstRow="0" w:lastRow="0" w:firstColumn="0" w:lastColumn="0" w:oddVBand="0" w:evenVBand="0" w:oddHBand="0" w:evenHBand="0" w:firstRowFirstColumn="0" w:firstRowLastColumn="0" w:lastRowFirstColumn="0" w:lastRowLastColumn="0"/>
            </w:pPr>
            <w:r>
              <w:t>Microsoft Purview (Information Protection, Data Loss Prevention, Compliance Manager), Azure Key Vault</w:t>
            </w:r>
          </w:p>
        </w:tc>
        <w:tc>
          <w:tcPr>
            <w:tcW w:w="0" w:type="auto"/>
            <w:vAlign w:val="center"/>
          </w:tcPr>
          <w:p w14:paraId="672F8F4A" w14:textId="77777777" w:rsidR="004B7D4C" w:rsidRDefault="004B7D4C" w:rsidP="00B977FB">
            <w:pPr>
              <w:jc w:val="both"/>
              <w:cnfStyle w:val="000000000000" w:firstRow="0" w:lastRow="0" w:firstColumn="0" w:lastColumn="0" w:oddVBand="0" w:evenVBand="0" w:oddHBand="0" w:evenHBand="0" w:firstRowFirstColumn="0" w:firstRowLastColumn="0" w:lastRowFirstColumn="0" w:lastRowLastColumn="0"/>
            </w:pPr>
            <w:r>
              <w:t xml:space="preserve">Protects sensitive information through classification, labeling, and encryption. Enables organization-wide DLP policies to prevent data leaks via emails, chats, or cloud </w:t>
            </w:r>
            <w:proofErr w:type="gramStart"/>
            <w:r>
              <w:t>storage .</w:t>
            </w:r>
            <w:proofErr w:type="gramEnd"/>
            <w:r>
              <w:t xml:space="preserve"> </w:t>
            </w:r>
            <w:proofErr w:type="gramStart"/>
            <w:r>
              <w:t>Ensures</w:t>
            </w:r>
            <w:proofErr w:type="gramEnd"/>
            <w:r>
              <w:t xml:space="preserve"> compliance with regulations by mapping controls to standards and providing audit </w:t>
            </w:r>
            <w:proofErr w:type="gramStart"/>
            <w:r>
              <w:t>trails</w:t>
            </w:r>
            <w:proofErr w:type="gramEnd"/>
            <w:r>
              <w:t>. Key Vault safeguards cryptographic keys and secrets used by applications.</w:t>
            </w:r>
          </w:p>
        </w:tc>
      </w:tr>
    </w:tbl>
    <w:p w14:paraId="58279F89" w14:textId="77777777" w:rsidR="004B7D4C" w:rsidRDefault="004B7D4C" w:rsidP="00B977FB">
      <w:pPr>
        <w:jc w:val="both"/>
      </w:pPr>
      <w:r>
        <w:t>Table: Microsoft Cloud Security solution areas, spanning identity, devices, threat protection, cloud infrastructure, security operations, and data protection. These integrated tools support a Zero Trust architecture, combining preventive controls with continuous monitoring and automated response.</w:t>
      </w:r>
    </w:p>
    <w:p w14:paraId="0320200B" w14:textId="77777777" w:rsidR="004B7D4C" w:rsidRDefault="004B7D4C" w:rsidP="00B977FB">
      <w:pPr>
        <w:pStyle w:val="Heading2"/>
        <w:jc w:val="both"/>
      </w:pPr>
      <w:r>
        <w:t>Architecture and Best Practices for Securing Cloud Environments</w:t>
      </w:r>
    </w:p>
    <w:p w14:paraId="0279EE3D" w14:textId="77777777" w:rsidR="004B7D4C" w:rsidRDefault="004B7D4C" w:rsidP="00B977FB">
      <w:pPr>
        <w:jc w:val="both"/>
      </w:pPr>
      <w:r>
        <w:t xml:space="preserve">Achieving robust cloud security requires not only deploying the right </w:t>
      </w:r>
      <w:proofErr w:type="gramStart"/>
      <w:r>
        <w:t>tools, but</w:t>
      </w:r>
      <w:proofErr w:type="gramEnd"/>
      <w:r>
        <w:t xml:space="preserve"> also following proven architectural principles and </w:t>
      </w:r>
      <w:proofErr w:type="gramStart"/>
      <w:r>
        <w:t>operational best</w:t>
      </w:r>
      <w:proofErr w:type="gramEnd"/>
      <w:r>
        <w:t xml:space="preserve"> practices. Key guidelines include:</w:t>
      </w:r>
    </w:p>
    <w:p w14:paraId="1AB53C08" w14:textId="77777777" w:rsidR="004B7D4C" w:rsidRDefault="004B7D4C" w:rsidP="00B977FB">
      <w:pPr>
        <w:pStyle w:val="ListParagraph"/>
        <w:numPr>
          <w:ilvl w:val="0"/>
          <w:numId w:val="20"/>
        </w:numPr>
        <w:spacing w:after="160" w:line="279" w:lineRule="auto"/>
        <w:jc w:val="both"/>
      </w:pPr>
      <w:r>
        <w:t xml:space="preserve">Embrace a Zero Trust Strategy: Encourage customers to adopt a Zero Trust model where every access request is verified and no user or device is inherently trusted – even if inside the network perimeter. This entails strong identity verification, device compliance checks, and least privilege access enforcement for every </w:t>
      </w:r>
      <w:proofErr w:type="gramStart"/>
      <w:r>
        <w:t>session .</w:t>
      </w:r>
      <w:proofErr w:type="gramEnd"/>
      <w:r>
        <w:t xml:space="preserve"> Microsoft’s platform is designed for Zero Trust, with Azure AD Conditional Access, continuous access evaluation, and device health integration (via Intune) to ensure all sessions meet security requirements.</w:t>
      </w:r>
    </w:p>
    <w:p w14:paraId="35CCCD47" w14:textId="77777777" w:rsidR="004B7D4C" w:rsidRDefault="004B7D4C" w:rsidP="00B977FB">
      <w:pPr>
        <w:pStyle w:val="ListParagraph"/>
        <w:numPr>
          <w:ilvl w:val="0"/>
          <w:numId w:val="20"/>
        </w:numPr>
        <w:spacing w:after="160" w:line="279" w:lineRule="auto"/>
        <w:jc w:val="both"/>
      </w:pPr>
      <w:r>
        <w:t>Implement Multi-layer Defense-in-Depth: Design cloud architectures with multiple layers of security controls that complement each other. Microsoft recommends focusing on five core pillars of cloud defense:</w:t>
      </w:r>
    </w:p>
    <w:p w14:paraId="0CEBEED8" w14:textId="77777777" w:rsidR="004B7D4C" w:rsidRDefault="004B7D4C" w:rsidP="00B977FB">
      <w:pPr>
        <w:pStyle w:val="ListParagraph"/>
        <w:numPr>
          <w:ilvl w:val="1"/>
          <w:numId w:val="20"/>
        </w:numPr>
        <w:spacing w:after="160" w:line="279" w:lineRule="auto"/>
        <w:jc w:val="both"/>
      </w:pPr>
      <w:r>
        <w:t>Identity &amp; Access Management: Use Azure AD/Entra to enforce MFA for all users, implement role-based access control (RBAC) and just-in-time admin access, and actively monitor identity risks with tools like Entra ID Protection.</w:t>
      </w:r>
    </w:p>
    <w:p w14:paraId="523683F9" w14:textId="77777777" w:rsidR="004B7D4C" w:rsidRDefault="004B7D4C" w:rsidP="00B977FB">
      <w:pPr>
        <w:pStyle w:val="ListParagraph"/>
        <w:numPr>
          <w:ilvl w:val="1"/>
          <w:numId w:val="20"/>
        </w:numPr>
        <w:spacing w:after="160" w:line="279" w:lineRule="auto"/>
        <w:jc w:val="both"/>
      </w:pPr>
      <w:r>
        <w:t>Endpoint and Device Security: Manage and secure all endpoints (workstations, mobile, servers) with Intune and Defender for Endpoint. Verify device compliance (patched OS, encryption enabled) before granting access to corporate data. This reduces the risk of compromised devices becoming entry points for attackers.</w:t>
      </w:r>
    </w:p>
    <w:p w14:paraId="1071C772" w14:textId="77777777" w:rsidR="004B7D4C" w:rsidRDefault="004B7D4C" w:rsidP="00B977FB">
      <w:pPr>
        <w:pStyle w:val="ListParagraph"/>
        <w:numPr>
          <w:ilvl w:val="1"/>
          <w:numId w:val="20"/>
        </w:numPr>
        <w:spacing w:after="160" w:line="279" w:lineRule="auto"/>
        <w:jc w:val="both"/>
      </w:pPr>
      <w:r>
        <w:t>Network Segmentation &amp; Protection: Architect cloud networks with proper segmentation (using subnets/VNETs and NSGs) to limit lateral movement. Employ Azure Firewall and WAF to inspect and block malicious traffic at network boundaries. Ensure secure connectivity for hybrid scenarios via VPN or Azure ExpressRoute with encryption. Enforce Zero Trust network access – for example, use Azure AD Application Proxy or newer Secure Access Service Edge (SASE) solutions instead of assuming on-prem network traffic is “trusted.”</w:t>
      </w:r>
    </w:p>
    <w:p w14:paraId="77FD07AC" w14:textId="77777777" w:rsidR="004B7D4C" w:rsidRDefault="004B7D4C" w:rsidP="00B977FB">
      <w:pPr>
        <w:pStyle w:val="ListParagraph"/>
        <w:numPr>
          <w:ilvl w:val="1"/>
          <w:numId w:val="20"/>
        </w:numPr>
        <w:spacing w:after="160" w:line="279" w:lineRule="auto"/>
        <w:jc w:val="both"/>
      </w:pPr>
      <w:r>
        <w:t>Application &amp; Data Security: Integrate security into application design (</w:t>
      </w:r>
      <w:proofErr w:type="spellStart"/>
      <w:r>
        <w:t>DevSecOps</w:t>
      </w:r>
      <w:proofErr w:type="spellEnd"/>
      <w:r>
        <w:t>). Use Azure’s native capabilities like App Service sandboxing, container security features, and Azure Web App Firewall to protect applications. Protect data with encryption at rest and in transit; utilize Azure Key Vault to manage keys and secrets securely. Classify sensitive data and enforce DLP controls via Purview to prevent accidental exposure of information.</w:t>
      </w:r>
    </w:p>
    <w:p w14:paraId="411C5895" w14:textId="77777777" w:rsidR="004B7D4C" w:rsidRDefault="004B7D4C" w:rsidP="00B977FB">
      <w:pPr>
        <w:pStyle w:val="ListParagraph"/>
        <w:numPr>
          <w:ilvl w:val="1"/>
          <w:numId w:val="20"/>
        </w:numPr>
        <w:spacing w:after="160" w:line="279" w:lineRule="auto"/>
        <w:jc w:val="both"/>
      </w:pPr>
      <w:r>
        <w:t xml:space="preserve">Security Operations &amp; Monitoring: Establish centralized visibility of all logs and alerts through Microsoft Sentinel. Leverage its AI-driven correlation rules and user behavior analytics to spot </w:t>
      </w:r>
      <w:r>
        <w:lastRenderedPageBreak/>
        <w:t>anomalies that may signal breaches. Configure automated responses (SOAR runbooks) to immediately contain threats (e.g., disable a compromised account or isolate an infected VM) when indicators trigger. Also use Azure Monitor and Microsoft Defender alerts to continuously watch for suspicious activities across subscriptions, networks, and identities.</w:t>
      </w:r>
    </w:p>
    <w:p w14:paraId="777F12C9" w14:textId="77777777" w:rsidR="004B7D4C" w:rsidRDefault="004B7D4C" w:rsidP="00B977FB">
      <w:pPr>
        <w:pStyle w:val="ListParagraph"/>
        <w:numPr>
          <w:ilvl w:val="0"/>
          <w:numId w:val="20"/>
        </w:numPr>
        <w:spacing w:after="160" w:line="279" w:lineRule="auto"/>
        <w:jc w:val="both"/>
      </w:pPr>
      <w:r>
        <w:t>Leverage the Shared Responsibility Model: Ensure customers understand their responsibilities in cloud security. While Microsoft secures the cloud infrastructure (physical datacenters, network, hypervisor, service-layer security), the customer (often with a partner’s help) must securely configure and operate everything in the cloud. That means enforcing security best practices on identities, apps, data, and devices as described above. It also means leveraging cloud-native protections: for example, turning on Azure DDoS Protection, enabling service encryption, and applying security patches (or using Azure’s managed services that handle patching). Microsoft’s Azure Security Benchmark and Well-Architected Framework provide baseline controls and best practices that map to common standards, which partners should use as guidance when designing and reviewing cloud architectures.</w:t>
      </w:r>
    </w:p>
    <w:p w14:paraId="61008DDF" w14:textId="77777777" w:rsidR="004B7D4C" w:rsidRDefault="004B7D4C" w:rsidP="00B977FB">
      <w:pPr>
        <w:pStyle w:val="ListParagraph"/>
        <w:numPr>
          <w:ilvl w:val="0"/>
          <w:numId w:val="20"/>
        </w:numPr>
        <w:spacing w:after="160" w:line="279" w:lineRule="auto"/>
        <w:jc w:val="both"/>
      </w:pPr>
      <w:r>
        <w:t>Establish Compliance and Governance Early: Integrate compliance requirements into the cloud design from the start. Use Azure Policy to enforce organizational standards (like requiring encryption or specific VM configurations) across all resources. Azure Policy, combined with management groups and Azure Blueprints, lets partners ensure that deployments adhere to security and compliance rules globally (e.g., disallowing public storage buckets or requiring Azure Defender on all key resources). Additionally, use Microsoft Purview’s Compliance Manager to map cloud controls to regulatory frameworks and continuously track compliance status.</w:t>
      </w:r>
    </w:p>
    <w:p w14:paraId="6D4F90BB" w14:textId="77777777" w:rsidR="004B7D4C" w:rsidRDefault="004B7D4C" w:rsidP="00B977FB">
      <w:pPr>
        <w:pStyle w:val="ListParagraph"/>
        <w:numPr>
          <w:ilvl w:val="0"/>
          <w:numId w:val="20"/>
        </w:numPr>
        <w:spacing w:after="160" w:line="279" w:lineRule="auto"/>
        <w:jc w:val="both"/>
      </w:pPr>
      <w:r>
        <w:t xml:space="preserve">Incident Response Planning: Every cloud adoption or migration should include a robust incident response plan. Partners should help clients define processes for detecting, reporting, and responding to security incidents in the cloud. Key steps include configuring alerting (e.g., </w:t>
      </w:r>
      <w:proofErr w:type="gramStart"/>
      <w:r>
        <w:t>set</w:t>
      </w:r>
      <w:proofErr w:type="gramEnd"/>
      <w:r>
        <w:t xml:space="preserve"> up Sentinel to alert on high-severity incidents), defining roles and communication channels for incident response, rehearsing response via drills, and ensuring regular backups and disaster recovery processes are in place for quick </w:t>
      </w:r>
      <w:proofErr w:type="gramStart"/>
      <w:r>
        <w:t>recovery .</w:t>
      </w:r>
      <w:proofErr w:type="gramEnd"/>
      <w:r>
        <w:t xml:space="preserve"> Microsoft’s cloud services can facilitate this – for instance, Azure Backup and Site Recovery for data resilience, and Microsoft Sentinel’s built-in incident management and </w:t>
      </w:r>
      <w:proofErr w:type="spellStart"/>
      <w:r>
        <w:t>Jupyter</w:t>
      </w:r>
      <w:proofErr w:type="spellEnd"/>
      <w:r>
        <w:t xml:space="preserve"> Notebooks for post-incident investigation.</w:t>
      </w:r>
    </w:p>
    <w:p w14:paraId="20704548" w14:textId="77777777" w:rsidR="004B7D4C" w:rsidRDefault="004B7D4C" w:rsidP="00B977FB">
      <w:pPr>
        <w:pStyle w:val="ListParagraph"/>
        <w:numPr>
          <w:ilvl w:val="0"/>
          <w:numId w:val="20"/>
        </w:numPr>
        <w:spacing w:after="160" w:line="279" w:lineRule="auto"/>
        <w:jc w:val="both"/>
      </w:pPr>
      <w:r>
        <w:t>Continuous Monitoring and Improvement: Cloud security is not a “set-and-forget” exercise; it requires ongoing effort. Leverage continuous monitoring tools such as Microsoft Defender for Cloud (for security posture) and Sentinel (for threats) to get real-time insights into new vulnerabilities or threats. Regularly review Secure Score in both Azure and Microsoft 365 to gauge improvements. Apply security updates and patches promptly to cloud VMs, containers, and applications (Azure Update Management and Windows Autopatch can automate this). Periodically perform security assessments and penetration tests to validate the effectiveness of controls and uncover gaps. Finally, invest in ongoing staff training and awareness programs – often the weakest link is human error, so educating end users and IT staff on security best practices (phishing prevention, safe data handling, etc.) is critical. Microsoft Learn, Microsoft Security blogs, and partner-led training sessions can all help keep skills up to date.</w:t>
      </w:r>
    </w:p>
    <w:p w14:paraId="0E1E8BA3" w14:textId="77777777" w:rsidR="004B7D4C" w:rsidRDefault="004B7D4C" w:rsidP="00B977FB">
      <w:pPr>
        <w:jc w:val="both"/>
      </w:pPr>
      <w:r>
        <w:t xml:space="preserve">By following these architectural principles and best practices, partners can design and implement cloud environments that are resilient against attacks, compliant with regulations, and aligned with Microsoft’s recommended standards. Microsoft has published extensive guidance (e.g. Azure Security Top 10 Best Practices, Cloud Adoption Framework security guidance, and Azure Security Benchmark) which partners should utilize to ensure alignment with </w:t>
      </w:r>
      <w:proofErr w:type="gramStart"/>
      <w:r>
        <w:t>industry</w:t>
      </w:r>
      <w:proofErr w:type="gramEnd"/>
      <w:r>
        <w:t xml:space="preserve"> best practices.</w:t>
      </w:r>
    </w:p>
    <w:p w14:paraId="44DFB3B2" w14:textId="77777777" w:rsidR="004B7D4C" w:rsidRDefault="004B7D4C" w:rsidP="00B977FB">
      <w:pPr>
        <w:pStyle w:val="Heading2"/>
        <w:jc w:val="both"/>
      </w:pPr>
      <w:r>
        <w:lastRenderedPageBreak/>
        <w:t>Deployment and Implementation Best Practices</w:t>
      </w:r>
    </w:p>
    <w:p w14:paraId="54FD9871" w14:textId="77777777" w:rsidR="004B7D4C" w:rsidRDefault="004B7D4C" w:rsidP="00B977FB">
      <w:pPr>
        <w:jc w:val="both"/>
      </w:pPr>
      <w:r>
        <w:t>Implementing Microsoft Cloud Security solutions in a partner-led project typically involves a structured approach. Below are practical steps and best practices for rolling out security solutions across the Microsoft Cloud portfolio:</w:t>
      </w:r>
    </w:p>
    <w:p w14:paraId="1FCE0CA8" w14:textId="77777777" w:rsidR="004B7D4C" w:rsidRDefault="004B7D4C" w:rsidP="00B977FB">
      <w:pPr>
        <w:pStyle w:val="ListParagraph"/>
        <w:numPr>
          <w:ilvl w:val="0"/>
          <w:numId w:val="21"/>
        </w:numPr>
        <w:spacing w:after="160" w:line="279" w:lineRule="auto"/>
        <w:jc w:val="both"/>
      </w:pPr>
      <w:r>
        <w:t>Assessment &amp; Planning: Start with a comprehensive security assessment of the customer’s current environment. Identify critical assets, compliance requirements, and current gaps or risks. Microsoft provides tools like Secure Score, Azure Advisor, and Microsoft’s Cloud Security Assessment templates to help baseline a customer’s security posture. As a partner, you can also leverage funded engagements (e.g., a Cloud Security Envisioning Workshop) to help the customer discover vulnerabilities in their Azure and multi-cloud environments and develop a remediation roadmap. Use this assessment to prioritize high-impact security controls (for example, enabling MFA and hardening internet-facing resources might be urgent steps).</w:t>
      </w:r>
    </w:p>
    <w:p w14:paraId="3EC84832" w14:textId="77777777" w:rsidR="004B7D4C" w:rsidRDefault="004B7D4C" w:rsidP="00B977FB">
      <w:pPr>
        <w:pStyle w:val="ListParagraph"/>
        <w:numPr>
          <w:ilvl w:val="0"/>
          <w:numId w:val="21"/>
        </w:numPr>
        <w:spacing w:after="160" w:line="279" w:lineRule="auto"/>
        <w:jc w:val="both"/>
      </w:pPr>
      <w:r>
        <w:t xml:space="preserve">Identity Quick Wins: Implement Azure AD (Entra ID) enhancements early, as identity underpins all cloud services. Require Multi-Factor Authentication for all users (partner guidance: MFA for global admins and users is the single most effective step to prevent account breaches). Next, enforce Conditional Access policies (e.g., blocking risky sign-ins, requiring compliant devices for sensitive apps). Establish single sign-on for all key applications to eliminate unmanaged shadow identities. If the customer has on-premises AD, plan for hybrid identity (Azure AD Connect) and possibly introduce </w:t>
      </w:r>
      <w:proofErr w:type="spellStart"/>
      <w:r>
        <w:t>passwordless</w:t>
      </w:r>
      <w:proofErr w:type="spellEnd"/>
      <w:r>
        <w:t xml:space="preserve"> authentication (Windows Hello, FIDO2 keys, Authenticator app) for improved security and user </w:t>
      </w:r>
      <w:proofErr w:type="gramStart"/>
      <w:r>
        <w:t>experience .</w:t>
      </w:r>
      <w:proofErr w:type="gramEnd"/>
    </w:p>
    <w:p w14:paraId="248684BA" w14:textId="77777777" w:rsidR="004B7D4C" w:rsidRDefault="004B7D4C" w:rsidP="00B977FB">
      <w:pPr>
        <w:pStyle w:val="ListParagraph"/>
        <w:numPr>
          <w:ilvl w:val="0"/>
          <w:numId w:val="21"/>
        </w:numPr>
        <w:spacing w:after="160" w:line="279" w:lineRule="auto"/>
        <w:jc w:val="both"/>
      </w:pPr>
      <w:r>
        <w:t xml:space="preserve">Device &amp; Endpoint Hardening: Use Microsoft Intune to enroll and remediate user devices. Apply security baselines (for Windows, iOS, Android) and ensure compliance policies are in place (e.g., device PIN, encryption via BitLocker for Windows or </w:t>
      </w:r>
      <w:proofErr w:type="spellStart"/>
      <w:r>
        <w:t>FileVault</w:t>
      </w:r>
      <w:proofErr w:type="spellEnd"/>
      <w:r>
        <w:t xml:space="preserve"> for Mac, up-to-date antivirus) before devices can access corporate data. Deploy Microsoft Defender for Endpoint across all endpoints and utilize its vulnerability management to find and fix misconfigurations or missing patches on endpoints. If the customer has existing endpoint security, plan a transition period where Defender can run in passive mode until fully switched.</w:t>
      </w:r>
    </w:p>
    <w:p w14:paraId="579E8FE3" w14:textId="77777777" w:rsidR="004B7D4C" w:rsidRDefault="004B7D4C" w:rsidP="00B977FB">
      <w:pPr>
        <w:pStyle w:val="ListParagraph"/>
        <w:numPr>
          <w:ilvl w:val="0"/>
          <w:numId w:val="21"/>
        </w:numPr>
        <w:spacing w:after="160" w:line="279" w:lineRule="auto"/>
        <w:jc w:val="both"/>
      </w:pPr>
      <w:r>
        <w:t>Enable Threat Protection Services: Deploy Microsoft 365 Defender components in a coordinated way:</w:t>
      </w:r>
    </w:p>
    <w:p w14:paraId="7902D9C5" w14:textId="77777777" w:rsidR="004B7D4C" w:rsidRDefault="004B7D4C" w:rsidP="00B977FB">
      <w:pPr>
        <w:pStyle w:val="ListParagraph"/>
        <w:numPr>
          <w:ilvl w:val="1"/>
          <w:numId w:val="21"/>
        </w:numPr>
        <w:spacing w:after="160" w:line="279" w:lineRule="auto"/>
        <w:jc w:val="both"/>
      </w:pPr>
      <w:r>
        <w:t>On email and collaboration workloads, enable Defender for Office 365 to provide phishing, malware, and spam protection beyond what Exchange Online Protection offers. Configure safe links/safe attachments policies and train users on identifying phishing (perhaps through attack simulation training, which is included in Defender for O365).</w:t>
      </w:r>
    </w:p>
    <w:p w14:paraId="7D694064" w14:textId="77777777" w:rsidR="004B7D4C" w:rsidRDefault="004B7D4C" w:rsidP="00B977FB">
      <w:pPr>
        <w:pStyle w:val="ListParagraph"/>
        <w:numPr>
          <w:ilvl w:val="1"/>
          <w:numId w:val="21"/>
        </w:numPr>
        <w:spacing w:after="160" w:line="279" w:lineRule="auto"/>
        <w:jc w:val="both"/>
      </w:pPr>
      <w:r>
        <w:t>In cloud apps, activate Defender for Cloud Apps (MCAS) to gain visibility into Shadow IT (unsanctioned app usage) and apply policies for data exfiltration (e.g., blocking downloads of sensitive files from unmanaged devices).</w:t>
      </w:r>
    </w:p>
    <w:p w14:paraId="49D836D6" w14:textId="77777777" w:rsidR="004B7D4C" w:rsidRDefault="004B7D4C" w:rsidP="00B977FB">
      <w:pPr>
        <w:pStyle w:val="ListParagraph"/>
        <w:numPr>
          <w:ilvl w:val="1"/>
          <w:numId w:val="21"/>
        </w:numPr>
        <w:spacing w:after="160" w:line="279" w:lineRule="auto"/>
        <w:jc w:val="both"/>
      </w:pPr>
      <w:r>
        <w:t xml:space="preserve">For identity threats, deploy Defender for Identity sensors </w:t>
      </w:r>
      <w:proofErr w:type="gramStart"/>
      <w:r>
        <w:t>on-premises</w:t>
      </w:r>
      <w:proofErr w:type="gramEnd"/>
      <w:r>
        <w:t xml:space="preserve"> (if the customer has Active Directory) to detect lateral movement, golden ticket attacks, and other advanced attacks on AD accounts.</w:t>
      </w:r>
    </w:p>
    <w:p w14:paraId="06BC88FC" w14:textId="77777777" w:rsidR="004B7D4C" w:rsidRDefault="004B7D4C" w:rsidP="00B977FB">
      <w:pPr>
        <w:pStyle w:val="ListParagraph"/>
        <w:numPr>
          <w:ilvl w:val="1"/>
          <w:numId w:val="21"/>
        </w:numPr>
        <w:spacing w:after="160" w:line="279" w:lineRule="auto"/>
        <w:jc w:val="both"/>
      </w:pPr>
      <w:r>
        <w:t>Integrate all these with the Microsoft 365 Defender portal for unified incident recording. Enable automation in the portal – for example, use automated investigation and response (AIR) capabilities to let Defender products automatically remediate detected threats (such as isolating a machine or removing a malicious email attachment) when confidence is high.</w:t>
      </w:r>
    </w:p>
    <w:p w14:paraId="09DFEBD7" w14:textId="77777777" w:rsidR="004B7D4C" w:rsidRDefault="004B7D4C" w:rsidP="00B977FB">
      <w:pPr>
        <w:pStyle w:val="ListParagraph"/>
        <w:numPr>
          <w:ilvl w:val="0"/>
          <w:numId w:val="21"/>
        </w:numPr>
        <w:spacing w:after="160" w:line="279" w:lineRule="auto"/>
        <w:jc w:val="both"/>
      </w:pPr>
      <w:r>
        <w:t xml:space="preserve">Cloud Workload Protection: On the Azure side, enable Microsoft Defender for Cloud across all subscriptions early. This will immediately provide a Secure Score and list of security recommendations (e.g., open management ports, missing encryption, unpatched systems) that partners can systematically address. Prioritize critical issues: for instance, enable Azure Firewall or NSGs on any exposed subnet lacking network ACLs, turn on disk encryption for VMs, apply just-in-time VM access for management ports, and ensure </w:t>
      </w:r>
      <w:r>
        <w:lastRenderedPageBreak/>
        <w:t>Azure Backup is configured for key data stores. For any non-Azure resources (AWS or on-premises VMs, Kubernetes clusters, etc.), onboard them into Defender for Cloud for a unified view of security posture. Set up Azure Policy initiatives in audit or enforcement mode to automatically flag non-compliant resources (like untagged assets, or use of weak TLS versions) and help maintain standards.</w:t>
      </w:r>
    </w:p>
    <w:p w14:paraId="6E6744BC" w14:textId="77777777" w:rsidR="004B7D4C" w:rsidRDefault="004B7D4C" w:rsidP="00B977FB">
      <w:pPr>
        <w:pStyle w:val="ListParagraph"/>
        <w:numPr>
          <w:ilvl w:val="0"/>
          <w:numId w:val="21"/>
        </w:numPr>
        <w:spacing w:after="160" w:line="279" w:lineRule="auto"/>
        <w:jc w:val="both"/>
      </w:pPr>
      <w:r>
        <w:t xml:space="preserve">Security Monitoring &amp; SIEM Integration: Configure Microsoft Sentinel to aggregate logs from all relevant sources. This typically involves connecting Azure AD sign-in logs, Azure activity logs, Microsoft 365 Defender incidents, and telemetry from servers, VMs, firewalls, and other devices into Sentinel. Leverage built-in data connectors for Microsoft 365, Azure, and partner solutions (firewalls, VPNs, etc.) to ensure comprehensive coverage. Once data is flowing, enable built-in analytics rules (or deploy Microsoft-provided workbooks and rule templates from GitHub) to detect anomalies. Partners should tailor a few high-priority analytics rules to the customer’s environment (for example, alerts for mass download of data from SharePoint, or impossible travel logins indicating possible account breach). Set up automated playbooks in Sentinel for common incident types – e.g., a playbook to disable a user and notify IT if a high-risk sign-in is detected, or to isolate a VM if a critical malware alert </w:t>
      </w:r>
      <w:proofErr w:type="gramStart"/>
      <w:r>
        <w:t>triggers .</w:t>
      </w:r>
      <w:proofErr w:type="gramEnd"/>
      <w:r>
        <w:t xml:space="preserve"> These automations can dramatically reduce response times and lighten the load on security personnel (as seen with ABM’s case, where automated playbooks in Sentinel resolved a large fraction of alerts without human intervention</w:t>
      </w:r>
      <w:proofErr w:type="gramStart"/>
      <w:r>
        <w:t>) .</w:t>
      </w:r>
      <w:proofErr w:type="gramEnd"/>
    </w:p>
    <w:p w14:paraId="0AC4D1E4" w14:textId="77777777" w:rsidR="004B7D4C" w:rsidRDefault="004B7D4C" w:rsidP="00B977FB">
      <w:pPr>
        <w:pStyle w:val="ListParagraph"/>
        <w:numPr>
          <w:ilvl w:val="0"/>
          <w:numId w:val="21"/>
        </w:numPr>
        <w:spacing w:after="160" w:line="279" w:lineRule="auto"/>
        <w:jc w:val="both"/>
      </w:pPr>
      <w:r>
        <w:t>Information Protection &amp; Compliance Configuration: Work with the customer’s compliance team to implement Purview solutions. Start by using Purview (Azure) Information Protection to define sensitivity labels (Confidential, Highly Confidential, etc.) and publish labeling policies to users so they can classify documents and emails. Then configure Data Loss Prevention policies across Exchange, SharePoint/OneDrive, Teams, and endpoint devices to prevent sensitive data (like credit card numbers or personal data) from being shared inappropriately. Set up retention policies for data if needed (using Purview Data Lifecycle Management) to ensure data is kept or deleted in accordance with regulations. If the customer handles regulated data, enable audit logging and eDiscovery through Purview solutions to facilitate investigations and legal holds. Finally, regularly review compliance scorecards and dashboards in Purview Compliance Manager to track improvement and address any unmet control requirements.</w:t>
      </w:r>
    </w:p>
    <w:p w14:paraId="3BB4D964" w14:textId="77777777" w:rsidR="004B7D4C" w:rsidRDefault="004B7D4C" w:rsidP="00B977FB">
      <w:pPr>
        <w:pStyle w:val="ListParagraph"/>
        <w:numPr>
          <w:ilvl w:val="0"/>
          <w:numId w:val="21"/>
        </w:numPr>
        <w:spacing w:after="160" w:line="279" w:lineRule="auto"/>
        <w:jc w:val="both"/>
      </w:pPr>
      <w:r>
        <w:t xml:space="preserve">Testing &amp; User Education: Before full roll-out, test all security controls in a pilot. Verify that Conditional Access policies or DLP rules are not inadvertently over-blocking business activity, and adjust as needed (e.g., define trusted locations or service accounts exempt from certain controls if </w:t>
      </w:r>
      <w:proofErr w:type="gramStart"/>
      <w:r>
        <w:t>absolutely necessary</w:t>
      </w:r>
      <w:proofErr w:type="gramEnd"/>
      <w:r>
        <w:t xml:space="preserve">). Plan a change management and user education program so that end-users understand new security measures – for example, how to use the Authenticator app for MFA, or the importance of labeling documents. Provide training to </w:t>
      </w:r>
      <w:proofErr w:type="gramStart"/>
      <w:r>
        <w:t>customer’s</w:t>
      </w:r>
      <w:proofErr w:type="gramEnd"/>
      <w:r>
        <w:t xml:space="preserve"> security operations staff on using the Microsoft 365 Defender portal and </w:t>
      </w:r>
      <w:proofErr w:type="gramStart"/>
      <w:r>
        <w:t>Sentinel</w:t>
      </w:r>
      <w:proofErr w:type="gramEnd"/>
      <w:r>
        <w:t>. Microsoft offers extensive technical training for partners and IT pros (Microsoft Learn modules, certification paths such as SC-900 Security Fundamentals and advanced SC-series exams), which partners should leverage to skill up teams and clients.</w:t>
      </w:r>
    </w:p>
    <w:p w14:paraId="2404A8B2" w14:textId="77777777" w:rsidR="004B7D4C" w:rsidRDefault="004B7D4C" w:rsidP="00B977FB">
      <w:pPr>
        <w:pStyle w:val="ListParagraph"/>
        <w:numPr>
          <w:ilvl w:val="0"/>
          <w:numId w:val="21"/>
        </w:numPr>
        <w:spacing w:after="160" w:line="279" w:lineRule="auto"/>
        <w:jc w:val="both"/>
      </w:pPr>
      <w:r>
        <w:t>Deployment and Handoff: Execute a phased deployment – possibly starting with identity and endpoint protections (quick wins), then moving to cloud infrastructure hardening, and finally fine-tuning monitoring and compliance. Throughout the deployment, document the configuration (for example, keep an architecture diagram of the security components and an operations runbook for the customer’s SOC processes). Before project closure, conduct a final security posture review to show improvements (using Secure Score comparisons, fewer critical alerts, etc.). Ensure the customer’s team has the knowledge and documentation to operate or co-manage the solutions. Many partners offer ongoing managed security services or co-managed SOC arrangements – consider if the customer would benefit from continuous support. A formal handoff or even running a simulated incident drill at the end of the deployment can boost the customer’s confidence in managing the new security toolsets.</w:t>
      </w:r>
    </w:p>
    <w:p w14:paraId="61C8868F" w14:textId="77777777" w:rsidR="004B7D4C" w:rsidRDefault="004B7D4C" w:rsidP="00B977FB">
      <w:pPr>
        <w:pStyle w:val="Heading2"/>
        <w:jc w:val="both"/>
      </w:pPr>
      <w:r>
        <w:lastRenderedPageBreak/>
        <w:t>Partner Opportunity and Business Value in Microsoft Cloud Security</w:t>
      </w:r>
    </w:p>
    <w:p w14:paraId="64DF0A3E" w14:textId="77777777" w:rsidR="004B7D4C" w:rsidRDefault="004B7D4C" w:rsidP="00B977FB">
      <w:pPr>
        <w:jc w:val="both"/>
      </w:pPr>
      <w:r>
        <w:t xml:space="preserve">For Microsoft </w:t>
      </w:r>
      <w:proofErr w:type="gramStart"/>
      <w:r>
        <w:t>partners—</w:t>
      </w:r>
      <w:proofErr w:type="gramEnd"/>
      <w:r>
        <w:t xml:space="preserve">especially System Integrators and security service </w:t>
      </w:r>
      <w:proofErr w:type="gramStart"/>
      <w:r>
        <w:t>providers—</w:t>
      </w:r>
      <w:proofErr w:type="gramEnd"/>
      <w:r>
        <w:t>the Microsoft Cloud Security solution area presents robust opportunities to create value for customers and to grow your business. Security is top-of-mind for organizations of all sizes, and partners with the right skills can offer end-to-end solutions that address this need. Key partner opportunity areas include:</w:t>
      </w:r>
    </w:p>
    <w:p w14:paraId="5B98D4BF" w14:textId="77777777" w:rsidR="004B7D4C" w:rsidRDefault="004B7D4C" w:rsidP="00B977FB">
      <w:pPr>
        <w:pStyle w:val="ListParagraph"/>
        <w:numPr>
          <w:ilvl w:val="0"/>
          <w:numId w:val="22"/>
        </w:numPr>
        <w:spacing w:after="160" w:line="279" w:lineRule="auto"/>
        <w:jc w:val="both"/>
      </w:pPr>
      <w:r>
        <w:t>Advisory &amp; Assessment Services: Partners can offer security assessments, risk workshops, and Zero Trust strategy sessions to help customers understand their current security posture and develop a roadmap. For example, running Microsoft’s Cloud Security Envisioning Workshops (often funded by Microsoft for eligible customers) allows partners to engage customers by identifying real threats in their environment and mapping out solutions. Such advisory services position the partner as a trusted security advisor and often lead to downstream implementation projects.</w:t>
      </w:r>
    </w:p>
    <w:p w14:paraId="112696A1" w14:textId="77777777" w:rsidR="004B7D4C" w:rsidRDefault="004B7D4C" w:rsidP="00B977FB">
      <w:pPr>
        <w:pStyle w:val="ListParagraph"/>
        <w:numPr>
          <w:ilvl w:val="0"/>
          <w:numId w:val="22"/>
        </w:numPr>
        <w:spacing w:after="160" w:line="279" w:lineRule="auto"/>
        <w:jc w:val="both"/>
      </w:pPr>
      <w:r>
        <w:t>Architecture Design &amp; Zero Trust Implementation: There is high demand for designing secure cloud architectures that align with best practices and regulatory requirements. Partners can provide services like Cloud Security Architecture and Design – creating reference architectures that incorporate Microsoft security components across Azure and Microsoft 365. This often includes Zero Trust framework implementation (covering identity, device, network segmentation, and data protection architecture) tailored to the client’s environment.</w:t>
      </w:r>
    </w:p>
    <w:p w14:paraId="106D5FE7" w14:textId="77777777" w:rsidR="004B7D4C" w:rsidRDefault="004B7D4C" w:rsidP="00B977FB">
      <w:pPr>
        <w:pStyle w:val="ListParagraph"/>
        <w:numPr>
          <w:ilvl w:val="0"/>
          <w:numId w:val="22"/>
        </w:numPr>
        <w:spacing w:after="160" w:line="279" w:lineRule="auto"/>
        <w:jc w:val="both"/>
      </w:pPr>
      <w:r>
        <w:t xml:space="preserve">Deployment &amp; Integration Projects: Implementing security tools can be complex, and organizations look </w:t>
      </w:r>
      <w:proofErr w:type="gramStart"/>
      <w:r>
        <w:t>to</w:t>
      </w:r>
      <w:proofErr w:type="gramEnd"/>
      <w:r>
        <w:t xml:space="preserve"> partners to deploy solutions like Microsoft Sentinel, Defender for Cloud, or Microsoft 365 Defender in a way that integrates with their IT environment. Partners can offer specialized deployment services such as:</w:t>
      </w:r>
    </w:p>
    <w:p w14:paraId="4F04EA59" w14:textId="77777777" w:rsidR="004B7D4C" w:rsidRDefault="004B7D4C" w:rsidP="00B977FB">
      <w:pPr>
        <w:pStyle w:val="ListParagraph"/>
        <w:numPr>
          <w:ilvl w:val="1"/>
          <w:numId w:val="22"/>
        </w:numPr>
        <w:spacing w:after="160" w:line="279" w:lineRule="auto"/>
        <w:jc w:val="both"/>
      </w:pPr>
      <w:r>
        <w:t>Secure Configuration of Cloud Workloads: Hardening Azure subscriptions (governance, policies, secure VNet design, Azure Firewall, etc.) and enabling Defender for Cloud across hybrid/cloud workloads.</w:t>
      </w:r>
    </w:p>
    <w:p w14:paraId="0A9F3279" w14:textId="77777777" w:rsidR="004B7D4C" w:rsidRDefault="004B7D4C" w:rsidP="00B977FB">
      <w:pPr>
        <w:pStyle w:val="ListParagraph"/>
        <w:numPr>
          <w:ilvl w:val="1"/>
          <w:numId w:val="22"/>
        </w:numPr>
        <w:spacing w:after="160" w:line="279" w:lineRule="auto"/>
        <w:jc w:val="both"/>
      </w:pPr>
      <w:r>
        <w:t>XDR Implementation: Rolling out Microsoft 365 Defender components and tuning them to customer needs (e.g., onboarding endpoints to Defender, setting up SIEM connectors).</w:t>
      </w:r>
    </w:p>
    <w:p w14:paraId="18601324" w14:textId="77777777" w:rsidR="004B7D4C" w:rsidRDefault="004B7D4C" w:rsidP="00B977FB">
      <w:pPr>
        <w:pStyle w:val="ListParagraph"/>
        <w:numPr>
          <w:ilvl w:val="1"/>
          <w:numId w:val="22"/>
        </w:numPr>
        <w:spacing w:after="160" w:line="279" w:lineRule="auto"/>
        <w:jc w:val="both"/>
      </w:pPr>
      <w:r>
        <w:t xml:space="preserve">Application Security &amp; </w:t>
      </w:r>
      <w:proofErr w:type="spellStart"/>
      <w:r>
        <w:t>DevSecOps</w:t>
      </w:r>
      <w:proofErr w:type="spellEnd"/>
      <w:r>
        <w:t>: Consulting on how to embed security into cloud application development. This could involve configuring DevOps security tools like Defender for DevOps or GitHub Advanced Security, scanning code for vulnerabilities, and setting up secure CI/CD pipelines.</w:t>
      </w:r>
    </w:p>
    <w:p w14:paraId="38CB14FC" w14:textId="77777777" w:rsidR="004B7D4C" w:rsidRDefault="004B7D4C" w:rsidP="00B977FB">
      <w:pPr>
        <w:pStyle w:val="ListParagraph"/>
        <w:numPr>
          <w:ilvl w:val="1"/>
          <w:numId w:val="22"/>
        </w:numPr>
        <w:spacing w:after="160" w:line="279" w:lineRule="auto"/>
        <w:jc w:val="both"/>
      </w:pPr>
      <w:r>
        <w:t>Data &amp; Compliance Solutions: Deploying Purview for customers, including setting up data classification, DLP, and compliance reporting. This often requires aligning technology implementation with internal compliance teams and processes, an area where partners can provide valuable expertise.</w:t>
      </w:r>
    </w:p>
    <w:p w14:paraId="61F0D745" w14:textId="77777777" w:rsidR="004B7D4C" w:rsidRDefault="004B7D4C" w:rsidP="00B977FB">
      <w:pPr>
        <w:pStyle w:val="ListParagraph"/>
        <w:numPr>
          <w:ilvl w:val="0"/>
          <w:numId w:val="22"/>
        </w:numPr>
        <w:spacing w:after="160" w:line="279" w:lineRule="auto"/>
        <w:jc w:val="both"/>
      </w:pPr>
      <w:r>
        <w:t>Managed Security Operations (MDR/XDR services): Many partners build a Managed Detection and Response (MDR) service on top of Microsoft’s tools. By utilizing Microsoft Sentinel and the Defender suite, a partner can monitor a customer’s environment 24/7, handle incident response, and provide expert analysis as a service. For customers who lack a full in-house SOC, such partner-led services are extremely valuable. Microsoft even encourages partners to develop Managed XDR offerings that combine Defender and Sentinel – essentially acting as an outsourced SOC for threat hunting, incident response, and continuous security monitoring. This not only creates a recurring revenue stream for partners but also deepens customer relationships.</w:t>
      </w:r>
    </w:p>
    <w:p w14:paraId="6F7F5618" w14:textId="77777777" w:rsidR="004B7D4C" w:rsidRDefault="004B7D4C" w:rsidP="00B977FB">
      <w:pPr>
        <w:pStyle w:val="ListParagraph"/>
        <w:numPr>
          <w:ilvl w:val="0"/>
          <w:numId w:val="22"/>
        </w:numPr>
        <w:spacing w:after="160" w:line="279" w:lineRule="auto"/>
        <w:jc w:val="both"/>
      </w:pPr>
      <w:r>
        <w:t xml:space="preserve">Compliance and Risk Consulting: With growing regulations and data protection requirements, partners can expand their portfolio with services around regulatory compliance, information protection, and risk management. This includes mapping Microsoft’s security controls to frameworks like ISO 27001, NIST, SOC 2, etc., and helping customers implement required controls using Azure and M365 security features. For </w:t>
      </w:r>
      <w:r>
        <w:lastRenderedPageBreak/>
        <w:t>example, partners can assist with implementing data governance programs via Microsoft Purview (e.g., setting up retention labels, subject rights request processes, or insider risk management) as well as crafting organization-wide security policies. These services appeal to customers’ legal and compliance departments and can differentiate a partner’s offerings.</w:t>
      </w:r>
    </w:p>
    <w:p w14:paraId="0316C35E" w14:textId="77777777" w:rsidR="004B7D4C" w:rsidRDefault="004B7D4C" w:rsidP="00B977FB">
      <w:pPr>
        <w:pStyle w:val="ListParagraph"/>
        <w:numPr>
          <w:ilvl w:val="0"/>
          <w:numId w:val="22"/>
        </w:numPr>
        <w:spacing w:after="160" w:line="279" w:lineRule="auto"/>
        <w:jc w:val="both"/>
      </w:pPr>
      <w:r>
        <w:t>Security Awareness &amp; Training Services: Technology alone is not enough – end-users and IT staff must also be prepared. Partners can offer training services such as end-user security awareness workshops (helping employees recognize phishing and follow security policies) and technical training for IT teams on Microsoft’s security tools. Some partners develop “security excellence” programs for customers that combine periodic training, phishing simulation (leveraging Microsoft Attack Simulator), and even gamification to improve a client’s security culture. These services help reduce human risk and can be sold as ongoing engagements.</w:t>
      </w:r>
    </w:p>
    <w:p w14:paraId="1B51AF50" w14:textId="77777777" w:rsidR="004B7D4C" w:rsidRDefault="004B7D4C" w:rsidP="00B977FB">
      <w:pPr>
        <w:pStyle w:val="ListParagraph"/>
        <w:numPr>
          <w:ilvl w:val="0"/>
          <w:numId w:val="22"/>
        </w:numPr>
        <w:spacing w:after="160" w:line="279" w:lineRule="auto"/>
        <w:jc w:val="both"/>
      </w:pPr>
      <w:r>
        <w:t>Advanced &amp; Niche Security Solutions: As the security landscape evolves, partners can specialize in advanced areas. For example, Cloud Security Monitoring &amp; Threat Hunting is a niche where a partner analyzes a customer’s cloud telemetry for subtle indicators of advanced threats. Another emerging area is AI Security – helping customers secure AI workloads and addressing new risks (e.g., protecting AI models and data, ensuring compliance when using services like Microsoft 365 Copilot). Partners might develop offerings for “Secure AI implementation”, focusing on securing the data and models in AI applications. Similarly, IoT and OT security is a growing field where partners can leverage Azure IoT security features to protect industrial/embedded devices. By extending Microsoft’s security capabilities to new domains, partners can differentiate their service portfolio.</w:t>
      </w:r>
    </w:p>
    <w:p w14:paraId="27BF5274" w14:textId="77777777" w:rsidR="004B7D4C" w:rsidRDefault="004B7D4C" w:rsidP="00B977FB">
      <w:pPr>
        <w:jc w:val="both"/>
      </w:pPr>
      <w:r>
        <w:t>In summary, Microsoft’s broad security platform enables partners to create end-to-end solutions – from advisory consulting to implementation projects to ongoing managed services. This drives value in multiple ways:</w:t>
      </w:r>
    </w:p>
    <w:p w14:paraId="71CAF412" w14:textId="77777777" w:rsidR="004B7D4C" w:rsidRDefault="004B7D4C" w:rsidP="00B977FB">
      <w:pPr>
        <w:pStyle w:val="ListParagraph"/>
        <w:numPr>
          <w:ilvl w:val="0"/>
          <w:numId w:val="23"/>
        </w:numPr>
        <w:spacing w:after="160" w:line="279" w:lineRule="auto"/>
        <w:jc w:val="both"/>
      </w:pPr>
      <w:r>
        <w:t>Stronger Customer Trust: Security is ultimately about trust. Partners who help customers prevent breaches and ensure compliance earn trusted advisor status, often leading to long-term engagements and cross-sell opportunities in other solution areas (e.g., expanding into cloud infrastructure projects or modern workplace deployments after a successful security project).</w:t>
      </w:r>
    </w:p>
    <w:p w14:paraId="12023EC4" w14:textId="77777777" w:rsidR="004B7D4C" w:rsidRDefault="004B7D4C" w:rsidP="00B977FB">
      <w:pPr>
        <w:pStyle w:val="ListParagraph"/>
        <w:numPr>
          <w:ilvl w:val="0"/>
          <w:numId w:val="23"/>
        </w:numPr>
        <w:spacing w:after="160" w:line="279" w:lineRule="auto"/>
        <w:jc w:val="both"/>
      </w:pPr>
      <w:r>
        <w:t>Revenue and Margin Growth: Security projects often command high value and margins. By packaging offerings like assessments, deployment, and managed services, partners can create recurring revenue streams. Microsoft’s own analysis indicates significant opportunity – the security market in cloud services is growing ~20% annually in many regions, and partners aligning with Microsoft’s security solutions are positioned to capture this demand.</w:t>
      </w:r>
    </w:p>
    <w:p w14:paraId="7B2EB227" w14:textId="77777777" w:rsidR="004B7D4C" w:rsidRDefault="004B7D4C" w:rsidP="00B977FB">
      <w:pPr>
        <w:pStyle w:val="ListParagraph"/>
        <w:numPr>
          <w:ilvl w:val="0"/>
          <w:numId w:val="23"/>
        </w:numPr>
        <w:spacing w:after="160" w:line="279" w:lineRule="auto"/>
        <w:jc w:val="both"/>
      </w:pPr>
      <w:r>
        <w:t>Differentiation through Specialization: Microsoft supports partner success via the AI Cloud Partner Program – under which partners can attain the Solutions Partner for Security designation and additional advanced specializations (e.g. Threat Protection, Cloud Security, Identity &amp; Access Management, Information Protection &amp; Governance). These credentials differentiate partners in the marketplace (with public badges) and unlock benefits such as access to incentives, preview products, and co-selling opportunities with Microsoft. Achieving specializations requires demonstrating technical depth and customer success in those areas, which often aligns with delivering the types of projects described in this playbook.</w:t>
      </w:r>
    </w:p>
    <w:p w14:paraId="497570E9" w14:textId="77777777" w:rsidR="004B7D4C" w:rsidRDefault="004B7D4C" w:rsidP="00B977FB">
      <w:pPr>
        <w:pStyle w:val="ListParagraph"/>
        <w:numPr>
          <w:ilvl w:val="0"/>
          <w:numId w:val="23"/>
        </w:numPr>
        <w:spacing w:after="160" w:line="279" w:lineRule="auto"/>
        <w:jc w:val="both"/>
      </w:pPr>
      <w:r>
        <w:t xml:space="preserve">Access to Funding &amp; GTM Resources: Microsoft offers a variety of go-to-market (GTM) and funding programs for partners in the security space. For instance, partners can tap into incentive programs for driving Azure consumption (which include Azure Security services), take advantage of co-op marketing funds, or use ready-made campaigns like “Campaigns-in-a-Box” focused on security solutions. Additionally, initiatives like </w:t>
      </w:r>
      <w:proofErr w:type="spellStart"/>
      <w:r>
        <w:t>CloudAscent</w:t>
      </w:r>
      <w:proofErr w:type="spellEnd"/>
      <w:r>
        <w:t xml:space="preserve"> and SPARK provide data-driven insights to help partners identify customers with security upgrade opportunities (such as those likely to need compliance solutions or security upgrades). By </w:t>
      </w:r>
      <w:r>
        <w:lastRenderedPageBreak/>
        <w:t>leveraging these resources, partners can reduce their marketing costs and accelerate customer acquisition in the security domain.</w:t>
      </w:r>
    </w:p>
    <w:p w14:paraId="39798678" w14:textId="77777777" w:rsidR="004B7D4C" w:rsidRDefault="004B7D4C" w:rsidP="00B977FB">
      <w:pPr>
        <w:jc w:val="both"/>
      </w:pPr>
      <w:r>
        <w:t>Overall, the Microsoft Cloud Security solution area is not only about safeguarding customers – it is also a catalyst for partners to expand their services and drive business growth. By aligning with Microsoft’s security vision, partners can create repeatable offerings that address common customer challenges (from securing remote work to protecting multi-cloud environments</w:t>
      </w:r>
      <w:proofErr w:type="gramStart"/>
      <w:r>
        <w:t>), and</w:t>
      </w:r>
      <w:proofErr w:type="gramEnd"/>
      <w:r>
        <w:t xml:space="preserve"> thereby establish themselves as go-to providers in this high-demand field.</w:t>
      </w:r>
    </w:p>
    <w:p w14:paraId="06286BAF" w14:textId="77777777" w:rsidR="004B7D4C" w:rsidRDefault="004B7D4C" w:rsidP="00B977FB">
      <w:pPr>
        <w:pStyle w:val="Heading2"/>
        <w:jc w:val="both"/>
      </w:pPr>
      <w:r>
        <w:t>Real-World Use Cases and Success Stories</w:t>
      </w:r>
    </w:p>
    <w:p w14:paraId="57B7D3FE" w14:textId="77777777" w:rsidR="004B7D4C" w:rsidRDefault="004B7D4C" w:rsidP="00B977FB">
      <w:pPr>
        <w:jc w:val="both"/>
      </w:pPr>
      <w:r>
        <w:t>Nothing illustrates the value of Microsoft’s cloud security solutions better than real customer success stories. Below are a few examples that partners can leverage to understand and communicate the impact of a comprehensive Microsoft security approach:</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327"/>
        <w:gridCol w:w="2701"/>
        <w:gridCol w:w="2822"/>
      </w:tblGrid>
      <w:tr w:rsidR="004B7D4C" w14:paraId="048B1D20" w14:textId="77777777" w:rsidTr="007716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4C92B0" w14:textId="77777777" w:rsidR="004B7D4C" w:rsidRDefault="004B7D4C" w:rsidP="00B977FB">
            <w:pPr>
              <w:jc w:val="both"/>
            </w:pPr>
            <w:r>
              <w:t>Customer (Industry)</w:t>
            </w:r>
          </w:p>
        </w:tc>
        <w:tc>
          <w:tcPr>
            <w:tcW w:w="0" w:type="auto"/>
            <w:vAlign w:val="center"/>
          </w:tcPr>
          <w:p w14:paraId="0EA4347F" w14:textId="77777777" w:rsidR="004B7D4C" w:rsidRDefault="004B7D4C" w:rsidP="00B977FB">
            <w:pPr>
              <w:jc w:val="both"/>
              <w:cnfStyle w:val="100000000000" w:firstRow="1" w:lastRow="0" w:firstColumn="0" w:lastColumn="0" w:oddVBand="0" w:evenVBand="0" w:oddHBand="0" w:evenHBand="0" w:firstRowFirstColumn="0" w:firstRowLastColumn="0" w:lastRowFirstColumn="0" w:lastRowLastColumn="0"/>
            </w:pPr>
            <w:r>
              <w:t>Challenge</w:t>
            </w:r>
          </w:p>
        </w:tc>
        <w:tc>
          <w:tcPr>
            <w:tcW w:w="0" w:type="auto"/>
            <w:vAlign w:val="center"/>
          </w:tcPr>
          <w:p w14:paraId="4C7E9559" w14:textId="77777777" w:rsidR="004B7D4C" w:rsidRDefault="004B7D4C" w:rsidP="00B977FB">
            <w:pPr>
              <w:jc w:val="both"/>
              <w:cnfStyle w:val="100000000000" w:firstRow="1" w:lastRow="0" w:firstColumn="0" w:lastColumn="0" w:oddVBand="0" w:evenVBand="0" w:oddHBand="0" w:evenHBand="0" w:firstRowFirstColumn="0" w:firstRowLastColumn="0" w:lastRowFirstColumn="0" w:lastRowLastColumn="0"/>
            </w:pPr>
            <w:r>
              <w:t>Microsoft Solution</w:t>
            </w:r>
          </w:p>
        </w:tc>
        <w:tc>
          <w:tcPr>
            <w:tcW w:w="0" w:type="auto"/>
            <w:vAlign w:val="center"/>
          </w:tcPr>
          <w:p w14:paraId="2F344D6D" w14:textId="77777777" w:rsidR="004B7D4C" w:rsidRDefault="004B7D4C" w:rsidP="00B977FB">
            <w:pPr>
              <w:jc w:val="both"/>
              <w:cnfStyle w:val="100000000000" w:firstRow="1" w:lastRow="0" w:firstColumn="0" w:lastColumn="0" w:oddVBand="0" w:evenVBand="0" w:oddHBand="0" w:evenHBand="0" w:firstRowFirstColumn="0" w:firstRowLastColumn="0" w:lastRowFirstColumn="0" w:lastRowLastColumn="0"/>
            </w:pPr>
            <w:r>
              <w:t>Outcome / Benefits</w:t>
            </w:r>
          </w:p>
        </w:tc>
      </w:tr>
      <w:tr w:rsidR="004B7D4C" w14:paraId="7BB40DB0" w14:textId="77777777" w:rsidTr="00771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E915E3" w14:textId="77777777" w:rsidR="004B7D4C" w:rsidRDefault="004B7D4C" w:rsidP="00B977FB">
            <w:pPr>
              <w:jc w:val="both"/>
            </w:pPr>
            <w:r>
              <w:t>ABM Industries (Facility Management, USA)</w:t>
            </w:r>
          </w:p>
        </w:tc>
        <w:tc>
          <w:tcPr>
            <w:tcW w:w="0" w:type="auto"/>
            <w:vAlign w:val="center"/>
          </w:tcPr>
          <w:p w14:paraId="73F98751" w14:textId="77777777" w:rsidR="004B7D4C" w:rsidRDefault="004B7D4C" w:rsidP="00B977FB">
            <w:pPr>
              <w:jc w:val="both"/>
              <w:cnfStyle w:val="000000100000" w:firstRow="0" w:lastRow="0" w:firstColumn="0" w:lastColumn="0" w:oddVBand="0" w:evenVBand="0" w:oddHBand="1" w:evenHBand="0" w:firstRowFirstColumn="0" w:firstRowLastColumn="0" w:lastRowFirstColumn="0" w:lastRowLastColumn="0"/>
            </w:pPr>
            <w:r>
              <w:t>Manual security processes were straining the company’s internal and outsourced SOC, with too many alerts for analysts to handle efficiently. ABM wanted to automate responses to common security incidents.</w:t>
            </w:r>
          </w:p>
        </w:tc>
        <w:tc>
          <w:tcPr>
            <w:tcW w:w="0" w:type="auto"/>
            <w:vAlign w:val="center"/>
          </w:tcPr>
          <w:p w14:paraId="46C9372B" w14:textId="77777777" w:rsidR="004B7D4C" w:rsidRDefault="004B7D4C" w:rsidP="00B977FB">
            <w:pPr>
              <w:jc w:val="both"/>
              <w:cnfStyle w:val="000000100000" w:firstRow="0" w:lastRow="0" w:firstColumn="0" w:lastColumn="0" w:oddVBand="0" w:evenVBand="0" w:oddHBand="1" w:evenHBand="0" w:firstRowFirstColumn="0" w:firstRowLastColumn="0" w:lastRowFirstColumn="0" w:lastRowLastColumn="0"/>
            </w:pPr>
            <w:r>
              <w:t>Deployed Microsoft Azure Sentinel SIEM across the environment, connecting it with Microsoft security tools and third-party security products. Implemented automated incident response playbooks to handle the bulk of alerts without manual intervention.</w:t>
            </w:r>
          </w:p>
        </w:tc>
        <w:tc>
          <w:tcPr>
            <w:tcW w:w="0" w:type="auto"/>
            <w:vAlign w:val="center"/>
          </w:tcPr>
          <w:p w14:paraId="3056597E" w14:textId="77777777" w:rsidR="004B7D4C" w:rsidRDefault="004B7D4C" w:rsidP="00B977FB">
            <w:pPr>
              <w:jc w:val="both"/>
              <w:cnfStyle w:val="000000100000" w:firstRow="0" w:lastRow="0" w:firstColumn="0" w:lastColumn="0" w:oddVBand="0" w:evenVBand="0" w:oddHBand="1" w:evenHBand="0" w:firstRowFirstColumn="0" w:firstRowLastColumn="0" w:lastRowFirstColumn="0" w:lastRowLastColumn="0"/>
            </w:pPr>
            <w:r>
              <w:t xml:space="preserve">Within a short time, over 50% of security alerts were being handled automatically, significantly reducing the volume of alerts requiring analyst review. Analysts’ investigation time dropped by 80% due to automation and better </w:t>
            </w:r>
            <w:proofErr w:type="gramStart"/>
            <w:r>
              <w:t>tools ,</w:t>
            </w:r>
            <w:proofErr w:type="gramEnd"/>
            <w:r>
              <w:t xml:space="preserve"> allowing the security team to focus on higher-value activities and truly critical threats.</w:t>
            </w:r>
          </w:p>
        </w:tc>
      </w:tr>
      <w:tr w:rsidR="004B7D4C" w14:paraId="42B0C147" w14:textId="77777777" w:rsidTr="0077165C">
        <w:tc>
          <w:tcPr>
            <w:cnfStyle w:val="001000000000" w:firstRow="0" w:lastRow="0" w:firstColumn="1" w:lastColumn="0" w:oddVBand="0" w:evenVBand="0" w:oddHBand="0" w:evenHBand="0" w:firstRowFirstColumn="0" w:firstRowLastColumn="0" w:lastRowFirstColumn="0" w:lastRowLastColumn="0"/>
            <w:tcW w:w="0" w:type="auto"/>
            <w:vAlign w:val="center"/>
          </w:tcPr>
          <w:p w14:paraId="457E0DC0" w14:textId="77777777" w:rsidR="004B7D4C" w:rsidRDefault="004B7D4C" w:rsidP="00B977FB">
            <w:pPr>
              <w:jc w:val="both"/>
            </w:pPr>
            <w:r>
              <w:t>ASOS (Online Retail, UK)</w:t>
            </w:r>
          </w:p>
        </w:tc>
        <w:tc>
          <w:tcPr>
            <w:tcW w:w="0" w:type="auto"/>
            <w:vAlign w:val="center"/>
          </w:tcPr>
          <w:p w14:paraId="0FE25F7C" w14:textId="77777777" w:rsidR="004B7D4C" w:rsidRDefault="004B7D4C" w:rsidP="00B977FB">
            <w:pPr>
              <w:jc w:val="both"/>
              <w:cnfStyle w:val="000000000000" w:firstRow="0" w:lastRow="0" w:firstColumn="0" w:lastColumn="0" w:oddVBand="0" w:evenVBand="0" w:oddHBand="0" w:evenHBand="0" w:firstRowFirstColumn="0" w:firstRowLastColumn="0" w:lastRowFirstColumn="0" w:lastRowLastColumn="0"/>
            </w:pPr>
            <w:r>
              <w:t xml:space="preserve">Rapid growth </w:t>
            </w:r>
            <w:proofErr w:type="gramStart"/>
            <w:r>
              <w:t>had</w:t>
            </w:r>
            <w:proofErr w:type="gramEnd"/>
            <w:r>
              <w:t xml:space="preserve"> outpaced the capabilities of ASOS’s on-premises datacenter and traditional security tools. The company needed a scalable cloud infrastructure with modern, layered security to defend against both human attackers and bot-based threats in e-commerce.</w:t>
            </w:r>
          </w:p>
        </w:tc>
        <w:tc>
          <w:tcPr>
            <w:tcW w:w="0" w:type="auto"/>
            <w:vAlign w:val="center"/>
          </w:tcPr>
          <w:p w14:paraId="7A75DEA0" w14:textId="77777777" w:rsidR="004B7D4C" w:rsidRDefault="004B7D4C" w:rsidP="00B977FB">
            <w:pPr>
              <w:jc w:val="both"/>
              <w:cnfStyle w:val="000000000000" w:firstRow="0" w:lastRow="0" w:firstColumn="0" w:lastColumn="0" w:oddVBand="0" w:evenVBand="0" w:oddHBand="0" w:evenHBand="0" w:firstRowFirstColumn="0" w:firstRowLastColumn="0" w:lastRowFirstColumn="0" w:lastRowLastColumn="0"/>
            </w:pPr>
            <w:r>
              <w:t xml:space="preserve">Migrated key workloads to Microsoft Azure and adopted Azure Security Center (now Defender for Cloud) for a unified view of security across its cloud resources. Deployed Azure Sentinel to centralize logging and threat detection for the new cloud </w:t>
            </w:r>
            <w:proofErr w:type="gramStart"/>
            <w:r>
              <w:t>environment .</w:t>
            </w:r>
            <w:proofErr w:type="gramEnd"/>
          </w:p>
        </w:tc>
        <w:tc>
          <w:tcPr>
            <w:tcW w:w="0" w:type="auto"/>
            <w:vAlign w:val="center"/>
          </w:tcPr>
          <w:p w14:paraId="16EAA460" w14:textId="77777777" w:rsidR="004B7D4C" w:rsidRDefault="004B7D4C" w:rsidP="00B977FB">
            <w:pPr>
              <w:jc w:val="both"/>
              <w:cnfStyle w:val="000000000000" w:firstRow="0" w:lastRow="0" w:firstColumn="0" w:lastColumn="0" w:oddVBand="0" w:evenVBand="0" w:oddHBand="0" w:evenHBand="0" w:firstRowFirstColumn="0" w:firstRowLastColumn="0" w:lastRowFirstColumn="0" w:lastRowLastColumn="0"/>
            </w:pPr>
            <w:r>
              <w:t xml:space="preserve">By leveraging Azure’s built-in security services, ASOS achieved a stronger security posture than ever. The combination of Azure Security Center’s continuous security posture management and Sentinel’s threat detection enabled ASOS to better fend off both automated bot attacks and targeted threats, improving their overall cyber </w:t>
            </w:r>
            <w:proofErr w:type="gramStart"/>
            <w:r>
              <w:t>resilience .</w:t>
            </w:r>
            <w:proofErr w:type="gramEnd"/>
            <w:r>
              <w:t xml:space="preserve"> The cloud solution scaled with their business growth without sacrificing security.</w:t>
            </w:r>
          </w:p>
        </w:tc>
      </w:tr>
      <w:tr w:rsidR="004B7D4C" w14:paraId="056BBBB3" w14:textId="77777777" w:rsidTr="00771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F3A8CC" w14:textId="77777777" w:rsidR="004B7D4C" w:rsidRDefault="004B7D4C" w:rsidP="00B977FB">
            <w:pPr>
              <w:jc w:val="both"/>
            </w:pPr>
            <w:r>
              <w:t>MITA (Govt. Agency, Malta)</w:t>
            </w:r>
          </w:p>
        </w:tc>
        <w:tc>
          <w:tcPr>
            <w:tcW w:w="0" w:type="auto"/>
            <w:vAlign w:val="center"/>
          </w:tcPr>
          <w:p w14:paraId="4B9F5215" w14:textId="77777777" w:rsidR="004B7D4C" w:rsidRDefault="004B7D4C" w:rsidP="00B977FB">
            <w:pPr>
              <w:jc w:val="both"/>
              <w:cnfStyle w:val="000000100000" w:firstRow="0" w:lastRow="0" w:firstColumn="0" w:lastColumn="0" w:oddVBand="0" w:evenVBand="0" w:oddHBand="1" w:evenHBand="0" w:firstRowFirstColumn="0" w:firstRowLastColumn="0" w:lastRowFirstColumn="0" w:lastRowLastColumn="0"/>
            </w:pPr>
            <w:r>
              <w:t xml:space="preserve">The Malta IT agency (MITA) relied on a legacy signature-based antivirus and lacked advanced threat detection capabilities. They sought a </w:t>
            </w:r>
            <w:r>
              <w:lastRenderedPageBreak/>
              <w:t>proactive security posture to manage emerging threats in real time and even anticipate future attacks using AI.</w:t>
            </w:r>
          </w:p>
        </w:tc>
        <w:tc>
          <w:tcPr>
            <w:tcW w:w="0" w:type="auto"/>
            <w:vAlign w:val="center"/>
          </w:tcPr>
          <w:p w14:paraId="3A1CBD68" w14:textId="77777777" w:rsidR="004B7D4C" w:rsidRDefault="004B7D4C" w:rsidP="00B977FB">
            <w:pPr>
              <w:jc w:val="both"/>
              <w:cnfStyle w:val="000000100000" w:firstRow="0" w:lastRow="0" w:firstColumn="0" w:lastColumn="0" w:oddVBand="0" w:evenVBand="0" w:oddHBand="1" w:evenHBand="0" w:firstRowFirstColumn="0" w:firstRowLastColumn="0" w:lastRowFirstColumn="0" w:lastRowLastColumn="0"/>
            </w:pPr>
            <w:r>
              <w:lastRenderedPageBreak/>
              <w:t xml:space="preserve">Shifted from on-premises security tools to a hybrid cloud solution centered on Azure Sentinel (SIEM/SOAR) and Microsoft 365 Defender (XDR) for a layered defense. </w:t>
            </w:r>
            <w:r>
              <w:lastRenderedPageBreak/>
              <w:t xml:space="preserve">Integrated Defender for Cloud Apps, Defender for Endpoint, Defender for Identity, and Defender for Office 365 with Azure Sentinel, creating a cloud-native, AI-driven security operations </w:t>
            </w:r>
            <w:proofErr w:type="gramStart"/>
            <w:r>
              <w:t>ecosystem .</w:t>
            </w:r>
            <w:proofErr w:type="gramEnd"/>
          </w:p>
        </w:tc>
        <w:tc>
          <w:tcPr>
            <w:tcW w:w="0" w:type="auto"/>
            <w:vAlign w:val="center"/>
          </w:tcPr>
          <w:p w14:paraId="7B9B0715" w14:textId="77777777" w:rsidR="004B7D4C" w:rsidRDefault="004B7D4C" w:rsidP="00B977FB">
            <w:pPr>
              <w:jc w:val="both"/>
              <w:cnfStyle w:val="000000100000" w:firstRow="0" w:lastRow="0" w:firstColumn="0" w:lastColumn="0" w:oddVBand="0" w:evenVBand="0" w:oddHBand="1" w:evenHBand="0" w:firstRowFirstColumn="0" w:firstRowLastColumn="0" w:lastRowFirstColumn="0" w:lastRowLastColumn="0"/>
            </w:pPr>
            <w:r>
              <w:lastRenderedPageBreak/>
              <w:t xml:space="preserve">By interweaving Microsoft’s cloud-native SIEM and XDR, MITA now has a full-fledged, AI-enhanced security defense system rather than a basic antivirus. The agency can </w:t>
            </w:r>
            <w:r>
              <w:lastRenderedPageBreak/>
              <w:t>actively respond to threats as they occur and is starting to leverage big data and AI to predict future attack trends. This has significantly improved MITA’s security posture and its ability to protect the Maltese government’s IT infrastructure.</w:t>
            </w:r>
          </w:p>
        </w:tc>
      </w:tr>
    </w:tbl>
    <w:p w14:paraId="110C7A4D" w14:textId="77777777" w:rsidR="004B7D4C" w:rsidRDefault="004B7D4C" w:rsidP="00B977FB">
      <w:pPr>
        <w:jc w:val="both"/>
      </w:pPr>
      <w:r>
        <w:lastRenderedPageBreak/>
        <w:t xml:space="preserve">Table: Selected real-world examples where Microsoft Cloud Security solutions enabled major improvements. These case studies demonstrate outcomes like automated threat response (ABM), cloud-based security at scale (ASOS), and AI-driven proactive defense (MITA). Partners can reference such stories to illustrate the value of Microsoft’s integrated security approach to their customers. </w:t>
      </w:r>
    </w:p>
    <w:p w14:paraId="26BC9F43" w14:textId="77777777" w:rsidR="004B7D4C" w:rsidRDefault="004B7D4C" w:rsidP="00B977FB">
      <w:pPr>
        <w:jc w:val="both"/>
      </w:pPr>
      <w:r>
        <w:t>Beyond these cases, Microsoft continues to innovate in security. A notable example is Microsoft Security Copilot, an AI-powered assistant (built on OpenAI GPT-4) that can augment security analysts with faster threat analysis and incident response recommendations. Early results are promising – Security Copilot has shown the potential to reduce the time even experienced security professionals spend on tasks by over 20%, and help novices become effective 26% faster, by automating more than 50 categories of repetitive security tasks. Additionally, organizations consolidating security tools onto the Microsoft 365 E5 Security &amp; Compliance stack have been able to reduce costs by up to 60% compared to a patchwork of point solutions. These innovations underscore Microsoft’s commitment to an AI-first, cloud-powered security strategy and give partners new capabilities to deliver value.</w:t>
      </w:r>
    </w:p>
    <w:p w14:paraId="2D36852A" w14:textId="77777777" w:rsidR="004B7D4C" w:rsidRDefault="004B7D4C" w:rsidP="00B977FB">
      <w:pPr>
        <w:pStyle w:val="Heading2"/>
        <w:jc w:val="both"/>
      </w:pPr>
      <w:r>
        <w:t>Microsoft Resources for Partner Enablement in Security</w:t>
      </w:r>
    </w:p>
    <w:p w14:paraId="1F9F5C19" w14:textId="77777777" w:rsidR="004B7D4C" w:rsidRDefault="004B7D4C" w:rsidP="00B977FB">
      <w:pPr>
        <w:jc w:val="both"/>
      </w:pPr>
      <w:r>
        <w:t>Microsoft offers a wealth of partner enablement resources to help partners build their security practice and stay updated on the latest solution capabilities:</w:t>
      </w:r>
    </w:p>
    <w:p w14:paraId="3F9CFBA1" w14:textId="77777777" w:rsidR="004B7D4C" w:rsidRDefault="004B7D4C" w:rsidP="00B977FB">
      <w:pPr>
        <w:pStyle w:val="ListParagraph"/>
        <w:numPr>
          <w:ilvl w:val="0"/>
          <w:numId w:val="24"/>
        </w:numPr>
        <w:spacing w:after="160" w:line="279" w:lineRule="auto"/>
        <w:jc w:val="both"/>
      </w:pPr>
      <w:r>
        <w:t xml:space="preserve">Microsoft AI Cloud Partner Program (Solutions Partner Designation for Security): Partners can attain the Solutions Partner for Security designation – part of Microsoft’s partner program – by demonstrating broad capability in the security solution area. This designation, along with optional advanced Specializations (e.g. Threat Protection, Cloud Security, Identity &amp; Access Management, Information Protection &amp; Governance), provides recognition and benefits. Achieving specializations not only </w:t>
      </w:r>
      <w:proofErr w:type="gramStart"/>
      <w:r>
        <w:t>showcases</w:t>
      </w:r>
      <w:proofErr w:type="gramEnd"/>
      <w:r>
        <w:t xml:space="preserve"> a partner’s deep expertise but also grants access to exclusive resources, technical consulting hours, and leads via Microsoft’s co-</w:t>
      </w:r>
      <w:proofErr w:type="gramStart"/>
      <w:r>
        <w:t>sell</w:t>
      </w:r>
      <w:proofErr w:type="gramEnd"/>
      <w:r>
        <w:t xml:space="preserve"> programs. Partners are encouraged to pursue relevant Microsoft certifications (such as SC-100 Microsoft Cybersecurity Architect, SC-200 Security Operations Analyst, etc.) as part of building these credentials.</w:t>
      </w:r>
    </w:p>
    <w:p w14:paraId="046E3372" w14:textId="77777777" w:rsidR="004B7D4C" w:rsidRDefault="004B7D4C" w:rsidP="00B977FB">
      <w:pPr>
        <w:pStyle w:val="ListParagraph"/>
        <w:numPr>
          <w:ilvl w:val="0"/>
          <w:numId w:val="24"/>
        </w:numPr>
        <w:spacing w:after="160" w:line="279" w:lineRule="auto"/>
        <w:jc w:val="both"/>
      </w:pPr>
      <w:r>
        <w:t>Technical Training and Skilling Resources: Microsoft Learn offers free, self-paced learning paths for all security services (covering Azure, Microsoft 365, and specialized topics like Zero Trust). Partners can utilize the Partner Skilling Playbook and Cloud Practice Development Playbooks (available on the partner portal) to plan team skilling journeys. Microsoft, and its distributors, often run bootcamps, webinars, and advanced training (for example, courses on Azure Sentinel, Defender, and Purview) to help partners build technical and sales skills. These are frequently updated to include new services (like Microsoft Entra, or Security Copilot) as they are released.</w:t>
      </w:r>
    </w:p>
    <w:p w14:paraId="12B85BBB" w14:textId="77777777" w:rsidR="004B7D4C" w:rsidRDefault="004B7D4C" w:rsidP="00B977FB">
      <w:pPr>
        <w:pStyle w:val="ListParagraph"/>
        <w:numPr>
          <w:ilvl w:val="0"/>
          <w:numId w:val="24"/>
        </w:numPr>
        <w:spacing w:after="160" w:line="279" w:lineRule="auto"/>
        <w:jc w:val="both"/>
      </w:pPr>
      <w:r>
        <w:t xml:space="preserve">Partner Marketing &amp; GTM Content: The Microsoft partner portal (solution area pages for Security) provides ready-to-use marketing materials. This includes sales decks, brochures, customer pitch templates, ROI calculators, and “campaigns-in-a-box” specifically tailored to security solution plays. For example, there are FY26 “Modern Security Operations” and “Data Security” campaign kits aimed at driving partner-led sales of Defender, Sentinel, and Purview </w:t>
      </w:r>
      <w:proofErr w:type="gramStart"/>
      <w:r>
        <w:t>solutions .</w:t>
      </w:r>
      <w:proofErr w:type="gramEnd"/>
      <w:r>
        <w:t xml:space="preserve"> Partners should also leverage Microsoft’s case studies, like the </w:t>
      </w:r>
      <w:r>
        <w:lastRenderedPageBreak/>
        <w:t>ones above, and customer-facing collateral from the Microsoft Partner Marketing Center to aid in proposals and pitches.</w:t>
      </w:r>
    </w:p>
    <w:p w14:paraId="45A3DB11" w14:textId="77777777" w:rsidR="004B7D4C" w:rsidRDefault="004B7D4C" w:rsidP="00B977FB">
      <w:pPr>
        <w:pStyle w:val="ListParagraph"/>
        <w:numPr>
          <w:ilvl w:val="0"/>
          <w:numId w:val="24"/>
        </w:numPr>
        <w:spacing w:after="160" w:line="279" w:lineRule="auto"/>
        <w:jc w:val="both"/>
      </w:pPr>
      <w:r>
        <w:t>Funding and Incentive Programs: Microsoft provides financial incentives for partners that drive security adoption. Through partner incentive programs (see the FY26 Incentives Guide), partners can receive rebates or funds for certain activities – such as conducting funded assessments (e.g., the Azure Cybersecurity Assessment or Cloud Workshop</w:t>
      </w:r>
      <w:proofErr w:type="gramStart"/>
      <w:r>
        <w:t>), or</w:t>
      </w:r>
      <w:proofErr w:type="gramEnd"/>
      <w:r>
        <w:t xml:space="preserve"> helping a customer deploy workload protections (like Defender for Cloud for an Azure migration). In addition, the Azure Migration and Modernization Program (AMMP) and FastTrack for Microsoft 365 can provide support (technical or financial) for eligible security-related projects (for instance, migrating a customer to Azure and enabling security features as part of that project). Partners should stay informed about current programs via the partner portal (Microsoft Partner Network/Azure &amp; Security incentive pages).</w:t>
      </w:r>
    </w:p>
    <w:p w14:paraId="3A17F59D" w14:textId="77777777" w:rsidR="004B7D4C" w:rsidRDefault="004B7D4C" w:rsidP="00B977FB">
      <w:pPr>
        <w:pStyle w:val="ListParagraph"/>
        <w:numPr>
          <w:ilvl w:val="0"/>
          <w:numId w:val="24"/>
        </w:numPr>
        <w:spacing w:after="160" w:line="279" w:lineRule="auto"/>
        <w:jc w:val="both"/>
      </w:pPr>
      <w:r>
        <w:t xml:space="preserve">Partner Communities and Support: Microsoft fosters a strong partner ecosystem in security. The Microsoft Partner Community forums and the Microsoft Security Partner Advisory Council (if accessible) are great places to ask questions, share best practices, and learn from peers. Microsoft also has the Microsoft Intelligent Security Association (MISA) – an alliance of security partners building integrated solutions with </w:t>
      </w:r>
      <w:proofErr w:type="gramStart"/>
      <w:r>
        <w:t>Microsoft .</w:t>
      </w:r>
      <w:proofErr w:type="gramEnd"/>
      <w:r>
        <w:t xml:space="preserve"> While MISA is more for security ISVs and service providers, its resources (integration guides, APIs, etc.) can be valuable for partners extending Microsoft’s security capabilities. Lastly, partners should engage their local Microsoft representative or distributor for co-selling opportunities and </w:t>
      </w:r>
      <w:proofErr w:type="gramStart"/>
      <w:r>
        <w:t>to stay</w:t>
      </w:r>
      <w:proofErr w:type="gramEnd"/>
      <w:r>
        <w:t xml:space="preserve"> aligned with Microsoft’s go-to-market strategy in security.</w:t>
      </w:r>
    </w:p>
    <w:p w14:paraId="44366B17" w14:textId="77777777" w:rsidR="004B7D4C" w:rsidRDefault="004B7D4C" w:rsidP="00B977FB">
      <w:pPr>
        <w:jc w:val="both"/>
      </w:pPr>
      <w:r>
        <w:t>By taking advantage of these resources, partners can accelerate their readiness and success in the cloud security domain. Skilling up your team, attaining Microsoft certifications and partner designations, and leveraging Microsoft’s sales and marketing resources will enhance your credibility with customers and help drive more business.</w:t>
      </w:r>
    </w:p>
    <w:p w14:paraId="76B73023" w14:textId="77777777" w:rsidR="004B7D4C" w:rsidRDefault="004B7D4C" w:rsidP="00B977FB">
      <w:pPr>
        <w:pStyle w:val="Heading2"/>
        <w:jc w:val="both"/>
      </w:pPr>
      <w:r>
        <w:t>Conclusion</w:t>
      </w:r>
    </w:p>
    <w:p w14:paraId="6CBEA64C" w14:textId="77777777" w:rsidR="004B7D4C" w:rsidRDefault="004B7D4C" w:rsidP="00B977FB">
      <w:pPr>
        <w:jc w:val="both"/>
      </w:pPr>
      <w:r>
        <w:t xml:space="preserve">The Microsoft Cloud Security solution area offers a rich, integrated set of tools that address the full spectrum of modern cybersecurity needs – </w:t>
      </w:r>
      <w:proofErr w:type="gramStart"/>
      <w:r>
        <w:t>from identity and access management,</w:t>
      </w:r>
      <w:proofErr w:type="gramEnd"/>
      <w:r>
        <w:t xml:space="preserve"> to endpoint protection, threat detection and response, cloud workload security, and data governance. For partners, mastering this portfolio means being able to deliver a holistic security offering that can protect customers “end-to-end” across Azure and Microsoft 365 clouds.</w:t>
      </w:r>
    </w:p>
    <w:p w14:paraId="68FEADEA" w14:textId="77777777" w:rsidR="004B7D4C" w:rsidRDefault="004B7D4C" w:rsidP="00B977FB">
      <w:pPr>
        <w:jc w:val="both"/>
      </w:pPr>
      <w:r>
        <w:t>This playbook has outlined a structured approach: starting with foundational principles (Zero Trust, defense in depth, shared responsibility), then introducing the key Microsoft security components and how they fit together, followed by practical steps and best practices for deploying these solutions, and finally exploring the partner business opportunities and resources available. By following these guidelines and leveraging Microsoft’s continually evolving security innovations (such as Security Copilot and upcoming enhancements), partners can not only secure their customers’ digital estates but also differentiate themselves in the market.</w:t>
      </w:r>
    </w:p>
    <w:p w14:paraId="0D62D10A" w14:textId="77777777" w:rsidR="004B7D4C" w:rsidRDefault="004B7D4C" w:rsidP="00B977FB">
      <w:pPr>
        <w:jc w:val="both"/>
      </w:pPr>
      <w:r>
        <w:t xml:space="preserve">In summary, cloud security is both a critical challenge and a growth opportunity. Organizations are seeking trusted partners who can help them navigate this complex landscape. As a Microsoft partner armed with this playbook, proven practices, real customer examples, and Microsoft’s support, you are well equipped to enable customers to protect their cloud journey – and in doing so, to enhance your own business success. A secure foundation is the bedrock of digital transformation, and together with Microsoft’s security solutions, partners can ensure that customers have the confidence to innovate and thrive in the cloud </w:t>
      </w:r>
      <w:proofErr w:type="gramStart"/>
      <w:r>
        <w:t>securely .</w:t>
      </w:r>
      <w:proofErr w:type="gramEnd"/>
    </w:p>
    <w:bookmarkEnd w:id="8"/>
    <w:bookmarkEnd w:id="7"/>
    <w:bookmarkEnd w:id="6"/>
    <w:bookmarkEnd w:id="5"/>
    <w:bookmarkEnd w:id="4"/>
    <w:bookmarkEnd w:id="3"/>
    <w:bookmarkEnd w:id="2"/>
    <w:bookmarkEnd w:id="1"/>
    <w:bookmarkEnd w:id="0"/>
    <w:p w14:paraId="1C3C6B55" w14:textId="77777777" w:rsidR="004B7D4C" w:rsidRDefault="004B7D4C" w:rsidP="00145FAD"/>
    <w:sectPr w:rsidR="004B7D4C" w:rsidSect="00EE03B4">
      <w:headerReference w:type="default" r:id="rId11"/>
      <w:footerReference w:type="even" r:id="rId12"/>
      <w:footerReference w:type="defaul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C846A" w14:textId="77777777" w:rsidR="0009728B" w:rsidRDefault="0009728B" w:rsidP="00EE03B4">
      <w:pPr>
        <w:spacing w:after="0" w:line="240" w:lineRule="auto"/>
      </w:pPr>
      <w:r>
        <w:separator/>
      </w:r>
    </w:p>
  </w:endnote>
  <w:endnote w:type="continuationSeparator" w:id="0">
    <w:p w14:paraId="4052E774" w14:textId="77777777" w:rsidR="0009728B" w:rsidRDefault="0009728B" w:rsidP="00EE0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Light">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9DE1" w14:textId="601D7625" w:rsidR="00A85AEE" w:rsidRDefault="00A85AEE">
    <w:pPr>
      <w:pStyle w:val="Footer"/>
    </w:pPr>
    <w:r>
      <w:rPr>
        <w:noProof/>
      </w:rPr>
      <mc:AlternateContent>
        <mc:Choice Requires="wps">
          <w:drawing>
            <wp:anchor distT="0" distB="0" distL="0" distR="0" simplePos="0" relativeHeight="251660288" behindDoc="0" locked="0" layoutInCell="1" allowOverlap="1" wp14:anchorId="654A51BD" wp14:editId="596EF212">
              <wp:simplePos x="635" y="635"/>
              <wp:positionH relativeFrom="page">
                <wp:align>left</wp:align>
              </wp:positionH>
              <wp:positionV relativeFrom="page">
                <wp:align>bottom</wp:align>
              </wp:positionV>
              <wp:extent cx="1946910" cy="361315"/>
              <wp:effectExtent l="0" t="0" r="15240" b="0"/>
              <wp:wrapNone/>
              <wp:docPr id="942435979" name="Text Box 4"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4A51BD" id="_x0000_t202" coordsize="21600,21600" o:spt="202" path="m,l,21600r21600,l21600,xe">
              <v:stroke joinstyle="miter"/>
              <v:path gradientshapeok="t" o:connecttype="rect"/>
            </v:shapetype>
            <v:shape id="Text Box 4" o:spid="_x0000_s1026" type="#_x0000_t202" alt="Information Classification: Public " style="position:absolute;margin-left:0;margin-top:0;width:153.3pt;height:28.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" filled="f" stroked="f">
              <v:textbox style="mso-fit-shape-to-text:t" inset="20pt,0,0,15pt">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FB52" w14:textId="716B4993" w:rsidR="004A7203" w:rsidRDefault="00A85AEE">
    <w:pPr>
      <w:pStyle w:val="Footer"/>
      <w:jc w:val="center"/>
    </w:pPr>
    <w:r>
      <w:rPr>
        <w:noProof/>
      </w:rPr>
      <mc:AlternateContent>
        <mc:Choice Requires="wps">
          <w:drawing>
            <wp:anchor distT="0" distB="0" distL="0" distR="0" simplePos="0" relativeHeight="251661312" behindDoc="0" locked="0" layoutInCell="1" allowOverlap="1" wp14:anchorId="3BF28004" wp14:editId="6865DB00">
              <wp:simplePos x="915035" y="9291955"/>
              <wp:positionH relativeFrom="page">
                <wp:align>left</wp:align>
              </wp:positionH>
              <wp:positionV relativeFrom="page">
                <wp:align>bottom</wp:align>
              </wp:positionV>
              <wp:extent cx="1946910" cy="361315"/>
              <wp:effectExtent l="0" t="0" r="15240" b="0"/>
              <wp:wrapNone/>
              <wp:docPr id="2020843777" name="Text Box 5"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F28004" id="_x0000_t202" coordsize="21600,21600" o:spt="202" path="m,l,21600r21600,l21600,xe">
              <v:stroke joinstyle="miter"/>
              <v:path gradientshapeok="t" o:connecttype="rect"/>
            </v:shapetype>
            <v:shape id="Text Box 5" o:spid="_x0000_s1027" type="#_x0000_t202" alt="Information Classification: Public " style="position:absolute;left:0;text-align:left;margin-left:0;margin-top:0;width:153.3pt;height:28.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" filled="f" stroked="f">
              <v:textbox style="mso-fit-shape-to-text:t" inset="20pt,0,0,15pt">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p w14:paraId="62BF571F" w14:textId="77777777" w:rsidR="004A7203" w:rsidRDefault="004A72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DBE6" w14:textId="3A0816B5" w:rsidR="00A85AEE" w:rsidRDefault="00A85AEE">
    <w:pPr>
      <w:pStyle w:val="Footer"/>
    </w:pPr>
    <w:r>
      <w:rPr>
        <w:noProof/>
      </w:rPr>
      <mc:AlternateContent>
        <mc:Choice Requires="wps">
          <w:drawing>
            <wp:anchor distT="0" distB="0" distL="0" distR="0" simplePos="0" relativeHeight="251659264" behindDoc="0" locked="0" layoutInCell="1" allowOverlap="1" wp14:anchorId="635BF98A" wp14:editId="0ED82A58">
              <wp:simplePos x="914400" y="9448800"/>
              <wp:positionH relativeFrom="page">
                <wp:align>left</wp:align>
              </wp:positionH>
              <wp:positionV relativeFrom="page">
                <wp:align>bottom</wp:align>
              </wp:positionV>
              <wp:extent cx="1946910" cy="361315"/>
              <wp:effectExtent l="0" t="0" r="15240" b="0"/>
              <wp:wrapNone/>
              <wp:docPr id="1175924996" name="Text Box 3"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5BF98A" id="_x0000_t202" coordsize="21600,21600" o:spt="202" path="m,l,21600r21600,l21600,xe">
              <v:stroke joinstyle="miter"/>
              <v:path gradientshapeok="t" o:connecttype="rect"/>
            </v:shapetype>
            <v:shape id="Text Box 3" o:spid="_x0000_s1028" type="#_x0000_t202" alt="Information Classification: Public " style="position:absolute;margin-left:0;margin-top:0;width:153.3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" filled="f" stroked="f">
              <v:textbox style="mso-fit-shape-to-text:t" inset="20pt,0,0,15pt">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2517E" w14:textId="77777777" w:rsidR="0009728B" w:rsidRDefault="0009728B" w:rsidP="00EE03B4">
      <w:pPr>
        <w:spacing w:after="0" w:line="240" w:lineRule="auto"/>
      </w:pPr>
      <w:r>
        <w:separator/>
      </w:r>
    </w:p>
  </w:footnote>
  <w:footnote w:type="continuationSeparator" w:id="0">
    <w:p w14:paraId="3F89A479" w14:textId="77777777" w:rsidR="0009728B" w:rsidRDefault="0009728B" w:rsidP="00EE0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6FC8" w14:textId="1C176DA1" w:rsidR="004A7203" w:rsidRPr="00C82620" w:rsidRDefault="00AF0FBB" w:rsidP="00DE6D2C">
    <w:pPr>
      <w:pStyle w:val="Header"/>
      <w:rPr>
        <w:sz w:val="16"/>
        <w:szCs w:val="16"/>
      </w:rPr>
    </w:pPr>
    <w:r>
      <w:rPr>
        <w:noProof/>
        <w:color w:val="1F497D"/>
      </w:rPr>
      <w:drawing>
        <wp:anchor distT="0" distB="0" distL="114300" distR="114300" simplePos="0" relativeHeight="251658240" behindDoc="0" locked="0" layoutInCell="1" allowOverlap="1" wp14:anchorId="22415CB5" wp14:editId="00222BBF">
          <wp:simplePos x="0" y="0"/>
          <wp:positionH relativeFrom="margin">
            <wp:align>right</wp:align>
          </wp:positionH>
          <wp:positionV relativeFrom="paragraph">
            <wp:posOffset>-123825</wp:posOffset>
          </wp:positionV>
          <wp:extent cx="1476375" cy="428625"/>
          <wp:effectExtent l="0" t="0" r="9525" b="9525"/>
          <wp:wrapThrough wrapText="bothSides">
            <wp:wrapPolygon edited="0">
              <wp:start x="0" y="0"/>
              <wp:lineTo x="0" y="21120"/>
              <wp:lineTo x="21461" y="21120"/>
              <wp:lineTo x="2146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r w:rsidR="004A7203">
      <w:rPr>
        <w:sz w:val="16"/>
        <w:szCs w:val="16"/>
      </w:rPr>
      <w:tab/>
    </w:r>
    <w:r w:rsidR="004A7203">
      <w:rPr>
        <w:sz w:val="16"/>
        <w:szCs w:val="16"/>
      </w:rPr>
      <w:tab/>
    </w:r>
    <w:r w:rsidR="004A7203">
      <w:rPr>
        <w:sz w:val="16"/>
        <w:szCs w:val="16"/>
      </w:rPr>
      <w:tab/>
    </w:r>
  </w:p>
  <w:p w14:paraId="467A41AB" w14:textId="77777777" w:rsidR="004A7203" w:rsidRDefault="004A7203">
    <w:pPr>
      <w:pStyle w:val="Header"/>
    </w:pPr>
  </w:p>
  <w:p w14:paraId="5B361A2E" w14:textId="77777777" w:rsidR="004A7203" w:rsidRDefault="004A7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EE0"/>
    <w:multiLevelType w:val="hybridMultilevel"/>
    <w:tmpl w:val="646C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C384F"/>
    <w:multiLevelType w:val="hybridMultilevel"/>
    <w:tmpl w:val="BB88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A83DB8"/>
    <w:multiLevelType w:val="hybridMultilevel"/>
    <w:tmpl w:val="B4A22F1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CFC4490"/>
    <w:multiLevelType w:val="hybridMultilevel"/>
    <w:tmpl w:val="19E26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BC0EF1"/>
    <w:multiLevelType w:val="hybridMultilevel"/>
    <w:tmpl w:val="DA5C9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F07E3A"/>
    <w:multiLevelType w:val="hybridMultilevel"/>
    <w:tmpl w:val="A8C87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D4C2A8"/>
    <w:multiLevelType w:val="hybridMultilevel"/>
    <w:tmpl w:val="D2D60188"/>
    <w:lvl w:ilvl="0" w:tplc="220C96B6">
      <w:start w:val="1"/>
      <w:numFmt w:val="decimal"/>
      <w:lvlText w:val="%1."/>
      <w:lvlJc w:val="left"/>
      <w:pPr>
        <w:ind w:left="720" w:hanging="360"/>
      </w:pPr>
    </w:lvl>
    <w:lvl w:ilvl="1" w:tplc="4EAA2B3A">
      <w:start w:val="1"/>
      <w:numFmt w:val="bullet"/>
      <w:lvlText w:val="o"/>
      <w:lvlJc w:val="left"/>
      <w:pPr>
        <w:ind w:left="1440" w:hanging="360"/>
      </w:pPr>
      <w:rPr>
        <w:rFonts w:ascii="Courier New" w:eastAsia="Courier New" w:hAnsi="Courier New" w:cs="Courier New"/>
      </w:rPr>
    </w:lvl>
    <w:lvl w:ilvl="2" w:tplc="93B0499C">
      <w:start w:val="1"/>
      <w:numFmt w:val="lowerRoman"/>
      <w:lvlText w:val="%3."/>
      <w:lvlJc w:val="right"/>
      <w:pPr>
        <w:ind w:left="2160" w:hanging="180"/>
      </w:pPr>
    </w:lvl>
    <w:lvl w:ilvl="3" w:tplc="756898EE">
      <w:start w:val="1"/>
      <w:numFmt w:val="decimal"/>
      <w:lvlText w:val="%4."/>
      <w:lvlJc w:val="left"/>
      <w:pPr>
        <w:ind w:left="2880" w:hanging="360"/>
      </w:pPr>
    </w:lvl>
    <w:lvl w:ilvl="4" w:tplc="90126F30">
      <w:start w:val="1"/>
      <w:numFmt w:val="lowerLetter"/>
      <w:lvlText w:val="%5."/>
      <w:lvlJc w:val="left"/>
      <w:pPr>
        <w:ind w:left="3600" w:hanging="360"/>
      </w:pPr>
    </w:lvl>
    <w:lvl w:ilvl="5" w:tplc="E772893C">
      <w:start w:val="1"/>
      <w:numFmt w:val="lowerRoman"/>
      <w:lvlText w:val="%6."/>
      <w:lvlJc w:val="right"/>
      <w:pPr>
        <w:ind w:left="4320" w:hanging="180"/>
      </w:pPr>
    </w:lvl>
    <w:lvl w:ilvl="6" w:tplc="5754A320">
      <w:start w:val="1"/>
      <w:numFmt w:val="decimal"/>
      <w:lvlText w:val="%7."/>
      <w:lvlJc w:val="left"/>
      <w:pPr>
        <w:ind w:left="5040" w:hanging="360"/>
      </w:pPr>
    </w:lvl>
    <w:lvl w:ilvl="7" w:tplc="9262548E">
      <w:start w:val="1"/>
      <w:numFmt w:val="lowerLetter"/>
      <w:lvlText w:val="%8."/>
      <w:lvlJc w:val="left"/>
      <w:pPr>
        <w:ind w:left="5760" w:hanging="360"/>
      </w:pPr>
    </w:lvl>
    <w:lvl w:ilvl="8" w:tplc="2D8E2D2E">
      <w:start w:val="1"/>
      <w:numFmt w:val="lowerRoman"/>
      <w:lvlText w:val="%9."/>
      <w:lvlJc w:val="right"/>
      <w:pPr>
        <w:ind w:left="6480" w:hanging="180"/>
      </w:pPr>
    </w:lvl>
  </w:abstractNum>
  <w:abstractNum w:abstractNumId="7" w15:restartNumberingAfterBreak="0">
    <w:nsid w:val="210022B4"/>
    <w:multiLevelType w:val="hybridMultilevel"/>
    <w:tmpl w:val="34563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F63872"/>
    <w:multiLevelType w:val="hybridMultilevel"/>
    <w:tmpl w:val="17CE7990"/>
    <w:lvl w:ilvl="0" w:tplc="FF0C0F56">
      <w:start w:val="1"/>
      <w:numFmt w:val="bullet"/>
      <w:lvlText w:val=""/>
      <w:lvlJc w:val="left"/>
      <w:pPr>
        <w:ind w:left="720" w:hanging="360"/>
      </w:pPr>
      <w:rPr>
        <w:rFonts w:ascii="Symbol" w:eastAsia="Symbol" w:hAnsi="Symbol" w:cs="Symbol"/>
      </w:rPr>
    </w:lvl>
    <w:lvl w:ilvl="1" w:tplc="C5D28C96">
      <w:start w:val="1"/>
      <w:numFmt w:val="bullet"/>
      <w:lvlText w:val="o"/>
      <w:lvlJc w:val="left"/>
      <w:pPr>
        <w:ind w:left="1440" w:hanging="360"/>
      </w:pPr>
      <w:rPr>
        <w:rFonts w:ascii="Courier New" w:eastAsia="Courier New" w:hAnsi="Courier New" w:cs="Courier New"/>
      </w:rPr>
    </w:lvl>
    <w:lvl w:ilvl="2" w:tplc="EADA3470">
      <w:start w:val="1"/>
      <w:numFmt w:val="bullet"/>
      <w:lvlText w:val=""/>
      <w:lvlJc w:val="left"/>
      <w:pPr>
        <w:ind w:left="2160" w:hanging="360"/>
      </w:pPr>
      <w:rPr>
        <w:rFonts w:ascii="Wingdings" w:eastAsia="Wingdings" w:hAnsi="Wingdings" w:cs="Wingdings"/>
      </w:rPr>
    </w:lvl>
    <w:lvl w:ilvl="3" w:tplc="28245BFA">
      <w:start w:val="1"/>
      <w:numFmt w:val="bullet"/>
      <w:lvlText w:val=""/>
      <w:lvlJc w:val="left"/>
      <w:pPr>
        <w:ind w:left="2880" w:hanging="360"/>
      </w:pPr>
      <w:rPr>
        <w:rFonts w:ascii="Symbol" w:eastAsia="Symbol" w:hAnsi="Symbol" w:cs="Symbol"/>
      </w:rPr>
    </w:lvl>
    <w:lvl w:ilvl="4" w:tplc="EFAE6FBE">
      <w:start w:val="1"/>
      <w:numFmt w:val="bullet"/>
      <w:lvlText w:val="o"/>
      <w:lvlJc w:val="left"/>
      <w:pPr>
        <w:ind w:left="3600" w:hanging="360"/>
      </w:pPr>
      <w:rPr>
        <w:rFonts w:ascii="Courier New" w:eastAsia="Courier New" w:hAnsi="Courier New" w:cs="Courier New"/>
      </w:rPr>
    </w:lvl>
    <w:lvl w:ilvl="5" w:tplc="3CF86682">
      <w:start w:val="1"/>
      <w:numFmt w:val="bullet"/>
      <w:lvlText w:val=""/>
      <w:lvlJc w:val="left"/>
      <w:pPr>
        <w:ind w:left="4320" w:hanging="360"/>
      </w:pPr>
      <w:rPr>
        <w:rFonts w:ascii="Wingdings" w:eastAsia="Wingdings" w:hAnsi="Wingdings" w:cs="Wingdings"/>
      </w:rPr>
    </w:lvl>
    <w:lvl w:ilvl="6" w:tplc="EDAEF176">
      <w:start w:val="1"/>
      <w:numFmt w:val="bullet"/>
      <w:lvlText w:val=""/>
      <w:lvlJc w:val="left"/>
      <w:pPr>
        <w:ind w:left="5040" w:hanging="360"/>
      </w:pPr>
      <w:rPr>
        <w:rFonts w:ascii="Symbol" w:eastAsia="Symbol" w:hAnsi="Symbol" w:cs="Symbol"/>
      </w:rPr>
    </w:lvl>
    <w:lvl w:ilvl="7" w:tplc="D6A4129C">
      <w:start w:val="1"/>
      <w:numFmt w:val="bullet"/>
      <w:lvlText w:val="o"/>
      <w:lvlJc w:val="left"/>
      <w:pPr>
        <w:ind w:left="5760" w:hanging="360"/>
      </w:pPr>
      <w:rPr>
        <w:rFonts w:ascii="Courier New" w:eastAsia="Courier New" w:hAnsi="Courier New" w:cs="Courier New"/>
      </w:rPr>
    </w:lvl>
    <w:lvl w:ilvl="8" w:tplc="38B87CFA">
      <w:start w:val="1"/>
      <w:numFmt w:val="bullet"/>
      <w:lvlText w:val=""/>
      <w:lvlJc w:val="left"/>
      <w:pPr>
        <w:ind w:left="6480" w:hanging="360"/>
      </w:pPr>
      <w:rPr>
        <w:rFonts w:ascii="Wingdings" w:eastAsia="Wingdings" w:hAnsi="Wingdings" w:cs="Wingdings"/>
      </w:rPr>
    </w:lvl>
  </w:abstractNum>
  <w:abstractNum w:abstractNumId="9" w15:restartNumberingAfterBreak="0">
    <w:nsid w:val="24B61F39"/>
    <w:multiLevelType w:val="hybridMultilevel"/>
    <w:tmpl w:val="1D942D04"/>
    <w:lvl w:ilvl="0" w:tplc="4F409ACC">
      <w:start w:val="1"/>
      <w:numFmt w:val="bullet"/>
      <w:lvlText w:val="o"/>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034BAF8">
      <w:start w:val="1"/>
      <w:numFmt w:val="bullet"/>
      <w:lvlText w:val=""/>
      <w:lvlJc w:val="left"/>
      <w:pPr>
        <w:ind w:left="17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42F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60B2C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42D7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14015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6081A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1E445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04C5E8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59749BA"/>
    <w:multiLevelType w:val="hybridMultilevel"/>
    <w:tmpl w:val="4788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EFE544"/>
    <w:multiLevelType w:val="hybridMultilevel"/>
    <w:tmpl w:val="3D3EC276"/>
    <w:lvl w:ilvl="0" w:tplc="B0A40370">
      <w:start w:val="1"/>
      <w:numFmt w:val="bullet"/>
      <w:lvlText w:val=""/>
      <w:lvlJc w:val="left"/>
      <w:pPr>
        <w:ind w:left="720" w:hanging="360"/>
      </w:pPr>
      <w:rPr>
        <w:rFonts w:ascii="Symbol" w:eastAsia="Symbol" w:hAnsi="Symbol" w:cs="Symbol"/>
      </w:rPr>
    </w:lvl>
    <w:lvl w:ilvl="1" w:tplc="478A0EE4">
      <w:start w:val="1"/>
      <w:numFmt w:val="bullet"/>
      <w:lvlText w:val="o"/>
      <w:lvlJc w:val="left"/>
      <w:pPr>
        <w:ind w:left="1440" w:hanging="360"/>
      </w:pPr>
      <w:rPr>
        <w:rFonts w:ascii="Courier New" w:eastAsia="Courier New" w:hAnsi="Courier New" w:cs="Courier New"/>
      </w:rPr>
    </w:lvl>
    <w:lvl w:ilvl="2" w:tplc="8FB20A3C">
      <w:start w:val="1"/>
      <w:numFmt w:val="bullet"/>
      <w:lvlText w:val=""/>
      <w:lvlJc w:val="left"/>
      <w:pPr>
        <w:ind w:left="2160" w:hanging="360"/>
      </w:pPr>
      <w:rPr>
        <w:rFonts w:ascii="Wingdings" w:eastAsia="Wingdings" w:hAnsi="Wingdings" w:cs="Wingdings"/>
      </w:rPr>
    </w:lvl>
    <w:lvl w:ilvl="3" w:tplc="F4C269EE">
      <w:start w:val="1"/>
      <w:numFmt w:val="bullet"/>
      <w:lvlText w:val=""/>
      <w:lvlJc w:val="left"/>
      <w:pPr>
        <w:ind w:left="2880" w:hanging="360"/>
      </w:pPr>
      <w:rPr>
        <w:rFonts w:ascii="Symbol" w:eastAsia="Symbol" w:hAnsi="Symbol" w:cs="Symbol"/>
      </w:rPr>
    </w:lvl>
    <w:lvl w:ilvl="4" w:tplc="646AC3A4">
      <w:start w:val="1"/>
      <w:numFmt w:val="bullet"/>
      <w:lvlText w:val="o"/>
      <w:lvlJc w:val="left"/>
      <w:pPr>
        <w:ind w:left="3600" w:hanging="360"/>
      </w:pPr>
      <w:rPr>
        <w:rFonts w:ascii="Courier New" w:eastAsia="Courier New" w:hAnsi="Courier New" w:cs="Courier New"/>
      </w:rPr>
    </w:lvl>
    <w:lvl w:ilvl="5" w:tplc="F4BEC6E2">
      <w:start w:val="1"/>
      <w:numFmt w:val="bullet"/>
      <w:lvlText w:val=""/>
      <w:lvlJc w:val="left"/>
      <w:pPr>
        <w:ind w:left="4320" w:hanging="360"/>
      </w:pPr>
      <w:rPr>
        <w:rFonts w:ascii="Wingdings" w:eastAsia="Wingdings" w:hAnsi="Wingdings" w:cs="Wingdings"/>
      </w:rPr>
    </w:lvl>
    <w:lvl w:ilvl="6" w:tplc="3F84F708">
      <w:start w:val="1"/>
      <w:numFmt w:val="bullet"/>
      <w:lvlText w:val=""/>
      <w:lvlJc w:val="left"/>
      <w:pPr>
        <w:ind w:left="5040" w:hanging="360"/>
      </w:pPr>
      <w:rPr>
        <w:rFonts w:ascii="Symbol" w:eastAsia="Symbol" w:hAnsi="Symbol" w:cs="Symbol"/>
      </w:rPr>
    </w:lvl>
    <w:lvl w:ilvl="7" w:tplc="97A0778E">
      <w:start w:val="1"/>
      <w:numFmt w:val="bullet"/>
      <w:lvlText w:val="o"/>
      <w:lvlJc w:val="left"/>
      <w:pPr>
        <w:ind w:left="5760" w:hanging="360"/>
      </w:pPr>
      <w:rPr>
        <w:rFonts w:ascii="Courier New" w:eastAsia="Courier New" w:hAnsi="Courier New" w:cs="Courier New"/>
      </w:rPr>
    </w:lvl>
    <w:lvl w:ilvl="8" w:tplc="FF60B860">
      <w:start w:val="1"/>
      <w:numFmt w:val="bullet"/>
      <w:lvlText w:val=""/>
      <w:lvlJc w:val="left"/>
      <w:pPr>
        <w:ind w:left="6480" w:hanging="360"/>
      </w:pPr>
      <w:rPr>
        <w:rFonts w:ascii="Wingdings" w:eastAsia="Wingdings" w:hAnsi="Wingdings" w:cs="Wingdings"/>
      </w:rPr>
    </w:lvl>
  </w:abstractNum>
  <w:abstractNum w:abstractNumId="12" w15:restartNumberingAfterBreak="0">
    <w:nsid w:val="325B14A7"/>
    <w:multiLevelType w:val="hybridMultilevel"/>
    <w:tmpl w:val="157E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6A0C27"/>
    <w:multiLevelType w:val="hybridMultilevel"/>
    <w:tmpl w:val="FFFFFFFF"/>
    <w:lvl w:ilvl="0" w:tplc="794AB1C6">
      <w:start w:val="1"/>
      <w:numFmt w:val="bullet"/>
      <w:lvlText w:val=""/>
      <w:lvlJc w:val="left"/>
      <w:pPr>
        <w:ind w:left="720" w:hanging="360"/>
      </w:pPr>
      <w:rPr>
        <w:rFonts w:ascii="Symbol" w:eastAsia="Symbol" w:hAnsi="Symbol" w:cs="Symbol"/>
      </w:rPr>
    </w:lvl>
    <w:lvl w:ilvl="1" w:tplc="94DAE312">
      <w:start w:val="1"/>
      <w:numFmt w:val="bullet"/>
      <w:lvlText w:val="o"/>
      <w:lvlJc w:val="left"/>
      <w:pPr>
        <w:ind w:left="1440" w:hanging="360"/>
      </w:pPr>
      <w:rPr>
        <w:rFonts w:ascii="Courier New" w:eastAsia="Courier New" w:hAnsi="Courier New" w:cs="Courier New"/>
      </w:rPr>
    </w:lvl>
    <w:lvl w:ilvl="2" w:tplc="E2243A10">
      <w:start w:val="1"/>
      <w:numFmt w:val="bullet"/>
      <w:lvlText w:val=""/>
      <w:lvlJc w:val="left"/>
      <w:pPr>
        <w:ind w:left="2160" w:hanging="360"/>
      </w:pPr>
      <w:rPr>
        <w:rFonts w:ascii="Wingdings" w:eastAsia="Wingdings" w:hAnsi="Wingdings" w:cs="Wingdings"/>
      </w:rPr>
    </w:lvl>
    <w:lvl w:ilvl="3" w:tplc="E56842BA">
      <w:start w:val="1"/>
      <w:numFmt w:val="bullet"/>
      <w:lvlText w:val=""/>
      <w:lvlJc w:val="left"/>
      <w:pPr>
        <w:ind w:left="2880" w:hanging="360"/>
      </w:pPr>
      <w:rPr>
        <w:rFonts w:ascii="Symbol" w:eastAsia="Symbol" w:hAnsi="Symbol" w:cs="Symbol"/>
      </w:rPr>
    </w:lvl>
    <w:lvl w:ilvl="4" w:tplc="4CCEFAF8">
      <w:start w:val="1"/>
      <w:numFmt w:val="bullet"/>
      <w:lvlText w:val="o"/>
      <w:lvlJc w:val="left"/>
      <w:pPr>
        <w:ind w:left="3600" w:hanging="360"/>
      </w:pPr>
      <w:rPr>
        <w:rFonts w:ascii="Courier New" w:eastAsia="Courier New" w:hAnsi="Courier New" w:cs="Courier New"/>
      </w:rPr>
    </w:lvl>
    <w:lvl w:ilvl="5" w:tplc="81866E7C">
      <w:start w:val="1"/>
      <w:numFmt w:val="bullet"/>
      <w:lvlText w:val=""/>
      <w:lvlJc w:val="left"/>
      <w:pPr>
        <w:ind w:left="4320" w:hanging="360"/>
      </w:pPr>
      <w:rPr>
        <w:rFonts w:ascii="Wingdings" w:eastAsia="Wingdings" w:hAnsi="Wingdings" w:cs="Wingdings"/>
      </w:rPr>
    </w:lvl>
    <w:lvl w:ilvl="6" w:tplc="0F1ACFE0">
      <w:start w:val="1"/>
      <w:numFmt w:val="bullet"/>
      <w:lvlText w:val=""/>
      <w:lvlJc w:val="left"/>
      <w:pPr>
        <w:ind w:left="5040" w:hanging="360"/>
      </w:pPr>
      <w:rPr>
        <w:rFonts w:ascii="Symbol" w:eastAsia="Symbol" w:hAnsi="Symbol" w:cs="Symbol"/>
      </w:rPr>
    </w:lvl>
    <w:lvl w:ilvl="7" w:tplc="4A064EE0">
      <w:start w:val="1"/>
      <w:numFmt w:val="bullet"/>
      <w:lvlText w:val="o"/>
      <w:lvlJc w:val="left"/>
      <w:pPr>
        <w:ind w:left="5760" w:hanging="360"/>
      </w:pPr>
      <w:rPr>
        <w:rFonts w:ascii="Courier New" w:eastAsia="Courier New" w:hAnsi="Courier New" w:cs="Courier New"/>
      </w:rPr>
    </w:lvl>
    <w:lvl w:ilvl="8" w:tplc="379A644E">
      <w:start w:val="1"/>
      <w:numFmt w:val="bullet"/>
      <w:lvlText w:val=""/>
      <w:lvlJc w:val="left"/>
      <w:pPr>
        <w:ind w:left="6480" w:hanging="360"/>
      </w:pPr>
      <w:rPr>
        <w:rFonts w:ascii="Wingdings" w:eastAsia="Wingdings" w:hAnsi="Wingdings" w:cs="Wingdings"/>
      </w:rPr>
    </w:lvl>
  </w:abstractNum>
  <w:abstractNum w:abstractNumId="14" w15:restartNumberingAfterBreak="0">
    <w:nsid w:val="41B7427B"/>
    <w:multiLevelType w:val="hybridMultilevel"/>
    <w:tmpl w:val="49EEA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B2A3E6"/>
    <w:multiLevelType w:val="hybridMultilevel"/>
    <w:tmpl w:val="11429622"/>
    <w:lvl w:ilvl="0" w:tplc="35BE2B66">
      <w:start w:val="1"/>
      <w:numFmt w:val="bullet"/>
      <w:lvlText w:val=""/>
      <w:lvlJc w:val="left"/>
      <w:pPr>
        <w:ind w:left="720" w:hanging="360"/>
      </w:pPr>
      <w:rPr>
        <w:rFonts w:ascii="Symbol" w:eastAsia="Symbol" w:hAnsi="Symbol" w:cs="Symbol"/>
      </w:rPr>
    </w:lvl>
    <w:lvl w:ilvl="1" w:tplc="6DFAAADA">
      <w:start w:val="1"/>
      <w:numFmt w:val="bullet"/>
      <w:lvlText w:val="o"/>
      <w:lvlJc w:val="left"/>
      <w:pPr>
        <w:ind w:left="1440" w:hanging="360"/>
      </w:pPr>
      <w:rPr>
        <w:rFonts w:ascii="Courier New" w:eastAsia="Courier New" w:hAnsi="Courier New" w:cs="Courier New"/>
      </w:rPr>
    </w:lvl>
    <w:lvl w:ilvl="2" w:tplc="1DE68AC2">
      <w:start w:val="1"/>
      <w:numFmt w:val="bullet"/>
      <w:lvlText w:val=""/>
      <w:lvlJc w:val="left"/>
      <w:pPr>
        <w:ind w:left="2160" w:hanging="360"/>
      </w:pPr>
      <w:rPr>
        <w:rFonts w:ascii="Wingdings" w:eastAsia="Wingdings" w:hAnsi="Wingdings" w:cs="Wingdings"/>
      </w:rPr>
    </w:lvl>
    <w:lvl w:ilvl="3" w:tplc="C4D24B5A">
      <w:start w:val="1"/>
      <w:numFmt w:val="bullet"/>
      <w:lvlText w:val=""/>
      <w:lvlJc w:val="left"/>
      <w:pPr>
        <w:ind w:left="2880" w:hanging="360"/>
      </w:pPr>
      <w:rPr>
        <w:rFonts w:ascii="Symbol" w:eastAsia="Symbol" w:hAnsi="Symbol" w:cs="Symbol"/>
      </w:rPr>
    </w:lvl>
    <w:lvl w:ilvl="4" w:tplc="1A70B030">
      <w:start w:val="1"/>
      <w:numFmt w:val="bullet"/>
      <w:lvlText w:val="o"/>
      <w:lvlJc w:val="left"/>
      <w:pPr>
        <w:ind w:left="3600" w:hanging="360"/>
      </w:pPr>
      <w:rPr>
        <w:rFonts w:ascii="Courier New" w:eastAsia="Courier New" w:hAnsi="Courier New" w:cs="Courier New"/>
      </w:rPr>
    </w:lvl>
    <w:lvl w:ilvl="5" w:tplc="CF22D57E">
      <w:start w:val="1"/>
      <w:numFmt w:val="bullet"/>
      <w:lvlText w:val=""/>
      <w:lvlJc w:val="left"/>
      <w:pPr>
        <w:ind w:left="4320" w:hanging="360"/>
      </w:pPr>
      <w:rPr>
        <w:rFonts w:ascii="Wingdings" w:eastAsia="Wingdings" w:hAnsi="Wingdings" w:cs="Wingdings"/>
      </w:rPr>
    </w:lvl>
    <w:lvl w:ilvl="6" w:tplc="C0AE49D2">
      <w:start w:val="1"/>
      <w:numFmt w:val="bullet"/>
      <w:lvlText w:val=""/>
      <w:lvlJc w:val="left"/>
      <w:pPr>
        <w:ind w:left="5040" w:hanging="360"/>
      </w:pPr>
      <w:rPr>
        <w:rFonts w:ascii="Symbol" w:eastAsia="Symbol" w:hAnsi="Symbol" w:cs="Symbol"/>
      </w:rPr>
    </w:lvl>
    <w:lvl w:ilvl="7" w:tplc="8312EB32">
      <w:start w:val="1"/>
      <w:numFmt w:val="bullet"/>
      <w:lvlText w:val="o"/>
      <w:lvlJc w:val="left"/>
      <w:pPr>
        <w:ind w:left="5760" w:hanging="360"/>
      </w:pPr>
      <w:rPr>
        <w:rFonts w:ascii="Courier New" w:eastAsia="Courier New" w:hAnsi="Courier New" w:cs="Courier New"/>
      </w:rPr>
    </w:lvl>
    <w:lvl w:ilvl="8" w:tplc="614AD340">
      <w:start w:val="1"/>
      <w:numFmt w:val="bullet"/>
      <w:lvlText w:val=""/>
      <w:lvlJc w:val="left"/>
      <w:pPr>
        <w:ind w:left="6480" w:hanging="360"/>
      </w:pPr>
      <w:rPr>
        <w:rFonts w:ascii="Wingdings" w:eastAsia="Wingdings" w:hAnsi="Wingdings" w:cs="Wingdings"/>
      </w:rPr>
    </w:lvl>
  </w:abstractNum>
  <w:abstractNum w:abstractNumId="16" w15:restartNumberingAfterBreak="0">
    <w:nsid w:val="50D53930"/>
    <w:multiLevelType w:val="hybridMultilevel"/>
    <w:tmpl w:val="6758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6034B2"/>
    <w:multiLevelType w:val="hybridMultilevel"/>
    <w:tmpl w:val="9E604E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C43DD53"/>
    <w:multiLevelType w:val="hybridMultilevel"/>
    <w:tmpl w:val="4F444488"/>
    <w:lvl w:ilvl="0" w:tplc="6BB0CED4">
      <w:start w:val="1"/>
      <w:numFmt w:val="bullet"/>
      <w:lvlText w:val=""/>
      <w:lvlJc w:val="left"/>
      <w:pPr>
        <w:ind w:left="720" w:hanging="360"/>
      </w:pPr>
      <w:rPr>
        <w:rFonts w:ascii="Symbol" w:eastAsia="Symbol" w:hAnsi="Symbol" w:cs="Symbol"/>
      </w:rPr>
    </w:lvl>
    <w:lvl w:ilvl="1" w:tplc="4B58CB5A">
      <w:start w:val="1"/>
      <w:numFmt w:val="bullet"/>
      <w:lvlText w:val="o"/>
      <w:lvlJc w:val="left"/>
      <w:pPr>
        <w:ind w:left="1440" w:hanging="360"/>
      </w:pPr>
      <w:rPr>
        <w:rFonts w:ascii="Courier New" w:eastAsia="Courier New" w:hAnsi="Courier New" w:cs="Courier New"/>
      </w:rPr>
    </w:lvl>
    <w:lvl w:ilvl="2" w:tplc="F2AA1398">
      <w:start w:val="1"/>
      <w:numFmt w:val="bullet"/>
      <w:lvlText w:val=""/>
      <w:lvlJc w:val="left"/>
      <w:pPr>
        <w:ind w:left="2160" w:hanging="360"/>
      </w:pPr>
      <w:rPr>
        <w:rFonts w:ascii="Wingdings" w:eastAsia="Wingdings" w:hAnsi="Wingdings" w:cs="Wingdings"/>
      </w:rPr>
    </w:lvl>
    <w:lvl w:ilvl="3" w:tplc="075A59E0">
      <w:start w:val="1"/>
      <w:numFmt w:val="bullet"/>
      <w:lvlText w:val=""/>
      <w:lvlJc w:val="left"/>
      <w:pPr>
        <w:ind w:left="2880" w:hanging="360"/>
      </w:pPr>
      <w:rPr>
        <w:rFonts w:ascii="Symbol" w:eastAsia="Symbol" w:hAnsi="Symbol" w:cs="Symbol"/>
      </w:rPr>
    </w:lvl>
    <w:lvl w:ilvl="4" w:tplc="7242B0A4">
      <w:start w:val="1"/>
      <w:numFmt w:val="bullet"/>
      <w:lvlText w:val="o"/>
      <w:lvlJc w:val="left"/>
      <w:pPr>
        <w:ind w:left="3600" w:hanging="360"/>
      </w:pPr>
      <w:rPr>
        <w:rFonts w:ascii="Courier New" w:eastAsia="Courier New" w:hAnsi="Courier New" w:cs="Courier New"/>
      </w:rPr>
    </w:lvl>
    <w:lvl w:ilvl="5" w:tplc="27847124">
      <w:start w:val="1"/>
      <w:numFmt w:val="bullet"/>
      <w:lvlText w:val=""/>
      <w:lvlJc w:val="left"/>
      <w:pPr>
        <w:ind w:left="4320" w:hanging="360"/>
      </w:pPr>
      <w:rPr>
        <w:rFonts w:ascii="Wingdings" w:eastAsia="Wingdings" w:hAnsi="Wingdings" w:cs="Wingdings"/>
      </w:rPr>
    </w:lvl>
    <w:lvl w:ilvl="6" w:tplc="0602CD14">
      <w:start w:val="1"/>
      <w:numFmt w:val="bullet"/>
      <w:lvlText w:val=""/>
      <w:lvlJc w:val="left"/>
      <w:pPr>
        <w:ind w:left="5040" w:hanging="360"/>
      </w:pPr>
      <w:rPr>
        <w:rFonts w:ascii="Symbol" w:eastAsia="Symbol" w:hAnsi="Symbol" w:cs="Symbol"/>
      </w:rPr>
    </w:lvl>
    <w:lvl w:ilvl="7" w:tplc="23409094">
      <w:start w:val="1"/>
      <w:numFmt w:val="bullet"/>
      <w:lvlText w:val="o"/>
      <w:lvlJc w:val="left"/>
      <w:pPr>
        <w:ind w:left="5760" w:hanging="360"/>
      </w:pPr>
      <w:rPr>
        <w:rFonts w:ascii="Courier New" w:eastAsia="Courier New" w:hAnsi="Courier New" w:cs="Courier New"/>
      </w:rPr>
    </w:lvl>
    <w:lvl w:ilvl="8" w:tplc="187E1630">
      <w:start w:val="1"/>
      <w:numFmt w:val="bullet"/>
      <w:lvlText w:val=""/>
      <w:lvlJc w:val="left"/>
      <w:pPr>
        <w:ind w:left="6480" w:hanging="360"/>
      </w:pPr>
      <w:rPr>
        <w:rFonts w:ascii="Wingdings" w:eastAsia="Wingdings" w:hAnsi="Wingdings" w:cs="Wingdings"/>
      </w:rPr>
    </w:lvl>
  </w:abstractNum>
  <w:abstractNum w:abstractNumId="19" w15:restartNumberingAfterBreak="0">
    <w:nsid w:val="5DA12DD6"/>
    <w:multiLevelType w:val="hybridMultilevel"/>
    <w:tmpl w:val="61F2E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6E938EE"/>
    <w:multiLevelType w:val="hybridMultilevel"/>
    <w:tmpl w:val="8468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D6EE67"/>
    <w:multiLevelType w:val="hybridMultilevel"/>
    <w:tmpl w:val="D2C6947E"/>
    <w:lvl w:ilvl="0" w:tplc="2E0C03B8">
      <w:start w:val="1"/>
      <w:numFmt w:val="bullet"/>
      <w:lvlText w:val=""/>
      <w:lvlJc w:val="left"/>
      <w:pPr>
        <w:ind w:left="720" w:hanging="360"/>
      </w:pPr>
      <w:rPr>
        <w:rFonts w:ascii="Symbol" w:eastAsia="Symbol" w:hAnsi="Symbol" w:cs="Symbol"/>
      </w:rPr>
    </w:lvl>
    <w:lvl w:ilvl="1" w:tplc="E1F29B1E">
      <w:start w:val="1"/>
      <w:numFmt w:val="bullet"/>
      <w:lvlText w:val="o"/>
      <w:lvlJc w:val="left"/>
      <w:pPr>
        <w:ind w:left="1440" w:hanging="360"/>
      </w:pPr>
      <w:rPr>
        <w:rFonts w:ascii="Courier New" w:eastAsia="Courier New" w:hAnsi="Courier New" w:cs="Courier New"/>
      </w:rPr>
    </w:lvl>
    <w:lvl w:ilvl="2" w:tplc="6DF4B74A">
      <w:start w:val="1"/>
      <w:numFmt w:val="bullet"/>
      <w:lvlText w:val=""/>
      <w:lvlJc w:val="left"/>
      <w:pPr>
        <w:ind w:left="2160" w:hanging="360"/>
      </w:pPr>
      <w:rPr>
        <w:rFonts w:ascii="Wingdings" w:eastAsia="Wingdings" w:hAnsi="Wingdings" w:cs="Wingdings"/>
      </w:rPr>
    </w:lvl>
    <w:lvl w:ilvl="3" w:tplc="107A698C">
      <w:start w:val="1"/>
      <w:numFmt w:val="bullet"/>
      <w:lvlText w:val=""/>
      <w:lvlJc w:val="left"/>
      <w:pPr>
        <w:ind w:left="2880" w:hanging="360"/>
      </w:pPr>
      <w:rPr>
        <w:rFonts w:ascii="Symbol" w:eastAsia="Symbol" w:hAnsi="Symbol" w:cs="Symbol"/>
      </w:rPr>
    </w:lvl>
    <w:lvl w:ilvl="4" w:tplc="7BB66370">
      <w:start w:val="1"/>
      <w:numFmt w:val="bullet"/>
      <w:lvlText w:val="o"/>
      <w:lvlJc w:val="left"/>
      <w:pPr>
        <w:ind w:left="3600" w:hanging="360"/>
      </w:pPr>
      <w:rPr>
        <w:rFonts w:ascii="Courier New" w:eastAsia="Courier New" w:hAnsi="Courier New" w:cs="Courier New"/>
      </w:rPr>
    </w:lvl>
    <w:lvl w:ilvl="5" w:tplc="4950F91C">
      <w:start w:val="1"/>
      <w:numFmt w:val="bullet"/>
      <w:lvlText w:val=""/>
      <w:lvlJc w:val="left"/>
      <w:pPr>
        <w:ind w:left="4320" w:hanging="360"/>
      </w:pPr>
      <w:rPr>
        <w:rFonts w:ascii="Wingdings" w:eastAsia="Wingdings" w:hAnsi="Wingdings" w:cs="Wingdings"/>
      </w:rPr>
    </w:lvl>
    <w:lvl w:ilvl="6" w:tplc="2CBEE4BC">
      <w:start w:val="1"/>
      <w:numFmt w:val="bullet"/>
      <w:lvlText w:val=""/>
      <w:lvlJc w:val="left"/>
      <w:pPr>
        <w:ind w:left="5040" w:hanging="360"/>
      </w:pPr>
      <w:rPr>
        <w:rFonts w:ascii="Symbol" w:eastAsia="Symbol" w:hAnsi="Symbol" w:cs="Symbol"/>
      </w:rPr>
    </w:lvl>
    <w:lvl w:ilvl="7" w:tplc="BC185D3E">
      <w:start w:val="1"/>
      <w:numFmt w:val="bullet"/>
      <w:lvlText w:val="o"/>
      <w:lvlJc w:val="left"/>
      <w:pPr>
        <w:ind w:left="5760" w:hanging="360"/>
      </w:pPr>
      <w:rPr>
        <w:rFonts w:ascii="Courier New" w:eastAsia="Courier New" w:hAnsi="Courier New" w:cs="Courier New"/>
      </w:rPr>
    </w:lvl>
    <w:lvl w:ilvl="8" w:tplc="72BABB34">
      <w:start w:val="1"/>
      <w:numFmt w:val="bullet"/>
      <w:lvlText w:val=""/>
      <w:lvlJc w:val="left"/>
      <w:pPr>
        <w:ind w:left="6480" w:hanging="360"/>
      </w:pPr>
      <w:rPr>
        <w:rFonts w:ascii="Wingdings" w:eastAsia="Wingdings" w:hAnsi="Wingdings" w:cs="Wingdings"/>
      </w:rPr>
    </w:lvl>
  </w:abstractNum>
  <w:abstractNum w:abstractNumId="22" w15:restartNumberingAfterBreak="0">
    <w:nsid w:val="795E6B81"/>
    <w:multiLevelType w:val="hybridMultilevel"/>
    <w:tmpl w:val="245EA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6A11A5"/>
    <w:multiLevelType w:val="hybridMultilevel"/>
    <w:tmpl w:val="4B406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15812255">
    <w:abstractNumId w:val="9"/>
  </w:num>
  <w:num w:numId="2" w16cid:durableId="2099013664">
    <w:abstractNumId w:val="2"/>
  </w:num>
  <w:num w:numId="3" w16cid:durableId="1065109355">
    <w:abstractNumId w:val="22"/>
  </w:num>
  <w:num w:numId="4" w16cid:durableId="1017729909">
    <w:abstractNumId w:val="0"/>
  </w:num>
  <w:num w:numId="5" w16cid:durableId="1937982636">
    <w:abstractNumId w:val="12"/>
  </w:num>
  <w:num w:numId="6" w16cid:durableId="444274264">
    <w:abstractNumId w:val="16"/>
  </w:num>
  <w:num w:numId="7" w16cid:durableId="140849496">
    <w:abstractNumId w:val="14"/>
  </w:num>
  <w:num w:numId="8" w16cid:durableId="146288828">
    <w:abstractNumId w:val="19"/>
  </w:num>
  <w:num w:numId="9" w16cid:durableId="163128149">
    <w:abstractNumId w:val="10"/>
  </w:num>
  <w:num w:numId="10" w16cid:durableId="592513396">
    <w:abstractNumId w:val="20"/>
  </w:num>
  <w:num w:numId="11" w16cid:durableId="529492387">
    <w:abstractNumId w:val="17"/>
  </w:num>
  <w:num w:numId="12" w16cid:durableId="2120055285">
    <w:abstractNumId w:val="4"/>
  </w:num>
  <w:num w:numId="13" w16cid:durableId="2123573697">
    <w:abstractNumId w:val="23"/>
  </w:num>
  <w:num w:numId="14" w16cid:durableId="908417583">
    <w:abstractNumId w:val="5"/>
  </w:num>
  <w:num w:numId="15" w16cid:durableId="397367668">
    <w:abstractNumId w:val="3"/>
  </w:num>
  <w:num w:numId="16" w16cid:durableId="876696084">
    <w:abstractNumId w:val="1"/>
  </w:num>
  <w:num w:numId="17" w16cid:durableId="1347486650">
    <w:abstractNumId w:val="7"/>
  </w:num>
  <w:num w:numId="18" w16cid:durableId="574631553">
    <w:abstractNumId w:val="13"/>
  </w:num>
  <w:num w:numId="19" w16cid:durableId="112873113">
    <w:abstractNumId w:val="21"/>
  </w:num>
  <w:num w:numId="20" w16cid:durableId="1578435605">
    <w:abstractNumId w:val="18"/>
  </w:num>
  <w:num w:numId="21" w16cid:durableId="1342514894">
    <w:abstractNumId w:val="6"/>
  </w:num>
  <w:num w:numId="22" w16cid:durableId="2022002366">
    <w:abstractNumId w:val="8"/>
  </w:num>
  <w:num w:numId="23" w16cid:durableId="1588073022">
    <w:abstractNumId w:val="11"/>
  </w:num>
  <w:num w:numId="24" w16cid:durableId="1917546896">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B97"/>
    <w:rsid w:val="000028C7"/>
    <w:rsid w:val="00006CFB"/>
    <w:rsid w:val="000077E4"/>
    <w:rsid w:val="00015CB4"/>
    <w:rsid w:val="00017AB3"/>
    <w:rsid w:val="00030B04"/>
    <w:rsid w:val="00030E05"/>
    <w:rsid w:val="00031CC1"/>
    <w:rsid w:val="000323A5"/>
    <w:rsid w:val="00032EFF"/>
    <w:rsid w:val="00036BC1"/>
    <w:rsid w:val="00046B77"/>
    <w:rsid w:val="000514D0"/>
    <w:rsid w:val="00053461"/>
    <w:rsid w:val="0005431F"/>
    <w:rsid w:val="00056D02"/>
    <w:rsid w:val="00060142"/>
    <w:rsid w:val="000607F7"/>
    <w:rsid w:val="000612FE"/>
    <w:rsid w:val="000671BF"/>
    <w:rsid w:val="000842DA"/>
    <w:rsid w:val="0008641D"/>
    <w:rsid w:val="00086C3B"/>
    <w:rsid w:val="00091BD0"/>
    <w:rsid w:val="00092D5C"/>
    <w:rsid w:val="00096565"/>
    <w:rsid w:val="0009728B"/>
    <w:rsid w:val="000974DA"/>
    <w:rsid w:val="000A1564"/>
    <w:rsid w:val="000A6AEC"/>
    <w:rsid w:val="000B2466"/>
    <w:rsid w:val="000C3E59"/>
    <w:rsid w:val="000C4875"/>
    <w:rsid w:val="000C5B18"/>
    <w:rsid w:val="000D1EDF"/>
    <w:rsid w:val="000D2BB5"/>
    <w:rsid w:val="000E2FF3"/>
    <w:rsid w:val="000E4E36"/>
    <w:rsid w:val="000E4EB3"/>
    <w:rsid w:val="00100750"/>
    <w:rsid w:val="00101E70"/>
    <w:rsid w:val="00104234"/>
    <w:rsid w:val="001043AC"/>
    <w:rsid w:val="0010606F"/>
    <w:rsid w:val="00106C7C"/>
    <w:rsid w:val="00107509"/>
    <w:rsid w:val="00114933"/>
    <w:rsid w:val="0011589A"/>
    <w:rsid w:val="00116D18"/>
    <w:rsid w:val="001210F1"/>
    <w:rsid w:val="00130268"/>
    <w:rsid w:val="00130CB4"/>
    <w:rsid w:val="001326F8"/>
    <w:rsid w:val="00140CA3"/>
    <w:rsid w:val="00141B4C"/>
    <w:rsid w:val="00145073"/>
    <w:rsid w:val="00145FAD"/>
    <w:rsid w:val="00147C33"/>
    <w:rsid w:val="00150C95"/>
    <w:rsid w:val="00163A47"/>
    <w:rsid w:val="001643EC"/>
    <w:rsid w:val="001666C3"/>
    <w:rsid w:val="001809B4"/>
    <w:rsid w:val="00183E4B"/>
    <w:rsid w:val="00187C1B"/>
    <w:rsid w:val="00190A9E"/>
    <w:rsid w:val="00192ED6"/>
    <w:rsid w:val="001A4A70"/>
    <w:rsid w:val="001A6026"/>
    <w:rsid w:val="001A6053"/>
    <w:rsid w:val="001A6C37"/>
    <w:rsid w:val="001B0C7E"/>
    <w:rsid w:val="001B3B61"/>
    <w:rsid w:val="001B6B3B"/>
    <w:rsid w:val="001C256A"/>
    <w:rsid w:val="001D7D0C"/>
    <w:rsid w:val="001E4069"/>
    <w:rsid w:val="001F294E"/>
    <w:rsid w:val="001F7912"/>
    <w:rsid w:val="00201204"/>
    <w:rsid w:val="00201D75"/>
    <w:rsid w:val="00203074"/>
    <w:rsid w:val="00206851"/>
    <w:rsid w:val="00210581"/>
    <w:rsid w:val="002127E6"/>
    <w:rsid w:val="00220B7B"/>
    <w:rsid w:val="0022253B"/>
    <w:rsid w:val="002232C6"/>
    <w:rsid w:val="00225375"/>
    <w:rsid w:val="00226C01"/>
    <w:rsid w:val="00237C8A"/>
    <w:rsid w:val="00244B98"/>
    <w:rsid w:val="002505DA"/>
    <w:rsid w:val="00256B77"/>
    <w:rsid w:val="00257DA3"/>
    <w:rsid w:val="002601D1"/>
    <w:rsid w:val="002623D5"/>
    <w:rsid w:val="0026309D"/>
    <w:rsid w:val="002657E7"/>
    <w:rsid w:val="00265B0A"/>
    <w:rsid w:val="00274B4D"/>
    <w:rsid w:val="00277E0A"/>
    <w:rsid w:val="002813B3"/>
    <w:rsid w:val="00282339"/>
    <w:rsid w:val="002875D0"/>
    <w:rsid w:val="002878D2"/>
    <w:rsid w:val="00292635"/>
    <w:rsid w:val="002928F6"/>
    <w:rsid w:val="00293C65"/>
    <w:rsid w:val="0029457E"/>
    <w:rsid w:val="00294BC5"/>
    <w:rsid w:val="002962E1"/>
    <w:rsid w:val="002A4307"/>
    <w:rsid w:val="002A4852"/>
    <w:rsid w:val="002A66A7"/>
    <w:rsid w:val="002B6286"/>
    <w:rsid w:val="002B7CD1"/>
    <w:rsid w:val="002C3EA7"/>
    <w:rsid w:val="002C5B99"/>
    <w:rsid w:val="002D0CD8"/>
    <w:rsid w:val="002D2FF8"/>
    <w:rsid w:val="002D3347"/>
    <w:rsid w:val="002D6C11"/>
    <w:rsid w:val="002D71CF"/>
    <w:rsid w:val="002E36A4"/>
    <w:rsid w:val="002E5D55"/>
    <w:rsid w:val="002E72F4"/>
    <w:rsid w:val="002F20E0"/>
    <w:rsid w:val="002F2CB2"/>
    <w:rsid w:val="002F38B8"/>
    <w:rsid w:val="002F76EF"/>
    <w:rsid w:val="002F77BC"/>
    <w:rsid w:val="003045B2"/>
    <w:rsid w:val="00307C06"/>
    <w:rsid w:val="00313609"/>
    <w:rsid w:val="00322AFF"/>
    <w:rsid w:val="003266E7"/>
    <w:rsid w:val="0032791D"/>
    <w:rsid w:val="00331B56"/>
    <w:rsid w:val="0033460A"/>
    <w:rsid w:val="00340F2C"/>
    <w:rsid w:val="00341709"/>
    <w:rsid w:val="003477FC"/>
    <w:rsid w:val="003478D4"/>
    <w:rsid w:val="00350B3C"/>
    <w:rsid w:val="00351EEF"/>
    <w:rsid w:val="00360BAD"/>
    <w:rsid w:val="00362F3A"/>
    <w:rsid w:val="00365E3A"/>
    <w:rsid w:val="00366393"/>
    <w:rsid w:val="00366BBA"/>
    <w:rsid w:val="00367794"/>
    <w:rsid w:val="00370E55"/>
    <w:rsid w:val="00374CC0"/>
    <w:rsid w:val="0038262C"/>
    <w:rsid w:val="0038281E"/>
    <w:rsid w:val="00383DA5"/>
    <w:rsid w:val="003853E5"/>
    <w:rsid w:val="003857F5"/>
    <w:rsid w:val="00386EA3"/>
    <w:rsid w:val="00395DDF"/>
    <w:rsid w:val="0039664F"/>
    <w:rsid w:val="00397000"/>
    <w:rsid w:val="00397696"/>
    <w:rsid w:val="003A41BB"/>
    <w:rsid w:val="003A503C"/>
    <w:rsid w:val="003A66D5"/>
    <w:rsid w:val="003B0186"/>
    <w:rsid w:val="003B18C7"/>
    <w:rsid w:val="003B2CC0"/>
    <w:rsid w:val="003B4A29"/>
    <w:rsid w:val="003B6E85"/>
    <w:rsid w:val="003B7916"/>
    <w:rsid w:val="003C2E90"/>
    <w:rsid w:val="003D278F"/>
    <w:rsid w:val="003D2B2A"/>
    <w:rsid w:val="003D73B2"/>
    <w:rsid w:val="003E796E"/>
    <w:rsid w:val="003F37C5"/>
    <w:rsid w:val="003F5BF4"/>
    <w:rsid w:val="004078B9"/>
    <w:rsid w:val="00407CCA"/>
    <w:rsid w:val="00410F13"/>
    <w:rsid w:val="00421674"/>
    <w:rsid w:val="004250E9"/>
    <w:rsid w:val="00427314"/>
    <w:rsid w:val="004307B6"/>
    <w:rsid w:val="00436CA9"/>
    <w:rsid w:val="00436F99"/>
    <w:rsid w:val="00440BEE"/>
    <w:rsid w:val="00442946"/>
    <w:rsid w:val="0044451F"/>
    <w:rsid w:val="00447365"/>
    <w:rsid w:val="00447398"/>
    <w:rsid w:val="00447667"/>
    <w:rsid w:val="00451505"/>
    <w:rsid w:val="00454BE5"/>
    <w:rsid w:val="004577C2"/>
    <w:rsid w:val="004611C3"/>
    <w:rsid w:val="00464616"/>
    <w:rsid w:val="00464C48"/>
    <w:rsid w:val="00465ADD"/>
    <w:rsid w:val="004666A2"/>
    <w:rsid w:val="00471174"/>
    <w:rsid w:val="00472D39"/>
    <w:rsid w:val="00473DA8"/>
    <w:rsid w:val="00473ED9"/>
    <w:rsid w:val="00480311"/>
    <w:rsid w:val="00487C0B"/>
    <w:rsid w:val="00491CD4"/>
    <w:rsid w:val="00491DE2"/>
    <w:rsid w:val="00492B91"/>
    <w:rsid w:val="00494E16"/>
    <w:rsid w:val="004A065A"/>
    <w:rsid w:val="004A0BAD"/>
    <w:rsid w:val="004A12A8"/>
    <w:rsid w:val="004A3BE7"/>
    <w:rsid w:val="004A51DE"/>
    <w:rsid w:val="004A6634"/>
    <w:rsid w:val="004A7203"/>
    <w:rsid w:val="004A788B"/>
    <w:rsid w:val="004A7BB3"/>
    <w:rsid w:val="004B43B1"/>
    <w:rsid w:val="004B6617"/>
    <w:rsid w:val="004B7D4C"/>
    <w:rsid w:val="004C0170"/>
    <w:rsid w:val="004C196A"/>
    <w:rsid w:val="004C1D67"/>
    <w:rsid w:val="004C4130"/>
    <w:rsid w:val="004C418D"/>
    <w:rsid w:val="004C64A6"/>
    <w:rsid w:val="004D11E0"/>
    <w:rsid w:val="004D1960"/>
    <w:rsid w:val="004D2193"/>
    <w:rsid w:val="004D3B93"/>
    <w:rsid w:val="004E66B8"/>
    <w:rsid w:val="004F0A51"/>
    <w:rsid w:val="004F0BB9"/>
    <w:rsid w:val="004F546C"/>
    <w:rsid w:val="0050145D"/>
    <w:rsid w:val="00505CB6"/>
    <w:rsid w:val="00506628"/>
    <w:rsid w:val="005072A6"/>
    <w:rsid w:val="00511B5D"/>
    <w:rsid w:val="00511E01"/>
    <w:rsid w:val="00512FB9"/>
    <w:rsid w:val="005210B6"/>
    <w:rsid w:val="00521BBB"/>
    <w:rsid w:val="0052658A"/>
    <w:rsid w:val="00531158"/>
    <w:rsid w:val="0053308C"/>
    <w:rsid w:val="0053632A"/>
    <w:rsid w:val="00543E40"/>
    <w:rsid w:val="00545068"/>
    <w:rsid w:val="00545766"/>
    <w:rsid w:val="005639ED"/>
    <w:rsid w:val="005646C8"/>
    <w:rsid w:val="0056644D"/>
    <w:rsid w:val="00567698"/>
    <w:rsid w:val="00570E23"/>
    <w:rsid w:val="005735C5"/>
    <w:rsid w:val="005742C3"/>
    <w:rsid w:val="005761E7"/>
    <w:rsid w:val="0057664A"/>
    <w:rsid w:val="0057681E"/>
    <w:rsid w:val="005846FF"/>
    <w:rsid w:val="00587317"/>
    <w:rsid w:val="00587E67"/>
    <w:rsid w:val="005905E0"/>
    <w:rsid w:val="0059368E"/>
    <w:rsid w:val="0059383B"/>
    <w:rsid w:val="0059399F"/>
    <w:rsid w:val="00595B18"/>
    <w:rsid w:val="0059748E"/>
    <w:rsid w:val="005975D5"/>
    <w:rsid w:val="00597814"/>
    <w:rsid w:val="005A200B"/>
    <w:rsid w:val="005A207A"/>
    <w:rsid w:val="005A36DD"/>
    <w:rsid w:val="005A5DF9"/>
    <w:rsid w:val="005A697F"/>
    <w:rsid w:val="005B17A8"/>
    <w:rsid w:val="005B687A"/>
    <w:rsid w:val="005B6914"/>
    <w:rsid w:val="005C12B8"/>
    <w:rsid w:val="005C1F68"/>
    <w:rsid w:val="005C4B7B"/>
    <w:rsid w:val="005C64FD"/>
    <w:rsid w:val="005D077D"/>
    <w:rsid w:val="005D1087"/>
    <w:rsid w:val="005E0625"/>
    <w:rsid w:val="005E406B"/>
    <w:rsid w:val="005E4D43"/>
    <w:rsid w:val="005E68B9"/>
    <w:rsid w:val="005E73E9"/>
    <w:rsid w:val="005E758D"/>
    <w:rsid w:val="005F014A"/>
    <w:rsid w:val="005F06CE"/>
    <w:rsid w:val="005F0FBD"/>
    <w:rsid w:val="005F1701"/>
    <w:rsid w:val="005F4898"/>
    <w:rsid w:val="005F605F"/>
    <w:rsid w:val="00602D45"/>
    <w:rsid w:val="006039D8"/>
    <w:rsid w:val="00605A27"/>
    <w:rsid w:val="00607289"/>
    <w:rsid w:val="0061316A"/>
    <w:rsid w:val="006142CA"/>
    <w:rsid w:val="0061550D"/>
    <w:rsid w:val="00617060"/>
    <w:rsid w:val="00617F58"/>
    <w:rsid w:val="0062398D"/>
    <w:rsid w:val="006302BB"/>
    <w:rsid w:val="00633F70"/>
    <w:rsid w:val="00634670"/>
    <w:rsid w:val="00634D9C"/>
    <w:rsid w:val="00636CDC"/>
    <w:rsid w:val="0063757E"/>
    <w:rsid w:val="00637AB3"/>
    <w:rsid w:val="0064190D"/>
    <w:rsid w:val="00653B4C"/>
    <w:rsid w:val="006556F7"/>
    <w:rsid w:val="0066010B"/>
    <w:rsid w:val="006606F1"/>
    <w:rsid w:val="0066318F"/>
    <w:rsid w:val="00666519"/>
    <w:rsid w:val="00671EC0"/>
    <w:rsid w:val="0067311C"/>
    <w:rsid w:val="0067551A"/>
    <w:rsid w:val="00680914"/>
    <w:rsid w:val="00681676"/>
    <w:rsid w:val="00682B55"/>
    <w:rsid w:val="00691F0B"/>
    <w:rsid w:val="00695F7D"/>
    <w:rsid w:val="006A25BC"/>
    <w:rsid w:val="006A386D"/>
    <w:rsid w:val="006A3E97"/>
    <w:rsid w:val="006A5F7B"/>
    <w:rsid w:val="006B5B42"/>
    <w:rsid w:val="006C54A4"/>
    <w:rsid w:val="006D0401"/>
    <w:rsid w:val="006D15DE"/>
    <w:rsid w:val="006D3246"/>
    <w:rsid w:val="006D7EBC"/>
    <w:rsid w:val="006E144A"/>
    <w:rsid w:val="006E28AA"/>
    <w:rsid w:val="006E5C4F"/>
    <w:rsid w:val="006F2203"/>
    <w:rsid w:val="00700612"/>
    <w:rsid w:val="00700889"/>
    <w:rsid w:val="00704CC6"/>
    <w:rsid w:val="00705092"/>
    <w:rsid w:val="007076D1"/>
    <w:rsid w:val="00723451"/>
    <w:rsid w:val="00726CB2"/>
    <w:rsid w:val="007279EE"/>
    <w:rsid w:val="0073165E"/>
    <w:rsid w:val="00733AC2"/>
    <w:rsid w:val="007400B7"/>
    <w:rsid w:val="00740476"/>
    <w:rsid w:val="007411EA"/>
    <w:rsid w:val="00741DA0"/>
    <w:rsid w:val="0074408E"/>
    <w:rsid w:val="00744874"/>
    <w:rsid w:val="00751076"/>
    <w:rsid w:val="00761DE3"/>
    <w:rsid w:val="00765D74"/>
    <w:rsid w:val="00767574"/>
    <w:rsid w:val="00771F50"/>
    <w:rsid w:val="007725A9"/>
    <w:rsid w:val="00773C72"/>
    <w:rsid w:val="00780470"/>
    <w:rsid w:val="00781742"/>
    <w:rsid w:val="0078367B"/>
    <w:rsid w:val="00785DD5"/>
    <w:rsid w:val="0078666D"/>
    <w:rsid w:val="007932EC"/>
    <w:rsid w:val="0079702A"/>
    <w:rsid w:val="007A3C6C"/>
    <w:rsid w:val="007A3ED7"/>
    <w:rsid w:val="007A42D8"/>
    <w:rsid w:val="007A5901"/>
    <w:rsid w:val="007A6444"/>
    <w:rsid w:val="007C07E6"/>
    <w:rsid w:val="007C2269"/>
    <w:rsid w:val="007C47D2"/>
    <w:rsid w:val="007C49F1"/>
    <w:rsid w:val="007C5A39"/>
    <w:rsid w:val="007D0D18"/>
    <w:rsid w:val="007D1210"/>
    <w:rsid w:val="007D540B"/>
    <w:rsid w:val="007D6E1A"/>
    <w:rsid w:val="007D7A58"/>
    <w:rsid w:val="007D7D95"/>
    <w:rsid w:val="007E18BB"/>
    <w:rsid w:val="007E1A6D"/>
    <w:rsid w:val="007E1D42"/>
    <w:rsid w:val="007E3D54"/>
    <w:rsid w:val="007E42BD"/>
    <w:rsid w:val="007F301C"/>
    <w:rsid w:val="007F3953"/>
    <w:rsid w:val="00805426"/>
    <w:rsid w:val="0080598F"/>
    <w:rsid w:val="00812C92"/>
    <w:rsid w:val="00817DCB"/>
    <w:rsid w:val="00821BEE"/>
    <w:rsid w:val="00823744"/>
    <w:rsid w:val="008275B5"/>
    <w:rsid w:val="008301AE"/>
    <w:rsid w:val="00830ECE"/>
    <w:rsid w:val="00832FB3"/>
    <w:rsid w:val="00833E18"/>
    <w:rsid w:val="008366B1"/>
    <w:rsid w:val="00837555"/>
    <w:rsid w:val="008434B1"/>
    <w:rsid w:val="00844B97"/>
    <w:rsid w:val="00844C2D"/>
    <w:rsid w:val="0085591B"/>
    <w:rsid w:val="00871263"/>
    <w:rsid w:val="00871D89"/>
    <w:rsid w:val="00872E6D"/>
    <w:rsid w:val="008768A1"/>
    <w:rsid w:val="00883BFF"/>
    <w:rsid w:val="00883CFB"/>
    <w:rsid w:val="0088564B"/>
    <w:rsid w:val="00885885"/>
    <w:rsid w:val="00890EB8"/>
    <w:rsid w:val="00891AEC"/>
    <w:rsid w:val="00892109"/>
    <w:rsid w:val="00892855"/>
    <w:rsid w:val="008956A4"/>
    <w:rsid w:val="00895814"/>
    <w:rsid w:val="00897B09"/>
    <w:rsid w:val="00897F9E"/>
    <w:rsid w:val="008A1E30"/>
    <w:rsid w:val="008A69E7"/>
    <w:rsid w:val="008B2481"/>
    <w:rsid w:val="008B3E49"/>
    <w:rsid w:val="008B432C"/>
    <w:rsid w:val="008B5044"/>
    <w:rsid w:val="008B567A"/>
    <w:rsid w:val="008C08EA"/>
    <w:rsid w:val="008C10A1"/>
    <w:rsid w:val="008C4EDF"/>
    <w:rsid w:val="008C5BF8"/>
    <w:rsid w:val="008C63F9"/>
    <w:rsid w:val="008C7D45"/>
    <w:rsid w:val="008D1573"/>
    <w:rsid w:val="008D5907"/>
    <w:rsid w:val="008D5A65"/>
    <w:rsid w:val="008E7C34"/>
    <w:rsid w:val="008F0FD8"/>
    <w:rsid w:val="008F11D9"/>
    <w:rsid w:val="008F140B"/>
    <w:rsid w:val="008F641A"/>
    <w:rsid w:val="00900140"/>
    <w:rsid w:val="00902D3D"/>
    <w:rsid w:val="00902F9A"/>
    <w:rsid w:val="0090384B"/>
    <w:rsid w:val="00903C9B"/>
    <w:rsid w:val="00904481"/>
    <w:rsid w:val="009137BB"/>
    <w:rsid w:val="00915317"/>
    <w:rsid w:val="009171D8"/>
    <w:rsid w:val="009230D6"/>
    <w:rsid w:val="0093141A"/>
    <w:rsid w:val="00935197"/>
    <w:rsid w:val="00937964"/>
    <w:rsid w:val="00942AEB"/>
    <w:rsid w:val="00942C81"/>
    <w:rsid w:val="00943E52"/>
    <w:rsid w:val="00947D7E"/>
    <w:rsid w:val="0095023B"/>
    <w:rsid w:val="009508BF"/>
    <w:rsid w:val="009509CE"/>
    <w:rsid w:val="00954BE9"/>
    <w:rsid w:val="00954CBE"/>
    <w:rsid w:val="009577F4"/>
    <w:rsid w:val="009578AE"/>
    <w:rsid w:val="00963E0B"/>
    <w:rsid w:val="009646EE"/>
    <w:rsid w:val="00972BB0"/>
    <w:rsid w:val="00973B70"/>
    <w:rsid w:val="00974408"/>
    <w:rsid w:val="0097683C"/>
    <w:rsid w:val="00977761"/>
    <w:rsid w:val="009826B5"/>
    <w:rsid w:val="00985A67"/>
    <w:rsid w:val="00995664"/>
    <w:rsid w:val="00995A5F"/>
    <w:rsid w:val="009A1D24"/>
    <w:rsid w:val="009A2AF1"/>
    <w:rsid w:val="009B2C6F"/>
    <w:rsid w:val="009B45F0"/>
    <w:rsid w:val="009B6FCE"/>
    <w:rsid w:val="009C079E"/>
    <w:rsid w:val="009C4031"/>
    <w:rsid w:val="009C74F8"/>
    <w:rsid w:val="009D3562"/>
    <w:rsid w:val="009E123C"/>
    <w:rsid w:val="009E298A"/>
    <w:rsid w:val="009E2E86"/>
    <w:rsid w:val="009E515D"/>
    <w:rsid w:val="009F0F5D"/>
    <w:rsid w:val="009F7C26"/>
    <w:rsid w:val="00A00074"/>
    <w:rsid w:val="00A0234F"/>
    <w:rsid w:val="00A0550D"/>
    <w:rsid w:val="00A14BE6"/>
    <w:rsid w:val="00A14FD1"/>
    <w:rsid w:val="00A17C3E"/>
    <w:rsid w:val="00A267C1"/>
    <w:rsid w:val="00A27F5D"/>
    <w:rsid w:val="00A30A5F"/>
    <w:rsid w:val="00A35EF8"/>
    <w:rsid w:val="00A376A7"/>
    <w:rsid w:val="00A50E1D"/>
    <w:rsid w:val="00A536B7"/>
    <w:rsid w:val="00A53CE6"/>
    <w:rsid w:val="00A607DB"/>
    <w:rsid w:val="00A60C9B"/>
    <w:rsid w:val="00A61370"/>
    <w:rsid w:val="00A6428D"/>
    <w:rsid w:val="00A71B74"/>
    <w:rsid w:val="00A72F32"/>
    <w:rsid w:val="00A73E9A"/>
    <w:rsid w:val="00A743E8"/>
    <w:rsid w:val="00A77BB5"/>
    <w:rsid w:val="00A83974"/>
    <w:rsid w:val="00A83F04"/>
    <w:rsid w:val="00A85AEE"/>
    <w:rsid w:val="00A9105B"/>
    <w:rsid w:val="00A922B5"/>
    <w:rsid w:val="00A9499D"/>
    <w:rsid w:val="00A95A14"/>
    <w:rsid w:val="00A95CF7"/>
    <w:rsid w:val="00AA00D5"/>
    <w:rsid w:val="00AA36D9"/>
    <w:rsid w:val="00AA3A2F"/>
    <w:rsid w:val="00AA664A"/>
    <w:rsid w:val="00AB251E"/>
    <w:rsid w:val="00AB3507"/>
    <w:rsid w:val="00AB770D"/>
    <w:rsid w:val="00AC2B02"/>
    <w:rsid w:val="00AC7EFB"/>
    <w:rsid w:val="00AD5405"/>
    <w:rsid w:val="00AE0987"/>
    <w:rsid w:val="00AE4385"/>
    <w:rsid w:val="00AE482D"/>
    <w:rsid w:val="00AE5365"/>
    <w:rsid w:val="00AE58CA"/>
    <w:rsid w:val="00AF0FBB"/>
    <w:rsid w:val="00AF26BE"/>
    <w:rsid w:val="00AF4902"/>
    <w:rsid w:val="00AF4B42"/>
    <w:rsid w:val="00AF4F32"/>
    <w:rsid w:val="00AF5A0F"/>
    <w:rsid w:val="00AF5E96"/>
    <w:rsid w:val="00B00C0E"/>
    <w:rsid w:val="00B017D3"/>
    <w:rsid w:val="00B0258D"/>
    <w:rsid w:val="00B03397"/>
    <w:rsid w:val="00B1020B"/>
    <w:rsid w:val="00B11F06"/>
    <w:rsid w:val="00B1266F"/>
    <w:rsid w:val="00B14780"/>
    <w:rsid w:val="00B1600F"/>
    <w:rsid w:val="00B17B56"/>
    <w:rsid w:val="00B23E0F"/>
    <w:rsid w:val="00B331F3"/>
    <w:rsid w:val="00B35EFB"/>
    <w:rsid w:val="00B41FDA"/>
    <w:rsid w:val="00B42816"/>
    <w:rsid w:val="00B42F09"/>
    <w:rsid w:val="00B45FC2"/>
    <w:rsid w:val="00B46174"/>
    <w:rsid w:val="00B46F72"/>
    <w:rsid w:val="00B55D97"/>
    <w:rsid w:val="00B62238"/>
    <w:rsid w:val="00B62374"/>
    <w:rsid w:val="00B6252A"/>
    <w:rsid w:val="00B63149"/>
    <w:rsid w:val="00B63A49"/>
    <w:rsid w:val="00B703CB"/>
    <w:rsid w:val="00B70B20"/>
    <w:rsid w:val="00B719F3"/>
    <w:rsid w:val="00B71D85"/>
    <w:rsid w:val="00B72711"/>
    <w:rsid w:val="00B72D56"/>
    <w:rsid w:val="00B73046"/>
    <w:rsid w:val="00B736F0"/>
    <w:rsid w:val="00B7610B"/>
    <w:rsid w:val="00B76365"/>
    <w:rsid w:val="00B77BED"/>
    <w:rsid w:val="00B8458E"/>
    <w:rsid w:val="00B861C5"/>
    <w:rsid w:val="00B86B96"/>
    <w:rsid w:val="00B9362B"/>
    <w:rsid w:val="00B96D34"/>
    <w:rsid w:val="00B977FB"/>
    <w:rsid w:val="00B97DC4"/>
    <w:rsid w:val="00BA00F8"/>
    <w:rsid w:val="00BB07DF"/>
    <w:rsid w:val="00BB3260"/>
    <w:rsid w:val="00BB34B8"/>
    <w:rsid w:val="00BC0C70"/>
    <w:rsid w:val="00BC0FBD"/>
    <w:rsid w:val="00BC1D83"/>
    <w:rsid w:val="00BC4C6B"/>
    <w:rsid w:val="00BC53DA"/>
    <w:rsid w:val="00BC60E7"/>
    <w:rsid w:val="00BD3F01"/>
    <w:rsid w:val="00BD460B"/>
    <w:rsid w:val="00BD5BF6"/>
    <w:rsid w:val="00BD738D"/>
    <w:rsid w:val="00BD7779"/>
    <w:rsid w:val="00BD7E7E"/>
    <w:rsid w:val="00BE5896"/>
    <w:rsid w:val="00BE6690"/>
    <w:rsid w:val="00BF0A45"/>
    <w:rsid w:val="00BF31FA"/>
    <w:rsid w:val="00BF5E4A"/>
    <w:rsid w:val="00C01F75"/>
    <w:rsid w:val="00C07ED7"/>
    <w:rsid w:val="00C07F6E"/>
    <w:rsid w:val="00C159C4"/>
    <w:rsid w:val="00C2023C"/>
    <w:rsid w:val="00C21D34"/>
    <w:rsid w:val="00C22077"/>
    <w:rsid w:val="00C23FFC"/>
    <w:rsid w:val="00C31EFC"/>
    <w:rsid w:val="00C34970"/>
    <w:rsid w:val="00C425BD"/>
    <w:rsid w:val="00C43FCD"/>
    <w:rsid w:val="00C457D7"/>
    <w:rsid w:val="00C50131"/>
    <w:rsid w:val="00C6148C"/>
    <w:rsid w:val="00C77D8A"/>
    <w:rsid w:val="00C812E3"/>
    <w:rsid w:val="00C82F75"/>
    <w:rsid w:val="00C90056"/>
    <w:rsid w:val="00C900B7"/>
    <w:rsid w:val="00C90F29"/>
    <w:rsid w:val="00CA31D4"/>
    <w:rsid w:val="00CA78A5"/>
    <w:rsid w:val="00CB483A"/>
    <w:rsid w:val="00CB5BDD"/>
    <w:rsid w:val="00CB72F6"/>
    <w:rsid w:val="00CB7421"/>
    <w:rsid w:val="00CC000F"/>
    <w:rsid w:val="00CC07D0"/>
    <w:rsid w:val="00CC099F"/>
    <w:rsid w:val="00CC221A"/>
    <w:rsid w:val="00CC7335"/>
    <w:rsid w:val="00CC76A8"/>
    <w:rsid w:val="00CD2853"/>
    <w:rsid w:val="00CD6CD3"/>
    <w:rsid w:val="00CD7710"/>
    <w:rsid w:val="00CD7EB3"/>
    <w:rsid w:val="00CE02AE"/>
    <w:rsid w:val="00CE300C"/>
    <w:rsid w:val="00CE5A2C"/>
    <w:rsid w:val="00CF2FAD"/>
    <w:rsid w:val="00CF5F09"/>
    <w:rsid w:val="00CF633A"/>
    <w:rsid w:val="00D01643"/>
    <w:rsid w:val="00D021C3"/>
    <w:rsid w:val="00D0406F"/>
    <w:rsid w:val="00D05149"/>
    <w:rsid w:val="00D057BE"/>
    <w:rsid w:val="00D10A75"/>
    <w:rsid w:val="00D21B7F"/>
    <w:rsid w:val="00D22A5E"/>
    <w:rsid w:val="00D22F75"/>
    <w:rsid w:val="00D33374"/>
    <w:rsid w:val="00D37D09"/>
    <w:rsid w:val="00D40695"/>
    <w:rsid w:val="00D46C81"/>
    <w:rsid w:val="00D54F53"/>
    <w:rsid w:val="00D56140"/>
    <w:rsid w:val="00D61C9A"/>
    <w:rsid w:val="00D65241"/>
    <w:rsid w:val="00D843E4"/>
    <w:rsid w:val="00D844A8"/>
    <w:rsid w:val="00D852E9"/>
    <w:rsid w:val="00D904A7"/>
    <w:rsid w:val="00D90DE7"/>
    <w:rsid w:val="00D91A1A"/>
    <w:rsid w:val="00D95147"/>
    <w:rsid w:val="00DA43CB"/>
    <w:rsid w:val="00DB0506"/>
    <w:rsid w:val="00DB13CE"/>
    <w:rsid w:val="00DB2601"/>
    <w:rsid w:val="00DC295A"/>
    <w:rsid w:val="00DC648F"/>
    <w:rsid w:val="00DD2AC2"/>
    <w:rsid w:val="00DD3A02"/>
    <w:rsid w:val="00DD5529"/>
    <w:rsid w:val="00DD5698"/>
    <w:rsid w:val="00DE20C9"/>
    <w:rsid w:val="00DE400E"/>
    <w:rsid w:val="00DE698C"/>
    <w:rsid w:val="00DE6D2C"/>
    <w:rsid w:val="00DE78EA"/>
    <w:rsid w:val="00DE7B9D"/>
    <w:rsid w:val="00DF1141"/>
    <w:rsid w:val="00DF2ADD"/>
    <w:rsid w:val="00DF3722"/>
    <w:rsid w:val="00DF5BD4"/>
    <w:rsid w:val="00DF6FF4"/>
    <w:rsid w:val="00E0164B"/>
    <w:rsid w:val="00E0296A"/>
    <w:rsid w:val="00E03C28"/>
    <w:rsid w:val="00E069D6"/>
    <w:rsid w:val="00E07597"/>
    <w:rsid w:val="00E17FFC"/>
    <w:rsid w:val="00E20B33"/>
    <w:rsid w:val="00E21C5B"/>
    <w:rsid w:val="00E2683F"/>
    <w:rsid w:val="00E301E6"/>
    <w:rsid w:val="00E32718"/>
    <w:rsid w:val="00E33D79"/>
    <w:rsid w:val="00E41803"/>
    <w:rsid w:val="00E42ACF"/>
    <w:rsid w:val="00E43017"/>
    <w:rsid w:val="00E43B85"/>
    <w:rsid w:val="00E43C1A"/>
    <w:rsid w:val="00E50E53"/>
    <w:rsid w:val="00E51457"/>
    <w:rsid w:val="00E542AB"/>
    <w:rsid w:val="00E546FC"/>
    <w:rsid w:val="00E5515B"/>
    <w:rsid w:val="00E62A1D"/>
    <w:rsid w:val="00E633D1"/>
    <w:rsid w:val="00E64591"/>
    <w:rsid w:val="00E65AC4"/>
    <w:rsid w:val="00E66D17"/>
    <w:rsid w:val="00E700C5"/>
    <w:rsid w:val="00E769AA"/>
    <w:rsid w:val="00E80A7F"/>
    <w:rsid w:val="00E80E06"/>
    <w:rsid w:val="00E913CD"/>
    <w:rsid w:val="00E9424C"/>
    <w:rsid w:val="00EA0C2C"/>
    <w:rsid w:val="00EA1136"/>
    <w:rsid w:val="00EA32D8"/>
    <w:rsid w:val="00EA7BFE"/>
    <w:rsid w:val="00EB05B1"/>
    <w:rsid w:val="00EB66DB"/>
    <w:rsid w:val="00EB674A"/>
    <w:rsid w:val="00EB6D32"/>
    <w:rsid w:val="00EC010C"/>
    <w:rsid w:val="00EC6017"/>
    <w:rsid w:val="00ED080D"/>
    <w:rsid w:val="00ED1076"/>
    <w:rsid w:val="00ED3FB7"/>
    <w:rsid w:val="00ED5D48"/>
    <w:rsid w:val="00ED60FC"/>
    <w:rsid w:val="00ED6955"/>
    <w:rsid w:val="00ED6A88"/>
    <w:rsid w:val="00EE03B4"/>
    <w:rsid w:val="00EE20E2"/>
    <w:rsid w:val="00EE2206"/>
    <w:rsid w:val="00EE3601"/>
    <w:rsid w:val="00EE5A31"/>
    <w:rsid w:val="00EE63D1"/>
    <w:rsid w:val="00EF1DA5"/>
    <w:rsid w:val="00F00FC7"/>
    <w:rsid w:val="00F0221F"/>
    <w:rsid w:val="00F04076"/>
    <w:rsid w:val="00F04DA9"/>
    <w:rsid w:val="00F12ACC"/>
    <w:rsid w:val="00F20B18"/>
    <w:rsid w:val="00F245C2"/>
    <w:rsid w:val="00F2516E"/>
    <w:rsid w:val="00F256B9"/>
    <w:rsid w:val="00F27EC9"/>
    <w:rsid w:val="00F33060"/>
    <w:rsid w:val="00F335F7"/>
    <w:rsid w:val="00F354C6"/>
    <w:rsid w:val="00F35E35"/>
    <w:rsid w:val="00F369AF"/>
    <w:rsid w:val="00F37ED8"/>
    <w:rsid w:val="00F40EF7"/>
    <w:rsid w:val="00F44151"/>
    <w:rsid w:val="00F4427C"/>
    <w:rsid w:val="00F50231"/>
    <w:rsid w:val="00F50C4D"/>
    <w:rsid w:val="00F52310"/>
    <w:rsid w:val="00F550A6"/>
    <w:rsid w:val="00F6499D"/>
    <w:rsid w:val="00F64ACE"/>
    <w:rsid w:val="00F65424"/>
    <w:rsid w:val="00F72F9F"/>
    <w:rsid w:val="00F734E2"/>
    <w:rsid w:val="00F754A0"/>
    <w:rsid w:val="00F83632"/>
    <w:rsid w:val="00F84C58"/>
    <w:rsid w:val="00F85EAC"/>
    <w:rsid w:val="00F900EA"/>
    <w:rsid w:val="00F95523"/>
    <w:rsid w:val="00F97F21"/>
    <w:rsid w:val="00FA45EE"/>
    <w:rsid w:val="00FA61D1"/>
    <w:rsid w:val="00FA61DD"/>
    <w:rsid w:val="00FB0B92"/>
    <w:rsid w:val="00FB27DA"/>
    <w:rsid w:val="00FB41F0"/>
    <w:rsid w:val="00FB4816"/>
    <w:rsid w:val="00FB79FB"/>
    <w:rsid w:val="00FC1FAC"/>
    <w:rsid w:val="00FC2C15"/>
    <w:rsid w:val="00FC5080"/>
    <w:rsid w:val="00FD0DD6"/>
    <w:rsid w:val="00FD196E"/>
    <w:rsid w:val="00FD26DF"/>
    <w:rsid w:val="00FD32DC"/>
    <w:rsid w:val="00FD5671"/>
    <w:rsid w:val="00FE0C5D"/>
    <w:rsid w:val="00FE2E6F"/>
    <w:rsid w:val="00FE7E98"/>
    <w:rsid w:val="00FF04C6"/>
    <w:rsid w:val="00FF0D95"/>
    <w:rsid w:val="00FF3B7A"/>
    <w:rsid w:val="00FF48ED"/>
    <w:rsid w:val="6E88BE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861C1"/>
  <w15:chartTrackingRefBased/>
  <w15:docId w15:val="{451FFF7B-1906-47C3-BFF9-F582B51D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B4"/>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EE03B4"/>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36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E6D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03B4"/>
    <w:rPr>
      <w:rFonts w:asciiTheme="majorHAnsi" w:eastAsiaTheme="majorEastAsia" w:hAnsiTheme="majorHAnsi" w:cstheme="majorBidi"/>
      <w:color w:val="2E74B5" w:themeColor="accent1" w:themeShade="BF"/>
      <w:sz w:val="32"/>
      <w:szCs w:val="32"/>
    </w:rPr>
  </w:style>
  <w:style w:type="paragraph" w:customStyle="1" w:styleId="Default">
    <w:name w:val="Default"/>
    <w:rsid w:val="00EE03B4"/>
    <w:pPr>
      <w:autoSpaceDE w:val="0"/>
      <w:autoSpaceDN w:val="0"/>
      <w:adjustRightInd w:val="0"/>
      <w:spacing w:after="0" w:line="240" w:lineRule="auto"/>
    </w:pPr>
    <w:rPr>
      <w:rFonts w:ascii="Segoe UI" w:eastAsiaTheme="minorEastAsia" w:hAnsi="Segoe UI" w:cs="Segoe UI"/>
      <w:color w:val="000000"/>
      <w:sz w:val="24"/>
      <w:szCs w:val="24"/>
    </w:rPr>
  </w:style>
  <w:style w:type="paragraph" w:styleId="Header">
    <w:name w:val="header"/>
    <w:basedOn w:val="Normal"/>
    <w:link w:val="HeaderChar"/>
    <w:uiPriority w:val="99"/>
    <w:unhideWhenUsed/>
    <w:rsid w:val="00EE0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3B4"/>
    <w:rPr>
      <w:rFonts w:eastAsiaTheme="minorEastAsia"/>
      <w:sz w:val="20"/>
      <w:szCs w:val="20"/>
    </w:rPr>
  </w:style>
  <w:style w:type="paragraph" w:styleId="Footer">
    <w:name w:val="footer"/>
    <w:basedOn w:val="Normal"/>
    <w:link w:val="FooterChar"/>
    <w:uiPriority w:val="99"/>
    <w:unhideWhenUsed/>
    <w:rsid w:val="00EE0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3B4"/>
    <w:rPr>
      <w:rFonts w:eastAsiaTheme="minorEastAsia"/>
      <w:sz w:val="20"/>
      <w:szCs w:val="20"/>
    </w:rPr>
  </w:style>
  <w:style w:type="paragraph" w:styleId="NoSpacing">
    <w:name w:val="No Spacing"/>
    <w:link w:val="NoSpacingChar"/>
    <w:uiPriority w:val="1"/>
    <w:qFormat/>
    <w:rsid w:val="00EE03B4"/>
    <w:pPr>
      <w:spacing w:after="0" w:line="240" w:lineRule="auto"/>
    </w:pPr>
    <w:rPr>
      <w:rFonts w:eastAsiaTheme="minorEastAsia"/>
    </w:rPr>
  </w:style>
  <w:style w:type="character" w:customStyle="1" w:styleId="NoSpacingChar">
    <w:name w:val="No Spacing Char"/>
    <w:basedOn w:val="DefaultParagraphFont"/>
    <w:link w:val="NoSpacing"/>
    <w:uiPriority w:val="1"/>
    <w:rsid w:val="00EE03B4"/>
    <w:rPr>
      <w:rFonts w:eastAsiaTheme="minorEastAsia"/>
    </w:rPr>
  </w:style>
  <w:style w:type="character" w:customStyle="1" w:styleId="Heading3Char">
    <w:name w:val="Heading 3 Char"/>
    <w:basedOn w:val="DefaultParagraphFont"/>
    <w:link w:val="Heading3"/>
    <w:uiPriority w:val="9"/>
    <w:rsid w:val="00DE6D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DE6D2C"/>
    <w:rPr>
      <w:color w:val="0563C1" w:themeColor="hyperlink"/>
      <w:u w:val="single"/>
    </w:rPr>
  </w:style>
  <w:style w:type="paragraph" w:customStyle="1" w:styleId="iTS-BodyText">
    <w:name w:val="!iTS - Body Text"/>
    <w:basedOn w:val="Normal"/>
    <w:link w:val="iTS-BodyTextChar"/>
    <w:rsid w:val="00DE6D2C"/>
    <w:pPr>
      <w:spacing w:after="40" w:line="240" w:lineRule="auto"/>
    </w:pPr>
    <w:rPr>
      <w:rFonts w:ascii="Arial" w:eastAsia="MS Mincho" w:hAnsi="Arial" w:cs="Times New Roman"/>
      <w:sz w:val="16"/>
      <w:szCs w:val="18"/>
    </w:rPr>
  </w:style>
  <w:style w:type="character" w:customStyle="1" w:styleId="iTS-BodyTextChar">
    <w:name w:val="!iTS - Body Text Char"/>
    <w:link w:val="iTS-BodyText"/>
    <w:rsid w:val="00DE6D2C"/>
    <w:rPr>
      <w:rFonts w:ascii="Arial" w:eastAsia="MS Mincho" w:hAnsi="Arial" w:cs="Times New Roman"/>
      <w:sz w:val="16"/>
      <w:szCs w:val="18"/>
    </w:rPr>
  </w:style>
  <w:style w:type="character" w:customStyle="1" w:styleId="Heading2Char">
    <w:name w:val="Heading 2 Char"/>
    <w:basedOn w:val="DefaultParagraphFont"/>
    <w:link w:val="Heading2"/>
    <w:rsid w:val="00313609"/>
    <w:rPr>
      <w:rFonts w:asciiTheme="majorHAnsi" w:eastAsiaTheme="majorEastAsia" w:hAnsiTheme="majorHAnsi" w:cstheme="majorBidi"/>
      <w:color w:val="2E74B5" w:themeColor="accent1" w:themeShade="BF"/>
      <w:sz w:val="26"/>
      <w:szCs w:val="26"/>
    </w:rPr>
  </w:style>
  <w:style w:type="paragraph" w:styleId="ListParagraph">
    <w:name w:val="List Paragraph"/>
    <w:aliases w:val="lp1,List Paragraph1,List Paragraph Char Char,b1,Number_1,List Paragraph11,List Paragraph2,Normal Sentence,Colorful List - Accent 11,new,SGLText List Paragraph,ListPar1,List Paragraph21,list1,Bullet 1,Use Case List Paragraph,Heading2,列出段落"/>
    <w:basedOn w:val="Normal"/>
    <w:link w:val="ListParagraphChar"/>
    <w:uiPriority w:val="34"/>
    <w:qFormat/>
    <w:rsid w:val="00313609"/>
    <w:pPr>
      <w:ind w:left="720"/>
      <w:contextualSpacing/>
    </w:pPr>
  </w:style>
  <w:style w:type="table" w:styleId="GridTable1Light-Accent3">
    <w:name w:val="Grid Table 1 Light Accent 3"/>
    <w:basedOn w:val="TableNormal"/>
    <w:uiPriority w:val="46"/>
    <w:rsid w:val="00313609"/>
    <w:pPr>
      <w:spacing w:after="0" w:line="240" w:lineRule="auto"/>
      <w:jc w:val="both"/>
    </w:pPr>
    <w:rPr>
      <w:rFonts w:eastAsiaTheme="minorEastAsia"/>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45FAD"/>
    <w:pPr>
      <w:spacing w:before="240" w:line="259" w:lineRule="auto"/>
      <w:outlineLvl w:val="9"/>
    </w:pPr>
  </w:style>
  <w:style w:type="paragraph" w:styleId="TOC1">
    <w:name w:val="toc 1"/>
    <w:basedOn w:val="Normal"/>
    <w:next w:val="Normal"/>
    <w:autoRedefine/>
    <w:uiPriority w:val="39"/>
    <w:unhideWhenUsed/>
    <w:rsid w:val="00145FAD"/>
    <w:pPr>
      <w:spacing w:after="100"/>
    </w:pPr>
  </w:style>
  <w:style w:type="paragraph" w:styleId="TOC3">
    <w:name w:val="toc 3"/>
    <w:basedOn w:val="Normal"/>
    <w:next w:val="Normal"/>
    <w:autoRedefine/>
    <w:uiPriority w:val="39"/>
    <w:unhideWhenUsed/>
    <w:rsid w:val="00145FAD"/>
    <w:pPr>
      <w:spacing w:after="100"/>
      <w:ind w:left="400"/>
    </w:pPr>
  </w:style>
  <w:style w:type="paragraph" w:customStyle="1" w:styleId="StyleBlueRight004Before3ptAfter72ptExpanded">
    <w:name w:val="Style Blue Right:  0.04&quot; Before:  3 pt After:  7.2 pt Expanded ..."/>
    <w:basedOn w:val="Normal"/>
    <w:rsid w:val="007725A9"/>
    <w:pPr>
      <w:spacing w:before="60" w:line="276" w:lineRule="auto"/>
      <w:ind w:right="58"/>
    </w:pPr>
    <w:rPr>
      <w:rFonts w:ascii="Trebuchet MS" w:eastAsia="Times New Roman" w:hAnsi="Trebuchet MS" w:cs="Times New Roman"/>
      <w:color w:val="0000FF"/>
      <w:spacing w:val="6"/>
      <w:sz w:val="22"/>
    </w:rPr>
  </w:style>
  <w:style w:type="character" w:customStyle="1" w:styleId="ListParagraphChar">
    <w:name w:val="List Paragraph Char"/>
    <w:aliases w:val="lp1 Char,List Paragraph1 Char,List Paragraph Char Char Char,b1 Char,Number_1 Char,List Paragraph11 Char,List Paragraph2 Char,Normal Sentence Char,Colorful List - Accent 11 Char,new Char,SGLText List Paragraph Char,ListPar1 Char"/>
    <w:link w:val="ListParagraph"/>
    <w:uiPriority w:val="34"/>
    <w:qFormat/>
    <w:locked/>
    <w:rsid w:val="007725A9"/>
    <w:rPr>
      <w:rFonts w:eastAsiaTheme="minorEastAsia"/>
      <w:sz w:val="20"/>
      <w:szCs w:val="20"/>
    </w:rPr>
  </w:style>
  <w:style w:type="paragraph" w:customStyle="1" w:styleId="lf-text-block">
    <w:name w:val="lf-text-block"/>
    <w:basedOn w:val="Normal"/>
    <w:rsid w:val="00331B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f-thread-btn">
    <w:name w:val="lf-thread-btn"/>
    <w:basedOn w:val="DefaultParagraphFont"/>
    <w:rsid w:val="00331B56"/>
  </w:style>
  <w:style w:type="character" w:styleId="Strong">
    <w:name w:val="Strong"/>
    <w:basedOn w:val="DefaultParagraphFont"/>
    <w:uiPriority w:val="22"/>
    <w:qFormat/>
    <w:rsid w:val="00331B56"/>
    <w:rPr>
      <w:b/>
      <w:bCs/>
    </w:rPr>
  </w:style>
  <w:style w:type="table" w:styleId="TableGrid">
    <w:name w:val="Table Grid"/>
    <w:aliases w:val="Tabla Microsoft Servicios,Table Grid (MS Design format)"/>
    <w:basedOn w:val="TableNormal"/>
    <w:uiPriority w:val="39"/>
    <w:rsid w:val="00331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31B56"/>
    <w:rPr>
      <w:i/>
      <w:iCs/>
    </w:rPr>
  </w:style>
  <w:style w:type="paragraph" w:styleId="NormalWeb">
    <w:name w:val="Normal (Web)"/>
    <w:basedOn w:val="Normal"/>
    <w:uiPriority w:val="99"/>
    <w:unhideWhenUsed/>
    <w:rsid w:val="00331B56"/>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5742C3"/>
    <w:pPr>
      <w:spacing w:after="100"/>
      <w:ind w:left="200"/>
    </w:pPr>
  </w:style>
  <w:style w:type="paragraph" w:styleId="BalloonText">
    <w:name w:val="Balloon Text"/>
    <w:basedOn w:val="Normal"/>
    <w:link w:val="BalloonTextChar"/>
    <w:uiPriority w:val="99"/>
    <w:semiHidden/>
    <w:unhideWhenUsed/>
    <w:rsid w:val="0053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158"/>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531158"/>
    <w:rPr>
      <w:color w:val="605E5C"/>
      <w:shd w:val="clear" w:color="auto" w:fill="E1DFDD"/>
    </w:rPr>
  </w:style>
  <w:style w:type="paragraph" w:customStyle="1" w:styleId="BodyMS">
    <w:name w:val="Body MS"/>
    <w:qFormat/>
    <w:rsid w:val="00D91A1A"/>
    <w:pPr>
      <w:spacing w:before="200" w:after="200" w:line="264" w:lineRule="auto"/>
    </w:pPr>
    <w:rPr>
      <w:rFonts w:ascii="Segoe Light" w:hAnsi="Segoe Light"/>
      <w:sz w:val="20"/>
      <w:szCs w:val="20"/>
    </w:rPr>
  </w:style>
  <w:style w:type="character" w:styleId="HTMLCode">
    <w:name w:val="HTML Code"/>
    <w:basedOn w:val="DefaultParagraphFont"/>
    <w:uiPriority w:val="99"/>
    <w:semiHidden/>
    <w:unhideWhenUsed/>
    <w:rsid w:val="003A503C"/>
    <w:rPr>
      <w:rFonts w:ascii="Courier New" w:eastAsia="Times New Roman" w:hAnsi="Courier New" w:cs="Courier New"/>
      <w:sz w:val="20"/>
      <w:szCs w:val="20"/>
    </w:rPr>
  </w:style>
  <w:style w:type="table" w:customStyle="1" w:styleId="TableGrid0">
    <w:name w:val="TableGrid"/>
    <w:rsid w:val="008C4EDF"/>
    <w:pPr>
      <w:spacing w:after="0" w:line="240" w:lineRule="auto"/>
    </w:pPr>
    <w:rPr>
      <w:rFonts w:eastAsiaTheme="minorEastAsia"/>
      <w:lang w:val="en-AE" w:eastAsia="en-AE"/>
    </w:rPr>
    <w:tblPr>
      <w:tblCellMar>
        <w:top w:w="0" w:type="dxa"/>
        <w:left w:w="0" w:type="dxa"/>
        <w:bottom w:w="0" w:type="dxa"/>
        <w:right w:w="0" w:type="dxa"/>
      </w:tblCellMar>
    </w:tblPr>
  </w:style>
  <w:style w:type="table" w:styleId="GridTable4-Accent1">
    <w:name w:val="Grid Table 4 Accent 1"/>
    <w:basedOn w:val="TableNormal"/>
    <w:uiPriority w:val="49"/>
    <w:rsid w:val="00CD7EB3"/>
    <w:pPr>
      <w:spacing w:after="0" w:line="240" w:lineRule="auto"/>
    </w:pPr>
    <w:rPr>
      <w:rFonts w:eastAsiaTheme="minorEastAsia"/>
      <w:sz w:val="24"/>
      <w:szCs w:val="24"/>
      <w:lang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0739">
      <w:bodyDiv w:val="1"/>
      <w:marLeft w:val="0"/>
      <w:marRight w:val="0"/>
      <w:marTop w:val="0"/>
      <w:marBottom w:val="0"/>
      <w:divBdr>
        <w:top w:val="none" w:sz="0" w:space="0" w:color="auto"/>
        <w:left w:val="none" w:sz="0" w:space="0" w:color="auto"/>
        <w:bottom w:val="none" w:sz="0" w:space="0" w:color="auto"/>
        <w:right w:val="none" w:sz="0" w:space="0" w:color="auto"/>
      </w:divBdr>
    </w:div>
    <w:div w:id="525557580">
      <w:bodyDiv w:val="1"/>
      <w:marLeft w:val="0"/>
      <w:marRight w:val="0"/>
      <w:marTop w:val="0"/>
      <w:marBottom w:val="0"/>
      <w:divBdr>
        <w:top w:val="none" w:sz="0" w:space="0" w:color="auto"/>
        <w:left w:val="none" w:sz="0" w:space="0" w:color="auto"/>
        <w:bottom w:val="none" w:sz="0" w:space="0" w:color="auto"/>
        <w:right w:val="none" w:sz="0" w:space="0" w:color="auto"/>
      </w:divBdr>
    </w:div>
    <w:div w:id="943465347">
      <w:bodyDiv w:val="1"/>
      <w:marLeft w:val="0"/>
      <w:marRight w:val="0"/>
      <w:marTop w:val="0"/>
      <w:marBottom w:val="0"/>
      <w:divBdr>
        <w:top w:val="none" w:sz="0" w:space="0" w:color="auto"/>
        <w:left w:val="none" w:sz="0" w:space="0" w:color="auto"/>
        <w:bottom w:val="none" w:sz="0" w:space="0" w:color="auto"/>
        <w:right w:val="none" w:sz="0" w:space="0" w:color="auto"/>
      </w:divBdr>
      <w:divsChild>
        <w:div w:id="1795783256">
          <w:marLeft w:val="0"/>
          <w:marRight w:val="0"/>
          <w:marTop w:val="0"/>
          <w:marBottom w:val="0"/>
          <w:divBdr>
            <w:top w:val="none" w:sz="0" w:space="0" w:color="auto"/>
            <w:left w:val="none" w:sz="0" w:space="0" w:color="auto"/>
            <w:bottom w:val="none" w:sz="0" w:space="0" w:color="auto"/>
            <w:right w:val="none" w:sz="0" w:space="0" w:color="auto"/>
          </w:divBdr>
        </w:div>
      </w:divsChild>
    </w:div>
    <w:div w:id="1345205751">
      <w:bodyDiv w:val="1"/>
      <w:marLeft w:val="0"/>
      <w:marRight w:val="0"/>
      <w:marTop w:val="0"/>
      <w:marBottom w:val="0"/>
      <w:divBdr>
        <w:top w:val="none" w:sz="0" w:space="0" w:color="auto"/>
        <w:left w:val="none" w:sz="0" w:space="0" w:color="auto"/>
        <w:bottom w:val="none" w:sz="0" w:space="0" w:color="auto"/>
        <w:right w:val="none" w:sz="0" w:space="0" w:color="auto"/>
      </w:divBdr>
    </w:div>
    <w:div w:id="1413354807">
      <w:bodyDiv w:val="1"/>
      <w:marLeft w:val="0"/>
      <w:marRight w:val="0"/>
      <w:marTop w:val="0"/>
      <w:marBottom w:val="0"/>
      <w:divBdr>
        <w:top w:val="none" w:sz="0" w:space="0" w:color="auto"/>
        <w:left w:val="none" w:sz="0" w:space="0" w:color="auto"/>
        <w:bottom w:val="none" w:sz="0" w:space="0" w:color="auto"/>
        <w:right w:val="none" w:sz="0" w:space="0" w:color="auto"/>
      </w:divBdr>
    </w:div>
    <w:div w:id="1481968460">
      <w:bodyDiv w:val="1"/>
      <w:marLeft w:val="0"/>
      <w:marRight w:val="0"/>
      <w:marTop w:val="0"/>
      <w:marBottom w:val="0"/>
      <w:divBdr>
        <w:top w:val="none" w:sz="0" w:space="0" w:color="auto"/>
        <w:left w:val="none" w:sz="0" w:space="0" w:color="auto"/>
        <w:bottom w:val="none" w:sz="0" w:space="0" w:color="auto"/>
        <w:right w:val="none" w:sz="0" w:space="0" w:color="auto"/>
      </w:divBdr>
    </w:div>
    <w:div w:id="1575893600">
      <w:bodyDiv w:val="1"/>
      <w:marLeft w:val="0"/>
      <w:marRight w:val="0"/>
      <w:marTop w:val="0"/>
      <w:marBottom w:val="0"/>
      <w:divBdr>
        <w:top w:val="none" w:sz="0" w:space="0" w:color="auto"/>
        <w:left w:val="none" w:sz="0" w:space="0" w:color="auto"/>
        <w:bottom w:val="none" w:sz="0" w:space="0" w:color="auto"/>
        <w:right w:val="none" w:sz="0" w:space="0" w:color="auto"/>
      </w:divBdr>
      <w:divsChild>
        <w:div w:id="1300497724">
          <w:marLeft w:val="0"/>
          <w:marRight w:val="0"/>
          <w:marTop w:val="0"/>
          <w:marBottom w:val="0"/>
          <w:divBdr>
            <w:top w:val="none" w:sz="0" w:space="0" w:color="auto"/>
            <w:left w:val="none" w:sz="0" w:space="0" w:color="auto"/>
            <w:bottom w:val="none" w:sz="0" w:space="0" w:color="auto"/>
            <w:right w:val="none" w:sz="0" w:space="0" w:color="auto"/>
          </w:divBdr>
        </w:div>
      </w:divsChild>
    </w:div>
    <w:div w:id="1735816819">
      <w:bodyDiv w:val="1"/>
      <w:marLeft w:val="0"/>
      <w:marRight w:val="0"/>
      <w:marTop w:val="0"/>
      <w:marBottom w:val="0"/>
      <w:divBdr>
        <w:top w:val="none" w:sz="0" w:space="0" w:color="auto"/>
        <w:left w:val="none" w:sz="0" w:space="0" w:color="auto"/>
        <w:bottom w:val="none" w:sz="0" w:space="0" w:color="auto"/>
        <w:right w:val="none" w:sz="0" w:space="0" w:color="auto"/>
      </w:divBdr>
      <w:divsChild>
        <w:div w:id="1849558859">
          <w:marLeft w:val="0"/>
          <w:marRight w:val="0"/>
          <w:marTop w:val="0"/>
          <w:marBottom w:val="0"/>
          <w:divBdr>
            <w:top w:val="none" w:sz="0" w:space="0" w:color="auto"/>
            <w:left w:val="none" w:sz="0" w:space="0" w:color="auto"/>
            <w:bottom w:val="none" w:sz="0" w:space="0" w:color="auto"/>
            <w:right w:val="none" w:sz="0" w:space="0" w:color="auto"/>
          </w:divBdr>
        </w:div>
        <w:div w:id="1734281066">
          <w:marLeft w:val="0"/>
          <w:marRight w:val="0"/>
          <w:marTop w:val="0"/>
          <w:marBottom w:val="0"/>
          <w:divBdr>
            <w:top w:val="none" w:sz="0" w:space="0" w:color="auto"/>
            <w:left w:val="none" w:sz="0" w:space="0" w:color="auto"/>
            <w:bottom w:val="none" w:sz="0" w:space="0" w:color="auto"/>
            <w:right w:val="none" w:sz="0" w:space="0" w:color="auto"/>
          </w:divBdr>
        </w:div>
      </w:divsChild>
    </w:div>
    <w:div w:id="1798989676">
      <w:bodyDiv w:val="1"/>
      <w:marLeft w:val="0"/>
      <w:marRight w:val="0"/>
      <w:marTop w:val="0"/>
      <w:marBottom w:val="0"/>
      <w:divBdr>
        <w:top w:val="none" w:sz="0" w:space="0" w:color="auto"/>
        <w:left w:val="none" w:sz="0" w:space="0" w:color="auto"/>
        <w:bottom w:val="none" w:sz="0" w:space="0" w:color="auto"/>
        <w:right w:val="none" w:sz="0" w:space="0" w:color="auto"/>
      </w:divBdr>
    </w:div>
    <w:div w:id="1959674483">
      <w:bodyDiv w:val="1"/>
      <w:marLeft w:val="0"/>
      <w:marRight w:val="0"/>
      <w:marTop w:val="0"/>
      <w:marBottom w:val="0"/>
      <w:divBdr>
        <w:top w:val="none" w:sz="0" w:space="0" w:color="auto"/>
        <w:left w:val="none" w:sz="0" w:space="0" w:color="auto"/>
        <w:bottom w:val="none" w:sz="0" w:space="0" w:color="auto"/>
        <w:right w:val="none" w:sz="0" w:space="0" w:color="auto"/>
      </w:divBdr>
    </w:div>
    <w:div w:id="1965309303">
      <w:bodyDiv w:val="1"/>
      <w:marLeft w:val="0"/>
      <w:marRight w:val="0"/>
      <w:marTop w:val="0"/>
      <w:marBottom w:val="0"/>
      <w:divBdr>
        <w:top w:val="none" w:sz="0" w:space="0" w:color="auto"/>
        <w:left w:val="none" w:sz="0" w:space="0" w:color="auto"/>
        <w:bottom w:val="none" w:sz="0" w:space="0" w:color="auto"/>
        <w:right w:val="none" w:sz="0" w:space="0" w:color="auto"/>
      </w:divBdr>
    </w:div>
    <w:div w:id="2079010272">
      <w:bodyDiv w:val="1"/>
      <w:marLeft w:val="0"/>
      <w:marRight w:val="0"/>
      <w:marTop w:val="0"/>
      <w:marBottom w:val="0"/>
      <w:divBdr>
        <w:top w:val="none" w:sz="0" w:space="0" w:color="auto"/>
        <w:left w:val="none" w:sz="0" w:space="0" w:color="auto"/>
        <w:bottom w:val="none" w:sz="0" w:space="0" w:color="auto"/>
        <w:right w:val="none" w:sz="0" w:space="0" w:color="auto"/>
      </w:divBdr>
    </w:div>
    <w:div w:id="2099254826">
      <w:bodyDiv w:val="1"/>
      <w:marLeft w:val="0"/>
      <w:marRight w:val="0"/>
      <w:marTop w:val="0"/>
      <w:marBottom w:val="0"/>
      <w:divBdr>
        <w:top w:val="none" w:sz="0" w:space="0" w:color="auto"/>
        <w:left w:val="none" w:sz="0" w:space="0" w:color="auto"/>
        <w:bottom w:val="none" w:sz="0" w:space="0" w:color="auto"/>
        <w:right w:val="none" w:sz="0" w:space="0" w:color="auto"/>
      </w:divBdr>
      <w:divsChild>
        <w:div w:id="1766345136">
          <w:marLeft w:val="0"/>
          <w:marRight w:val="0"/>
          <w:marTop w:val="0"/>
          <w:marBottom w:val="0"/>
          <w:divBdr>
            <w:top w:val="none" w:sz="0" w:space="0" w:color="auto"/>
            <w:left w:val="none" w:sz="0" w:space="0" w:color="auto"/>
            <w:bottom w:val="none" w:sz="0" w:space="0" w:color="auto"/>
            <w:right w:val="none" w:sz="0" w:space="0" w:color="auto"/>
          </w:divBdr>
        </w:div>
        <w:div w:id="2136673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cid:image002.png@01D87E4F.6A1310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cid:image002.png@01D87E4F.6A1310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876D12-F11F-4DC3-A083-856F828E449B}">
  <ds:schemaRefs>
    <ds:schemaRef ds:uri="http://schemas.openxmlformats.org/officeDocument/2006/bibliography"/>
  </ds:schemaRefs>
</ds:datastoreItem>
</file>

<file path=docMetadata/LabelInfo.xml><?xml version="1.0" encoding="utf-8"?>
<clbl:labelList xmlns:clbl="http://schemas.microsoft.com/office/2020/mipLabelMetadata">
  <clbl:label id="{a7a471ca-2c4b-4a75-8ee2-a41ce8b6c322}" enabled="1" method="Privileged" siteId="{e79918f6-a69b-4b33-8166-e897131f7346}" contentBits="3" removed="0"/>
</clbl:labelList>
</file>

<file path=docProps/app.xml><?xml version="1.0" encoding="utf-8"?>
<Properties xmlns="http://schemas.openxmlformats.org/officeDocument/2006/extended-properties" xmlns:vt="http://schemas.openxmlformats.org/officeDocument/2006/docPropsVTypes">
  <Template>Normal</Template>
  <TotalTime>510</TotalTime>
  <Pages>12</Pages>
  <Words>6571</Words>
  <Characters>41400</Characters>
  <Application>Microsoft Office Word</Application>
  <DocSecurity>0</DocSecurity>
  <Lines>642</Lines>
  <Paragraphs>118</Paragraphs>
  <ScaleCrop>false</ScaleCrop>
  <HeadingPairs>
    <vt:vector size="2" baseType="variant">
      <vt:variant>
        <vt:lpstr>Title</vt:lpstr>
      </vt:variant>
      <vt:variant>
        <vt:i4>1</vt:i4>
      </vt:variant>
    </vt:vector>
  </HeadingPairs>
  <TitlesOfParts>
    <vt:vector size="1" baseType="lpstr">
      <vt:lpstr>Microsoft Windows Server Migration</vt:lpstr>
    </vt:vector>
  </TitlesOfParts>
  <Company>Tech one global (pvt) ltd</Company>
  <LinksUpToDate>false</LinksUpToDate>
  <CharactersWithSpaces>47920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Migration</dc:title>
  <dc:subject>WINDOWS MIGRATION design document for BEC ARABIA</dc:subject>
  <dc:creator>Version 1.6</dc:creator>
  <cp:keywords/>
  <dc:description/>
  <cp:lastModifiedBy>Salin Kumar</cp:lastModifiedBy>
  <cp:revision>191</cp:revision>
  <cp:lastPrinted>2025-08-12T06:51:00Z</cp:lastPrinted>
  <dcterms:created xsi:type="dcterms:W3CDTF">2025-08-20T08:40:00Z</dcterms:created>
  <dcterms:modified xsi:type="dcterms:W3CDTF">2026-02-14T20:05:00Z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46173104,382c6e8b,7873a101</vt:lpwstr>
  </property>
  <property fmtid="{D5CDD505-2E9C-101B-9397-08002B2CF9AE}" pid="3" name="ClassificationContentMarkingFooterFontProps">
    <vt:lpwstr>#000000,10,Calibri</vt:lpwstr>
  </property>
  <property fmtid="{D5CDD505-2E9C-101B-9397-08002B2CF9AE}" pid="4" name="ClassificationContentMarkingFooterText">
    <vt:lpwstr>Information Classification: Public </vt:lpwstr>
  </property>
  <property fmtid="{D5CDD505-2E9C-101B-9397-08002B2CF9AE}" pid="5" name="MSIP_Label_defa4170-0d19-0005-0001-bc88714345d2_Enabled">
    <vt:lpwstr>true</vt:lpwstr>
  </property>
  <property fmtid="{D5CDD505-2E9C-101B-9397-08002B2CF9AE}" pid="6" name="MSIP_Label_defa4170-0d19-0005-0001-bc88714345d2_SetDate">
    <vt:lpwstr>2025-07-31T09:19:41Z</vt:lpwstr>
  </property>
  <property fmtid="{D5CDD505-2E9C-101B-9397-08002B2CF9AE}" pid="7" name="MSIP_Label_defa4170-0d19-0005-0001-bc88714345d2_Method">
    <vt:lpwstr>Privileged</vt:lpwstr>
  </property>
  <property fmtid="{D5CDD505-2E9C-101B-9397-08002B2CF9AE}" pid="8" name="MSIP_Label_defa4170-0d19-0005-0001-bc88714345d2_Name">
    <vt:lpwstr>defa4170-0d19-0005-0001-bc88714345d2</vt:lpwstr>
  </property>
  <property fmtid="{D5CDD505-2E9C-101B-9397-08002B2CF9AE}" pid="9" name="MSIP_Label_defa4170-0d19-0005-0001-bc88714345d2_SiteId">
    <vt:lpwstr>d0e2d202-86f7-4fd0-a150-f030292f015e</vt:lpwstr>
  </property>
  <property fmtid="{D5CDD505-2E9C-101B-9397-08002B2CF9AE}" pid="10" name="MSIP_Label_defa4170-0d19-0005-0001-bc88714345d2_ActionId">
    <vt:lpwstr>a5f6989b-769f-4bb0-9413-b40f0b9376c7</vt:lpwstr>
  </property>
  <property fmtid="{D5CDD505-2E9C-101B-9397-08002B2CF9AE}" pid="11" name="MSIP_Label_defa4170-0d19-0005-0001-bc88714345d2_ContentBits">
    <vt:lpwstr>0</vt:lpwstr>
  </property>
  <property fmtid="{D5CDD505-2E9C-101B-9397-08002B2CF9AE}" pid="12" name="MSIP_Label_defa4170-0d19-0005-0001-bc88714345d2_Tag">
    <vt:lpwstr>10, 0, 1, 1</vt:lpwstr>
  </property>
</Properties>
</file>