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04174369" w:displacedByCustomXml="next"/>
    <w:bookmarkStart w:id="1" w:name="_Toc404174712" w:displacedByCustomXml="next"/>
    <w:bookmarkStart w:id="2" w:name="_Toc404606176" w:displacedByCustomXml="next"/>
    <w:bookmarkStart w:id="3" w:name="_Toc416446793" w:displacedByCustomXml="next"/>
    <w:bookmarkStart w:id="4" w:name="_Toc431484045" w:displacedByCustomXml="next"/>
    <w:bookmarkStart w:id="5" w:name="_Toc435193991" w:displacedByCustomXml="next"/>
    <w:bookmarkStart w:id="6" w:name="_Toc436559832" w:displacedByCustomXml="next"/>
    <w:bookmarkStart w:id="7" w:name="_Toc452993511" w:displacedByCustomXml="next"/>
    <w:bookmarkStart w:id="8" w:name="_Toc453144376" w:displacedByCustomXml="next"/>
    <w:sdt>
      <w:sdtPr>
        <w:id w:val="-255055889"/>
        <w:docPartObj>
          <w:docPartGallery w:val="Cover Pages"/>
          <w:docPartUnique/>
        </w:docPartObj>
      </w:sdtPr>
      <w:sdtEndPr>
        <w:rPr>
          <w:color w:val="5B9BD5" w:themeColor="accent1"/>
          <w:sz w:val="22"/>
          <w:szCs w:val="22"/>
        </w:rPr>
      </w:sdtEndPr>
      <w:sdtContent>
        <w:p w14:paraId="55B92AE7" w14:textId="06651B80" w:rsidR="009B45F0" w:rsidRPr="009B45F0" w:rsidRDefault="00AF0FBB" w:rsidP="009B45F0">
          <w:r>
            <w:rPr>
              <w:noProof/>
              <w:color w:val="1F497D"/>
            </w:rPr>
            <w:drawing>
              <wp:anchor distT="0" distB="0" distL="114300" distR="114300" simplePos="0" relativeHeight="251663360" behindDoc="0" locked="0" layoutInCell="1" allowOverlap="1" wp14:anchorId="0C9C0C27" wp14:editId="052E85BB">
                <wp:simplePos x="0" y="0"/>
                <wp:positionH relativeFrom="margin">
                  <wp:posOffset>0</wp:posOffset>
                </wp:positionH>
                <wp:positionV relativeFrom="paragraph">
                  <wp:posOffset>0</wp:posOffset>
                </wp:positionV>
                <wp:extent cx="1476375" cy="428625"/>
                <wp:effectExtent l="0" t="0" r="9525" b="9525"/>
                <wp:wrapThrough wrapText="bothSides">
                  <wp:wrapPolygon edited="0">
                    <wp:start x="0" y="0"/>
                    <wp:lineTo x="0" y="21120"/>
                    <wp:lineTo x="21461" y="21120"/>
                    <wp:lineTo x="21461"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p>
      </w:sdtContent>
    </w:sdt>
    <w:p w14:paraId="3102BD91" w14:textId="38681B6A" w:rsidR="00145FAD" w:rsidRDefault="00145FAD" w:rsidP="00145FAD"/>
    <w:p w14:paraId="2FB13C60" w14:textId="77777777" w:rsidR="00DE3E81" w:rsidRDefault="00DE3E81" w:rsidP="003608D6">
      <w:pPr>
        <w:pStyle w:val="Heading1"/>
        <w:jc w:val="both"/>
      </w:pPr>
      <w:r>
        <w:t>Sales Enablement: Microsoft Cloud Security (Microsoft 365 &amp; Azure) for Resellers and Partners</w:t>
      </w:r>
    </w:p>
    <w:p w14:paraId="3D660DE2" w14:textId="77777777" w:rsidR="00DE3E81" w:rsidRDefault="00DE3E81" w:rsidP="003608D6">
      <w:pPr>
        <w:jc w:val="both"/>
      </w:pPr>
      <w:r>
        <w:t>In today’s threat landscape, organizations need end-to-end security across users, data, applications, and cloud infrastructure. Microsoft Cloud Security – spanning Microsoft 365 and Microsoft Azure – offers a comprehensive suite of integrated security solutions that empower partners to protect customers’ entire digital estate under a unified platform. This sales enablement guide provides an overview of Microsoft’s key security capabilities in Microsoft 365 and Azure, emphasizing the business value, competitive differentiation, and sales strategies that resellers and partners can leverage globally.</w:t>
      </w:r>
    </w:p>
    <w:p w14:paraId="0F2F7D3B" w14:textId="77777777" w:rsidR="00DE3E81" w:rsidRDefault="00DE3E81" w:rsidP="003608D6">
      <w:pPr>
        <w:jc w:val="both"/>
      </w:pPr>
    </w:p>
    <w:p w14:paraId="31DD1990" w14:textId="77777777" w:rsidR="00DE3E81" w:rsidRDefault="00DE3E81" w:rsidP="003608D6">
      <w:pPr>
        <w:pStyle w:val="Heading2"/>
        <w:jc w:val="both"/>
      </w:pPr>
      <w:r>
        <w:t>Holistic Security Across Microsoft 365 and Azure</w:t>
      </w:r>
    </w:p>
    <w:p w14:paraId="0A2A72F8" w14:textId="77777777" w:rsidR="00DE3E81" w:rsidRDefault="00DE3E81" w:rsidP="003608D6">
      <w:pPr>
        <w:jc w:val="both"/>
      </w:pPr>
      <w:r>
        <w:t xml:space="preserve">Microsoft’s cloud security portfolio covers the full spectrum of threats and vulnerabilities across identities, endpoints, applications, data, and cloud infrastructure. Unlike point solutions from other vendors, Microsoft delivers a unified security ecosystem where all products work together, sharing threat signals and intelligence. This integrated design means that a breach attempt caught in one domain (for example, a phishing email) can automatically trigger protections in another domain (like isolating an endpoint or blocking a cloud login) – reducing response times from hours to seconds through automation. Microsoft’s platform embodies a Zero Trust security model (never implicitly trust, always verify) and a defense-in-depth approach, with security built into every layer of the cloud and productivity stack from the ground </w:t>
      </w:r>
      <w:proofErr w:type="gramStart"/>
      <w:r>
        <w:t>up .</w:t>
      </w:r>
      <w:proofErr w:type="gramEnd"/>
    </w:p>
    <w:p w14:paraId="19895CC7" w14:textId="77777777" w:rsidR="00DE3E81" w:rsidRDefault="00DE3E81" w:rsidP="003608D6">
      <w:pPr>
        <w:jc w:val="both"/>
      </w:pPr>
      <w:r>
        <w:t>For resellers and partners, this holistic approach translates to a compelling value proposition: you can help customers replace a patchwork of disparate security tools with a single, cloud-native platform that is easier to manage, more cost-effective, and proven to reduce risk. Below, we break down the key security capabilities in Microsoft 365 and Azure – and how you can articulate their value and differentiation in sales conversations.</w:t>
      </w:r>
    </w:p>
    <w:p w14:paraId="45B8F91D" w14:textId="77777777" w:rsidR="00DE3E81" w:rsidRDefault="00DE3E81" w:rsidP="003608D6">
      <w:pPr>
        <w:pStyle w:val="Heading2"/>
        <w:jc w:val="both"/>
      </w:pPr>
      <w:r>
        <w:t>Key Security Capabilities in Microsoft 365</w:t>
      </w:r>
    </w:p>
    <w:p w14:paraId="64399790" w14:textId="77777777" w:rsidR="00DE3E81" w:rsidRDefault="00DE3E81" w:rsidP="003608D6">
      <w:pPr>
        <w:jc w:val="both"/>
      </w:pPr>
      <w:r>
        <w:t>Microsoft 365 (which includes Office 365) provides robust, enterprise-grade security features to protect users, devices, apps, and data in the productivity environment. Key capabilities include:</w:t>
      </w:r>
    </w:p>
    <w:p w14:paraId="10785AD6" w14:textId="77777777" w:rsidR="00DE3E81" w:rsidRDefault="00DE3E81" w:rsidP="003608D6">
      <w:pPr>
        <w:pStyle w:val="ListParagraph"/>
        <w:numPr>
          <w:ilvl w:val="0"/>
          <w:numId w:val="19"/>
        </w:numPr>
        <w:spacing w:after="160" w:line="279" w:lineRule="auto"/>
        <w:jc w:val="both"/>
      </w:pPr>
      <w:r>
        <w:t xml:space="preserve">Identity and Access Management with Microsoft Entra ID (Azure AD): Microsoft Entra ID is the identity platform for Microsoft 365, providing secure single sign-on, user authentication, and granular access </w:t>
      </w:r>
      <w:proofErr w:type="gramStart"/>
      <w:r>
        <w:t>controls .</w:t>
      </w:r>
      <w:proofErr w:type="gramEnd"/>
      <w:r>
        <w:t xml:space="preserve"> Features like Multi-Factor Authentication (MFA) and Conditional Access policies (e.g. enforcing sign-in risk checks, device compliance, or location-based rules) help ensure only authorized users and compliant devices access corporate </w:t>
      </w:r>
      <w:proofErr w:type="gramStart"/>
      <w:r>
        <w:t>resources .</w:t>
      </w:r>
      <w:proofErr w:type="gramEnd"/>
      <w:r>
        <w:t xml:space="preserve"> This dramatically reduces account breaches – Microsoft reports that enabling MFA alone blocks over 99% of identity-based attacks. For partners, emphasizing Microsoft’s identity security highlights a Zero Trust foundation (verify every user and device) that many competitors struggle to match.</w:t>
      </w:r>
    </w:p>
    <w:p w14:paraId="74419051" w14:textId="77777777" w:rsidR="00DE3E81" w:rsidRDefault="00DE3E81" w:rsidP="003608D6">
      <w:pPr>
        <w:pStyle w:val="ListParagraph"/>
        <w:numPr>
          <w:ilvl w:val="0"/>
          <w:numId w:val="19"/>
        </w:numPr>
        <w:spacing w:after="160" w:line="279" w:lineRule="auto"/>
        <w:jc w:val="both"/>
      </w:pPr>
      <w:r>
        <w:t xml:space="preserve">Threat Protection with Microsoft Defender for Office 365 and Endpoint: Microsoft 365 includes advanced threat protection for email, collaboration, and endpoints. Defender for Office 365 safeguards Exchange Online, OneDrive, SharePoint, Teams, and other services from phishing, business email compromise (BEC), ransomware, and malware by using features like Safe Links (URL scanning/rewrite), Safe Attachments (attachment sandboxing), anti-phishing intelligence, and even user security awareness training simulations. On user devices, Microsoft Defender for Endpoint provides endpoint detection and response (EDR) across Windows, macOS, Linux, Android, and iOS – continuously monitoring for malicious activity, isolating </w:t>
      </w:r>
      <w:r>
        <w:lastRenderedPageBreak/>
        <w:t>compromised devices, and integrating with Office 365 signals for full XDR (Extended Detection and Response) coverage. This cross-product integration is a key differentiator: for example, a malware identified by Defender for Office 365 in an email attachment can automatically trigger a device scan in Defender for Endpoint and an identity risk alert in Entra ID, all coordinated through the Microsoft 365 Defender portal. This end-to-end threat protection substantially cuts dwell time and automates response, minimizing damage from advanced attacks. In independent evaluations, Microsoft’s integrated approach has shown outstanding results – Microsoft’s Defender XDR achieved 100% detection coverage in the MITRE ATT&amp;CK evaluations, demonstrating its ability to catch all steps of complex attack scenarios.</w:t>
      </w:r>
    </w:p>
    <w:p w14:paraId="124A65B2" w14:textId="77777777" w:rsidR="00DE3E81" w:rsidRDefault="00DE3E81" w:rsidP="003608D6">
      <w:pPr>
        <w:pStyle w:val="ListParagraph"/>
        <w:numPr>
          <w:ilvl w:val="0"/>
          <w:numId w:val="19"/>
        </w:numPr>
        <w:spacing w:after="160" w:line="279" w:lineRule="auto"/>
        <w:jc w:val="both"/>
      </w:pPr>
      <w:r>
        <w:t xml:space="preserve">Information Protection &amp; Compliance (Microsoft Purview): Under the Microsoft Purview brand, Microsoft 365 provides comprehensive data protection and compliance capabilities. These include Data Loss Prevention (DLP) policies across email and file storage, Information Protection (sensitivity labels and encryption that travel with documents), Insider Risk Management and communication compliance (to detect and remediate risky activities by insiders), and eDiscovery &amp; audit </w:t>
      </w:r>
      <w:proofErr w:type="gramStart"/>
      <w:r>
        <w:t>tools .</w:t>
      </w:r>
      <w:proofErr w:type="gramEnd"/>
      <w:r>
        <w:t xml:space="preserve"> These features help customers safeguard sensitive data and meet regulatory requirements globally. Microsoft’s solutions come with built-in mappings to dozens of regulations and standards – from GDPR and ISO 27001 to industry-specific standards – and the broadest portfolio of compliance certifications in the industry (over 100 compliance offerings worldwide). For partners, this means you can address clients’ compliance concerns with confidence, positioning Microsoft 365 as a trusted, compliant platform that reduces the cost and complexity of meeting global regulatory obligations.</w:t>
      </w:r>
    </w:p>
    <w:p w14:paraId="4B2C114A" w14:textId="77777777" w:rsidR="00DE3E81" w:rsidRDefault="00DE3E81" w:rsidP="003608D6">
      <w:pPr>
        <w:pStyle w:val="ListParagraph"/>
        <w:numPr>
          <w:ilvl w:val="0"/>
          <w:numId w:val="19"/>
        </w:numPr>
        <w:spacing w:after="160" w:line="279" w:lineRule="auto"/>
        <w:jc w:val="both"/>
      </w:pPr>
      <w:r>
        <w:t xml:space="preserve">Secure Device Management (Microsoft Intune): Microsoft 365’s security extends to device and app management via Microsoft Intune (part of the Endpoint Management suite). Intune allows enforcement of security policies on mobile and PC devices (encryption, device health, app protections) and can remotely wipe or disable lost devices to protect data. It integrates with Defender and Entra ID signals (e.g., a device that falls out of compliance can be </w:t>
      </w:r>
      <w:proofErr w:type="gramStart"/>
      <w:r>
        <w:t>auto-blocked</w:t>
      </w:r>
      <w:proofErr w:type="gramEnd"/>
      <w:r>
        <w:t xml:space="preserve"> from accessing apps). By highlighting Intune and device security, partners can address the increasingly important need for Secure Remote Work and BYOD scenarios with a unified solution, unlike point MDM products.</w:t>
      </w:r>
    </w:p>
    <w:p w14:paraId="74A0237D" w14:textId="77777777" w:rsidR="00DE3E81" w:rsidRDefault="00DE3E81" w:rsidP="003608D6">
      <w:pPr>
        <w:pStyle w:val="ListParagraph"/>
        <w:numPr>
          <w:ilvl w:val="0"/>
          <w:numId w:val="19"/>
        </w:numPr>
        <w:spacing w:after="160" w:line="279" w:lineRule="auto"/>
        <w:jc w:val="both"/>
      </w:pPr>
      <w:r>
        <w:t xml:space="preserve">Security Management &amp; Simplified Monitoring: Through the Microsoft 365 Defender unified portal, security teams get a single pane of glass to monitor alerts and incidents across email, endpoints, identity, and cloud apps. Features like the Microsoft Secure Score provide a quantifiable measure of an organization’s security posture along with guidance to improve </w:t>
      </w:r>
      <w:proofErr w:type="gramStart"/>
      <w:r>
        <w:t>it .</w:t>
      </w:r>
      <w:proofErr w:type="gramEnd"/>
      <w:r>
        <w:t xml:space="preserve"> Emphasize to customers that this built-in, continually updated score (and the underlying recommendations) help them proactively elevate their defenses. The unified experience and tooling significantly reduce administrative burden – a key selling point for organizations with small IT teams.</w:t>
      </w:r>
    </w:p>
    <w:p w14:paraId="3E7E69EC" w14:textId="77777777" w:rsidR="00DE3E81" w:rsidRDefault="00DE3E81" w:rsidP="003608D6">
      <w:pPr>
        <w:jc w:val="both"/>
      </w:pPr>
      <w:r>
        <w:t>Why it matters: For many customers, protecting a cloud productivity suite is a top priority since it’s often the gateway for attacks (phishing, credential theft, data leaks). Microsoft 365’s security capabilities not only prevent threats (e.g. blocking malware, phishing, and fraudulent sign-ins in real time</w:t>
      </w:r>
      <w:proofErr w:type="gramStart"/>
      <w:r>
        <w:t>), but</w:t>
      </w:r>
      <w:proofErr w:type="gramEnd"/>
      <w:r>
        <w:t xml:space="preserve"> also add business value by keeping users productive and data safe. As a partner, you can underscore how integrated security in M365 improves business continuity and user trust, while lowering total cost – no need for separate email security, endpoint antivirus, CASB, and DLP point products when much of this is natively covered with Microsoft’s solution.</w:t>
      </w:r>
    </w:p>
    <w:p w14:paraId="12B251C9" w14:textId="77777777" w:rsidR="00DE3E81" w:rsidRDefault="00DE3E81" w:rsidP="003608D6">
      <w:pPr>
        <w:pStyle w:val="Heading2"/>
        <w:jc w:val="both"/>
      </w:pPr>
      <w:r>
        <w:t>Key Security Capabilities in Microsoft Azure</w:t>
      </w:r>
    </w:p>
    <w:p w14:paraId="5DF857B2" w14:textId="77777777" w:rsidR="00DE3E81" w:rsidRDefault="00DE3E81" w:rsidP="003608D6">
      <w:pPr>
        <w:jc w:val="both"/>
      </w:pPr>
      <w:r>
        <w:t>Microsoft Azure is built with a “security-by-design” philosophy, extending Microsoft’s security capabilities into the cloud infrastructure and platform realm. Azure provides protection for cloud resources and workloads, whether running in Azure, on-premises, or even in other clouds. This is crucial for partners helping customers adopt cloud and hybrid solutions. Core Azure security capabilities include:</w:t>
      </w:r>
    </w:p>
    <w:p w14:paraId="1B49330A" w14:textId="77777777" w:rsidR="00DE3E81" w:rsidRDefault="00DE3E81" w:rsidP="003608D6">
      <w:pPr>
        <w:pStyle w:val="ListParagraph"/>
        <w:numPr>
          <w:ilvl w:val="0"/>
          <w:numId w:val="20"/>
        </w:numPr>
        <w:spacing w:after="160" w:line="279" w:lineRule="auto"/>
        <w:jc w:val="both"/>
      </w:pPr>
      <w:r>
        <w:lastRenderedPageBreak/>
        <w:t xml:space="preserve">Network and Infrastructure Security: Azure provides multiple layers of network defense – including built-in network security groups (firewall rules for traffic filtering), Azure Firewall (a cloud-native, stateful firewall service to centrally allow or block traffic with threat intelligence-based filtering), and Web Application Firewall (WAF) to protect web apps from attacks like SQL injection or XSS. Azure DDoS Protection is available to automatically detect and mitigate large-scale distributed denial-of-service attacks, keeping services available even under extreme traffic </w:t>
      </w:r>
      <w:proofErr w:type="gramStart"/>
      <w:r>
        <w:t>floods .</w:t>
      </w:r>
      <w:proofErr w:type="gramEnd"/>
      <w:r>
        <w:t xml:space="preserve"> Additionally, Azure’s global datacenters are secured via strict physical security and isolation, and all data is encrypted at rest and in transit by default. The key message for customers is that Azure’s cloud platform is protected at every layer – from physical data center security all the way to network, application, and data security controls – following a rigorous defense-in-depth model.</w:t>
      </w:r>
    </w:p>
    <w:p w14:paraId="6237C545" w14:textId="77777777" w:rsidR="00DE3E81" w:rsidRDefault="00DE3E81" w:rsidP="003608D6">
      <w:pPr>
        <w:pStyle w:val="ListParagraph"/>
        <w:numPr>
          <w:ilvl w:val="0"/>
          <w:numId w:val="20"/>
        </w:numPr>
        <w:spacing w:after="160" w:line="279" w:lineRule="auto"/>
        <w:jc w:val="both"/>
      </w:pPr>
      <w:r>
        <w:t>Identity and Access for Azure Services: The same Microsoft Entra ID underpins Azure security. Azure AD (Entra ID) manages access to Azure resources and can enforce MFA and Conditional Access for administrators and users managing cloud workloads. Azure also offers role-based access control (RBAC) to ensure least-</w:t>
      </w:r>
      <w:proofErr w:type="gramStart"/>
      <w:r>
        <w:t>privilege</w:t>
      </w:r>
      <w:proofErr w:type="gramEnd"/>
      <w:r>
        <w:t xml:space="preserve"> access within cloud environments, and Azure AD Privileged Identity Management (PIM) for just-in-time elevation of admin rights. For customers, this means they can control who can access what in the cloud with fine-grained precision, reducing the risk of accidental or malicious misconfigurations. The unified identity system across Microsoft 365 and Azure is a differentiator – admins and users use one set of credentials and policies, simplifying management and improving security compared to a multi-vendor mix of identity solutions.</w:t>
      </w:r>
    </w:p>
    <w:p w14:paraId="1097E294" w14:textId="77777777" w:rsidR="00DE3E81" w:rsidRDefault="00DE3E81" w:rsidP="003608D6">
      <w:pPr>
        <w:pStyle w:val="ListParagraph"/>
        <w:numPr>
          <w:ilvl w:val="0"/>
          <w:numId w:val="20"/>
        </w:numPr>
        <w:spacing w:after="160" w:line="279" w:lineRule="auto"/>
        <w:jc w:val="both"/>
      </w:pPr>
      <w:r>
        <w:t xml:space="preserve">Azure Defender for Cloud (Cloud Workload Protection &amp; Posture Management): Microsoft Defender for Cloud (formerly Azure Security Center and Azure Defender) is Azure’s built-in tool for Cloud Security Posture Management (CSPM) and cloud workload protection. It continuously assesses Azure resources (and even AWS and GCP environments) for misconfigurations, vulnerabilities, and compliance risks, providing a secure configuration score similar to Secure </w:t>
      </w:r>
      <w:proofErr w:type="gramStart"/>
      <w:r>
        <w:t>Score .</w:t>
      </w:r>
      <w:proofErr w:type="gramEnd"/>
      <w:r>
        <w:t xml:space="preserve"> It also includes targeted threat protection for cloud workloads – e.g., Defender for Servers, Containers, Databases, and more – using threat intelligence and machine learning to detect suspicious activities in VMs, Kubernetes clusters, SQL databases, storage accounts, and even IoT devices. For example, Defender for Cloud can flag an unusual process on a VM or a brute-force attempt against a database, and it integrates with Azure’s identity and network controls to help block or contain threats in real time. This capability is a strong selling point for any customer worrying about cloud breaches: you can explain how Azure provides built-in “security guardrails” and active threat defense for their cloud workloads without requiring third-party tools, even across hybrid and multi-cloud environments.</w:t>
      </w:r>
    </w:p>
    <w:p w14:paraId="2DDBFA92" w14:textId="77777777" w:rsidR="00DE3E81" w:rsidRDefault="00DE3E81" w:rsidP="003608D6">
      <w:pPr>
        <w:pStyle w:val="ListParagraph"/>
        <w:numPr>
          <w:ilvl w:val="0"/>
          <w:numId w:val="20"/>
        </w:numPr>
        <w:spacing w:after="160" w:line="279" w:lineRule="auto"/>
        <w:jc w:val="both"/>
      </w:pPr>
      <w:r>
        <w:t xml:space="preserve">Cloud SIEM and Security Monitoring (Microsoft Sentinel): Microsoft Sentinel is Azure’s cloud-native SIEM (Security Information and Event Management) and SOAR (Security Orchestration Automated Response) solution that aggregates security logs and alerts from across not only Microsoft 365 and Azure, but also third-party sources. Sentinel uses scalable cloud analytics and AI to correlate incidents and empower security teams with intelligent alerting, threat hunting capabilities, and automated playbooks for incident </w:t>
      </w:r>
      <w:proofErr w:type="gramStart"/>
      <w:r>
        <w:t>response .</w:t>
      </w:r>
      <w:proofErr w:type="gramEnd"/>
      <w:r>
        <w:t xml:space="preserve"> In practice, this means a partner can offer customers a unified view of security across their entire IT estate – on-premises firewalls, AWS cloud logs, Microsoft 365 alerts, and more can all feed into Sentinel. Selling Sentinel services is a major opportunity for partners (e.g., as a managed SOC service), highlighting to customers that Microsoft’s cloud SIEM provides rapid time-to-value (no infrastructure to set up), integration with the whole Microsoft security stack, and even built-in hunting queries and AI to detect advanced threats. Gartner has recognized Microsoft as a Leader in SIEM (Magic Quadrant for SIEM), reinforcing credibility.</w:t>
      </w:r>
    </w:p>
    <w:p w14:paraId="6B286C5B" w14:textId="77777777" w:rsidR="00DE3E81" w:rsidRDefault="00DE3E81" w:rsidP="003608D6">
      <w:pPr>
        <w:pStyle w:val="ListParagraph"/>
        <w:numPr>
          <w:ilvl w:val="0"/>
          <w:numId w:val="20"/>
        </w:numPr>
        <w:spacing w:after="160" w:line="279" w:lineRule="auto"/>
        <w:jc w:val="both"/>
      </w:pPr>
      <w:r>
        <w:t xml:space="preserve">Data Security and Key Management: Azure offers robust data protection features such as Azure Key Vault for secrets management (securely storing encryption keys, passwords, certificates), transparent data </w:t>
      </w:r>
      <w:r>
        <w:lastRenderedPageBreak/>
        <w:t xml:space="preserve">encryption for databases, and Azure Information Protection (as part of Purview) that extends classification and labeling to data in Azure storage or on-premises </w:t>
      </w:r>
      <w:proofErr w:type="gramStart"/>
      <w:r>
        <w:t>files .</w:t>
      </w:r>
      <w:proofErr w:type="gramEnd"/>
      <w:r>
        <w:t xml:space="preserve"> Additionally, Azure’s Policy service allows enforcement of organizational standards (for example, ensuring all storage accounts have encryption or all VMs have certain configurations) to maintain compliance and security at scale. For customers with strict data governance needs, partners can stress that Microsoft’s platform provides end-to-end control over data security – from encryption and access control to monitoring and policy enforcement – all manageable through Azure’s centralized console and APIs.</w:t>
      </w:r>
    </w:p>
    <w:p w14:paraId="08D1DD8B" w14:textId="77777777" w:rsidR="00DE3E81" w:rsidRDefault="00DE3E81" w:rsidP="003608D6">
      <w:pPr>
        <w:jc w:val="both"/>
      </w:pPr>
      <w:r>
        <w:t>Why it matters: With these Azure security capabilities, partners can address common cloud security fears head-on. Microsoft Azure’s security helps ensure that moving to the cloud improves a customer’s security posture. You can assure clients that Azure’s environment is monitored and protected 24x7 by Microsoft’s expert teams and AI (the same 8,500 security experts and trillions of signals noted earlier), giving them security many organizations cannot achieve on their own. Moreover, Azure’s security tooling is not limited to Azure alone – it can also protect hybrid on-premises systems and even other clouds like AWS and GCP, which is a major differentiator versus competitors. This means partners can position Microsoft’s cloud security as a one-stop, future-proof solution even for customers operating in multi-cloud environments.</w:t>
      </w:r>
    </w:p>
    <w:p w14:paraId="762CC1FC" w14:textId="77777777" w:rsidR="00DE3E81" w:rsidRDefault="00DE3E81" w:rsidP="003608D6">
      <w:pPr>
        <w:pStyle w:val="Heading2"/>
        <w:jc w:val="both"/>
      </w:pPr>
      <w:r>
        <w:t>Intelligence, AI, and Threat Insights: Microsoft’s Unique Advantage</w:t>
      </w:r>
    </w:p>
    <w:p w14:paraId="2E1ACBFF" w14:textId="77777777" w:rsidR="00DE3E81" w:rsidRDefault="00DE3E81" w:rsidP="003608D6">
      <w:pPr>
        <w:jc w:val="both"/>
      </w:pPr>
      <w:r>
        <w:t>One of Microsoft’s greatest strengths in security is the sheer breadth of threat intelligence it brings to bear, powered by cloud-scale data and Artificial Intelligence. Microsoft’s security cloud processes over 100 trillion signals every day – from email telemetry, endpoints, identity systems, collaborative traffic, and Azure network activity worldwide. This massive signal collection (the largest in the industry) is continuously analyzed by advanced AI algorithms and a global team of threat analysts to identify new threats and attack patterns in real time. This means Microsoft can often spot emerging threats before they impact most customers, because a new malware or phishing campaign seen in one part of the world can immediately inform defenses elsewhere. These insights feed directly into products like Defender and Sentinel as AI-driven alerts, threat hunting queries, and automated responses. For example, Microsoft uses AI to rapidly analyze and respond to anomalies, enabling Defender to cut incident response times from hours to seconds.</w:t>
      </w:r>
    </w:p>
    <w:p w14:paraId="5510BB65" w14:textId="77777777" w:rsidR="00DE3E81" w:rsidRDefault="00DE3E81" w:rsidP="003608D6">
      <w:pPr>
        <w:jc w:val="both"/>
      </w:pPr>
      <w:r>
        <w:t>Partners should highlight how this intelligence translates into tangible customer benefits: better protection with less manual effort. Microsoft’s cloud security will automatically update to counter new threats (for instance, blocking a newly discovered phishing URL or malware signature globally within minutes). Even boutique security vendors cannot match this scale of data, and customers certainly cannot assemble comparable threat intelligence on their own. Additionally, Microsoft’s security AI (exemplified by the new Microsoft Security Copilot and AI integrations in Defender) helps administrators triage and interpret threats faster, addressing the cybersecurity skills gap. In sales conversations, emphasizing Microsoft’s AI and threat intelligence leadership – e.g., referencing that “Microsoft’s platforms block millions of attacks daily and even prevented a $ ransomware incident within 68 seconds of detection” (real-world example) – can assure customers that they are choosing a proactive, cutting-edge defense partner.</w:t>
      </w:r>
    </w:p>
    <w:p w14:paraId="7DF1EFA6" w14:textId="77777777" w:rsidR="00DE3E81" w:rsidRDefault="00DE3E81" w:rsidP="003608D6">
      <w:pPr>
        <w:jc w:val="both"/>
      </w:pPr>
      <w:r>
        <w:t xml:space="preserve">Furthermore, Microsoft’s intelligence is enriched through human expertise – a combined global security community. The company employs thousands of security experts, data scientists, and threat hunters (8,500+ focused on Azure alone) who work around the clock to investigate advanced threats, develop new protections, and assist in major incident responses worldwide. Microsoft also actively collaborates with industry partners and law enforcement (for example, through initiatives to </w:t>
      </w:r>
      <w:proofErr w:type="gramStart"/>
      <w:r>
        <w:t>takedown</w:t>
      </w:r>
      <w:proofErr w:type="gramEnd"/>
      <w:r>
        <w:t xml:space="preserve"> botnets and cybercriminal infrastructure). This collaborative, intelligence-driven approach is a key differentiator: partners can confidently tell customers that choosing Microsoft is not just buying a </w:t>
      </w:r>
      <w:proofErr w:type="gramStart"/>
      <w:r>
        <w:t>product, but</w:t>
      </w:r>
      <w:proofErr w:type="gramEnd"/>
      <w:r>
        <w:t xml:space="preserve"> enlisting one of the world’s largest and most experienced security teams to help defend their organization.</w:t>
      </w:r>
    </w:p>
    <w:p w14:paraId="4583AAF7" w14:textId="77777777" w:rsidR="00DE3E81" w:rsidRDefault="00DE3E81" w:rsidP="003608D6">
      <w:pPr>
        <w:pStyle w:val="Heading2"/>
        <w:jc w:val="both"/>
      </w:pPr>
      <w:r>
        <w:lastRenderedPageBreak/>
        <w:t>Business Value and Competitive Differentiation for Customers</w:t>
      </w:r>
    </w:p>
    <w:p w14:paraId="6742A2B7" w14:textId="77777777" w:rsidR="00DE3E81" w:rsidRDefault="00DE3E81" w:rsidP="003608D6">
      <w:pPr>
        <w:jc w:val="both"/>
      </w:pPr>
      <w:r>
        <w:t>When positioning Microsoft Cloud Security to customers, it’s critical to tie the capabilities to business outcomes. Microsoft’s integrated security delivers several clear advantages that matter to business and technical decision-makers:</w:t>
      </w:r>
    </w:p>
    <w:p w14:paraId="02693049" w14:textId="77777777" w:rsidR="00DE3E81" w:rsidRDefault="00DE3E81" w:rsidP="003608D6">
      <w:pPr>
        <w:pStyle w:val="ListParagraph"/>
        <w:numPr>
          <w:ilvl w:val="0"/>
          <w:numId w:val="21"/>
        </w:numPr>
        <w:spacing w:after="160" w:line="279" w:lineRule="auto"/>
        <w:jc w:val="both"/>
      </w:pPr>
      <w:r>
        <w:t>Reduced Risk of Breaches and Downtime: By covering all attack vectors with best-in-class solutions that work in concert, Microsoft helps organizations dramatically lower their risk. The Microsoft Digital Defense Report and independent studies highlight that most attacks start with identity compromise or phishing – areas where Microsoft 365’s defenses are particularly strong. For instance, simply enabling MFA (</w:t>
      </w:r>
      <w:proofErr w:type="gramStart"/>
      <w:r>
        <w:t>included</w:t>
      </w:r>
      <w:proofErr w:type="gramEnd"/>
      <w:r>
        <w:t xml:space="preserve"> with Entra ID) can prevent 99% of account breaches. By catching attacks earlier and automating response, Microsoft’s XDR approach also reduces “dwell time” (the time an attacker is in the environment) and mitigates damage. According to a recent Forrester Total Economic Impact study, organizations adopting Microsoft Security saw the likelihood of a major breach incident drop by 72%, thanks to an improved security </w:t>
      </w:r>
      <w:proofErr w:type="gramStart"/>
      <w:r>
        <w:t>posture .</w:t>
      </w:r>
      <w:proofErr w:type="gramEnd"/>
      <w:r>
        <w:t xml:space="preserve"> This reduction in risk directly translates into avoided costs (mitigating potentially millions in breach losses) and less business disruption – a powerful business value argument.</w:t>
      </w:r>
    </w:p>
    <w:p w14:paraId="186DFFEB" w14:textId="77777777" w:rsidR="00DE3E81" w:rsidRDefault="00DE3E81" w:rsidP="003608D6">
      <w:pPr>
        <w:pStyle w:val="ListParagraph"/>
        <w:numPr>
          <w:ilvl w:val="0"/>
          <w:numId w:val="21"/>
        </w:numPr>
        <w:spacing w:after="160" w:line="279" w:lineRule="auto"/>
        <w:jc w:val="both"/>
      </w:pPr>
      <w:r>
        <w:t xml:space="preserve">Cost Savings and Simplified Management: Using a unified Microsoft solution can be more cost-effective than a patchwork of point products. Customers can often eliminate redundant vendors – for example, they might drop a third-party email security gateway, endpoint AV, CASB, or SIEM subscription if those needs are met by Microsoft 365 and Azure security capabilities they already own. The Forrester study found that through vendor consolidation, companies reduced solution licensing and usage costs by about 25% over three </w:t>
      </w:r>
      <w:proofErr w:type="gramStart"/>
      <w:r>
        <w:t>years .</w:t>
      </w:r>
      <w:proofErr w:type="gramEnd"/>
      <w:r>
        <w:t xml:space="preserve"> Additionally, the integrated platform reduces administrative overhead: IT and security teams became 50% more efficient on average, because they spend less time managing multiple consoles and chasing integration issues. The net result is significant ROI – in fact, the study reported an overall ROI of 231% and a payback period of under 6 months for organizations that moved to Microsoft’s security </w:t>
      </w:r>
      <w:proofErr w:type="gramStart"/>
      <w:r>
        <w:t>suite .</w:t>
      </w:r>
      <w:proofErr w:type="gramEnd"/>
      <w:r>
        <w:t xml:space="preserve"> As a partner, you can leverage these quantified results to build a strong financial case for Microsoft Cloud Security: it offers better security and lower total cost of ownership (TCO). (Tip: Using Microsoft’s Security Business Case Builder tool can help quantify these benefits for your customer’s specific environment.)</w:t>
      </w:r>
    </w:p>
    <w:p w14:paraId="4EFF91F8" w14:textId="77777777" w:rsidR="00DE3E81" w:rsidRDefault="00DE3E81" w:rsidP="003608D6">
      <w:pPr>
        <w:pStyle w:val="ListParagraph"/>
        <w:numPr>
          <w:ilvl w:val="0"/>
          <w:numId w:val="21"/>
        </w:numPr>
        <w:spacing w:after="160" w:line="279" w:lineRule="auto"/>
        <w:jc w:val="both"/>
      </w:pPr>
      <w:r>
        <w:t xml:space="preserve">User Productivity and Business Enablement: Security is not just about stopping attacks – it’s also about enabling users to work safely without hindrance. Microsoft’s security integrates with the tools employees use (Office, Teams, business apps) in a mostly seamless way – for instance, safe links and attachments work behind the scenes, and single sign-on means fewer login hurdles. Features like Conditional Access can </w:t>
      </w:r>
      <w:proofErr w:type="gramStart"/>
      <w:r>
        <w:t>actually improve</w:t>
      </w:r>
      <w:proofErr w:type="gramEnd"/>
      <w:r>
        <w:t xml:space="preserve"> user experience by allowing flexible remote access but with security checks in place, and Intune ensures devices are secure without heavy user intervention. The Forrester study noted that business users gained back about 1 hour per week in productivity on average due to fewer security frictions and </w:t>
      </w:r>
      <w:proofErr w:type="gramStart"/>
      <w:r>
        <w:t>downtime .</w:t>
      </w:r>
      <w:proofErr w:type="gramEnd"/>
      <w:r>
        <w:t xml:space="preserve"> In competitive positioning, partners can stress that Microsoft’s solution provides security without compromise on usability, whereas overly restrictive or disjointed security tools from multiple vendors might frustrate users and impede adoption.</w:t>
      </w:r>
    </w:p>
    <w:p w14:paraId="3D8FBF65" w14:textId="77777777" w:rsidR="00DE3E81" w:rsidRDefault="00DE3E81" w:rsidP="003608D6">
      <w:pPr>
        <w:pStyle w:val="ListParagraph"/>
        <w:numPr>
          <w:ilvl w:val="0"/>
          <w:numId w:val="21"/>
        </w:numPr>
        <w:spacing w:after="160" w:line="279" w:lineRule="auto"/>
        <w:jc w:val="both"/>
      </w:pPr>
      <w:r>
        <w:t xml:space="preserve">Future-Ready Innovation: Microsoft is continually investing in security innovation – from AI-driven security co-pilots to new areas like IoT/OT security, </w:t>
      </w:r>
      <w:proofErr w:type="spellStart"/>
      <w:r>
        <w:t>DevSecOps</w:t>
      </w:r>
      <w:proofErr w:type="spellEnd"/>
      <w:r>
        <w:t xml:space="preserve">, and Cloud App security – and rolling these advancements into the Microsoft Cloud. Customers choosing Microsoft benefit from an ever-evolving platform that stays ahead of threats. Microsoft has committed substantial resources (over $1 billion annually on cybersecurity R&amp;D in years past, and recently a pledge of $20 billion over five years) and has a roadmap that often leapfrogs point competitors. For example, Microsoft’s introduction of Security Copilot (an AI assistant for security analysts) or its leadership in areas like Cloud Access Security Broker (via Defender for Cloud Apps) show that by partnering with Microsoft, customers get access to cutting-edge </w:t>
      </w:r>
      <w:r>
        <w:lastRenderedPageBreak/>
        <w:t>capabilities sooner. This future-ready aspect is a differentiator against competitors who may specialize in one area but cannot innovate across the holistic platform as Microsoft can. Partners should reassure clients that Microsoft Security is an investment that will continue to deliver new value over time, aligning with emerging security challenges (such as AI-driven threats, as noted in Microsoft’s latest Digital Defense Reports).</w:t>
      </w:r>
    </w:p>
    <w:p w14:paraId="4EAE5989" w14:textId="77777777" w:rsidR="00DE3E81" w:rsidRDefault="00DE3E81" w:rsidP="003608D6">
      <w:pPr>
        <w:pStyle w:val="ListParagraph"/>
        <w:numPr>
          <w:ilvl w:val="0"/>
          <w:numId w:val="21"/>
        </w:numPr>
        <w:spacing w:after="160" w:line="279" w:lineRule="auto"/>
        <w:jc w:val="both"/>
      </w:pPr>
      <w:r>
        <w:t>Competitive Landscape – Microsoft vs. Others: When asked about other vendors (such as legacy antivirus companies, niche security startups, or even other cloud providers like AWS/Google), partners can highlight a few key differentiators:</w:t>
      </w:r>
    </w:p>
    <w:p w14:paraId="11ADC06D" w14:textId="77777777" w:rsidR="00DE3E81" w:rsidRDefault="00DE3E81" w:rsidP="003608D6">
      <w:pPr>
        <w:pStyle w:val="ListParagraph"/>
        <w:numPr>
          <w:ilvl w:val="1"/>
          <w:numId w:val="21"/>
        </w:numPr>
        <w:spacing w:after="160" w:line="279" w:lineRule="auto"/>
        <w:jc w:val="both"/>
      </w:pPr>
      <w:r>
        <w:t xml:space="preserve">Breadth and Integration: Microsoft offers the broadest portfolio – covering everything from identity to endpoint to cloud – whereas most competitors excel only in one or two niches. Fewer vendors </w:t>
      </w:r>
      <w:proofErr w:type="gramStart"/>
      <w:r>
        <w:t>means</w:t>
      </w:r>
      <w:proofErr w:type="gramEnd"/>
      <w:r>
        <w:t xml:space="preserve"> fewer gaps, less integration effort, and a unified user experience for the IT team.</w:t>
      </w:r>
    </w:p>
    <w:p w14:paraId="51BBDF67" w14:textId="77777777" w:rsidR="00DE3E81" w:rsidRDefault="00DE3E81" w:rsidP="003608D6">
      <w:pPr>
        <w:pStyle w:val="ListParagraph"/>
        <w:numPr>
          <w:ilvl w:val="1"/>
          <w:numId w:val="21"/>
        </w:numPr>
        <w:spacing w:after="160" w:line="279" w:lineRule="auto"/>
        <w:jc w:val="both"/>
      </w:pPr>
      <w:r>
        <w:t xml:space="preserve">Depth of Protection: Each of Microsoft’s solutions is enterprise-grade and often top-rated. For instance, Microsoft Defender for Endpoint ranks as a Leader for </w:t>
      </w:r>
      <w:proofErr w:type="gramStart"/>
      <w:r>
        <w:t>endpoint protection</w:t>
      </w:r>
      <w:proofErr w:type="gramEnd"/>
      <w:r>
        <w:t xml:space="preserve"> (Gartner MQ) and has outperformed many traditional AV vendors in independent </w:t>
      </w:r>
      <w:proofErr w:type="gramStart"/>
      <w:r>
        <w:t>evaluations .</w:t>
      </w:r>
      <w:proofErr w:type="gramEnd"/>
      <w:r>
        <w:t xml:space="preserve"> Microsoft Sentinel is a Leader in SIEM; Entra ID is a Leader in Identity (9 years running in Gartner Access Management Magic Quadrant); and so on. This broad leadership is unmatched in the industry.</w:t>
      </w:r>
    </w:p>
    <w:p w14:paraId="2F764909" w14:textId="77777777" w:rsidR="00DE3E81" w:rsidRDefault="00DE3E81" w:rsidP="003608D6">
      <w:pPr>
        <w:pStyle w:val="ListParagraph"/>
        <w:numPr>
          <w:ilvl w:val="1"/>
          <w:numId w:val="21"/>
        </w:numPr>
        <w:spacing w:after="160" w:line="279" w:lineRule="auto"/>
        <w:jc w:val="both"/>
      </w:pPr>
      <w:r>
        <w:t>Unified Data and AI Advantage: Because Microsoft’s tools share data, the cross-domain threat correlations are stronger. Competing architectures often require stitching together data from different products (or may not even share data), which can delay responses or miss complex attack patterns. Microsoft’s AI can draw on a rich, unified data lake of signals to detect threats that siloed tools might overlook.</w:t>
      </w:r>
    </w:p>
    <w:p w14:paraId="67DCB735" w14:textId="77777777" w:rsidR="00DE3E81" w:rsidRDefault="00DE3E81" w:rsidP="003608D6">
      <w:pPr>
        <w:pStyle w:val="ListParagraph"/>
        <w:numPr>
          <w:ilvl w:val="1"/>
          <w:numId w:val="21"/>
        </w:numPr>
        <w:spacing w:after="160" w:line="279" w:lineRule="auto"/>
        <w:jc w:val="both"/>
      </w:pPr>
      <w:r>
        <w:t>Multi-Cloud and Hybrid Support: Unlike some competitors that only protect their own stack, Microsoft’s security extends to other environments too. For example, Defender for Cloud can protect AWS and GCP resources, and Sentinel can ingest logs from virtually anywhere. This gives customers flexibility to secure their entire digital estate with one solution – a key selling point for modern hybrid organizations.</w:t>
      </w:r>
    </w:p>
    <w:p w14:paraId="196D5D66" w14:textId="77777777" w:rsidR="00DE3E81" w:rsidRDefault="00DE3E81" w:rsidP="003608D6">
      <w:pPr>
        <w:pStyle w:val="ListParagraph"/>
        <w:numPr>
          <w:ilvl w:val="1"/>
          <w:numId w:val="21"/>
        </w:numPr>
        <w:spacing w:after="160" w:line="279" w:lineRule="auto"/>
        <w:jc w:val="both"/>
      </w:pPr>
      <w:r>
        <w:t>Trust and Compliance: Microsoft’s long history in enterprise software means its cloud meets rigorous security and privacy standards. Microsoft Azure and Microsoft 365 have over 100 regulatory and industry certifications worldwide, the most of any cloud provider, and are used by governments and regulated industries globally. This level of trust can be hard for lesser-known security vendors or newer cloud providers to match.</w:t>
      </w:r>
    </w:p>
    <w:p w14:paraId="13A4D02C" w14:textId="77777777" w:rsidR="00DE3E81" w:rsidRDefault="00DE3E81" w:rsidP="003608D6">
      <w:pPr>
        <w:jc w:val="both"/>
      </w:pPr>
      <w:r>
        <w:t>By communicating these points, partners can effectively position Microsoft Cloud Security as a superior alternative to competing solutions, whether the customer is considering another security vendor or evaluating the native security of a non-Microsoft cloud. The goal is to show that with Microsoft, they get both best-in-class protection and the simplicity of a one-vendor solution.</w:t>
      </w:r>
    </w:p>
    <w:p w14:paraId="34D2F1B7" w14:textId="77777777" w:rsidR="00DE3E81" w:rsidRDefault="00DE3E81" w:rsidP="003608D6">
      <w:pPr>
        <w:pStyle w:val="Heading2"/>
        <w:jc w:val="both"/>
      </w:pPr>
      <w:r>
        <w:t>Partner Sales Strategies and Opportunities</w:t>
      </w:r>
    </w:p>
    <w:p w14:paraId="1B8FC922" w14:textId="77777777" w:rsidR="00DE3E81" w:rsidRDefault="00DE3E81" w:rsidP="003608D6">
      <w:pPr>
        <w:jc w:val="both"/>
      </w:pPr>
      <w:r>
        <w:t>For resellers and partners, Microsoft’s comprehensive security portfolio not only addresses customer needs but also opens doors for business growth. Here are strategies to maximize success in selling Microsoft Cloud Security:</w:t>
      </w:r>
    </w:p>
    <w:p w14:paraId="7623D40C" w14:textId="77777777" w:rsidR="00DE3E81" w:rsidRDefault="00DE3E81" w:rsidP="003608D6">
      <w:pPr>
        <w:pStyle w:val="ListParagraph"/>
        <w:numPr>
          <w:ilvl w:val="0"/>
          <w:numId w:val="22"/>
        </w:numPr>
        <w:spacing w:after="160" w:line="279" w:lineRule="auto"/>
        <w:jc w:val="both"/>
      </w:pPr>
      <w:r>
        <w:t xml:space="preserve">Lead with Business Outcomes: In customer conversations, focus on the outcomes (risk reduction, cost savings, compliance achieved, productivity gained) rather than just product features. Use the quantified results from studies (e.g. “72% fewer breaches” or “231% ROI”) to build a business case. Microsoft provides tools like the Security Business Case Builder to help partners tailor these value calculations to each </w:t>
      </w:r>
      <w:r>
        <w:lastRenderedPageBreak/>
        <w:t>customer. Leading with outcomes makes the case more compelling to executives and non-technical stakeholders.</w:t>
      </w:r>
    </w:p>
    <w:p w14:paraId="578AC120" w14:textId="77777777" w:rsidR="00DE3E81" w:rsidRDefault="00DE3E81" w:rsidP="003608D6">
      <w:pPr>
        <w:pStyle w:val="ListParagraph"/>
        <w:numPr>
          <w:ilvl w:val="0"/>
          <w:numId w:val="22"/>
        </w:numPr>
        <w:spacing w:after="160" w:line="279" w:lineRule="auto"/>
        <w:jc w:val="both"/>
      </w:pPr>
      <w:r>
        <w:t>Bundle and Upsell: Take advantage of the breadth of Microsoft’s portfolio by bundling solutions. For example, if a customer is already using Microsoft 365 E3, explain the added security benefits of upgrading to Microsoft 365 E5 (which includes Defender for Office 365, Defender for Endpoint, Microsoft Purview, etc.). Similarly, if they run workloads in Azure, discuss enabling Defender for Cloud and Sentinel to complete their security coverage. Bundling not only increases licensing revenue for partners but also reinforces the “better together” story – the more of the Microsoft stack the customer adopts, the stronger their security posture can become.</w:t>
      </w:r>
    </w:p>
    <w:p w14:paraId="011FD0B4" w14:textId="77777777" w:rsidR="00DE3E81" w:rsidRDefault="00DE3E81" w:rsidP="003608D6">
      <w:pPr>
        <w:pStyle w:val="ListParagraph"/>
        <w:numPr>
          <w:ilvl w:val="0"/>
          <w:numId w:val="22"/>
        </w:numPr>
        <w:spacing w:after="160" w:line="279" w:lineRule="auto"/>
        <w:jc w:val="both"/>
      </w:pPr>
      <w:r>
        <w:t xml:space="preserve">Develop Specialized Services on Top of Microsoft Security: Many customers will need guidance to fully utilize these tools. This is an opportunity for partners to offer value-added services – such as security assessments, deployment and integration services, managed security (MSSP) offerings, or incident response retainers – all built around Microsoft’s technologies. For instance, you might offer a managed SOC service powered by Microsoft Sentinel, or a compliance consulting package leveraging Microsoft Purview. Microsoft’s partner programs even recognize specializations in security domains (e.g., identity, threat protection, cloud security), which can help differentiate your firm and attract </w:t>
      </w:r>
      <w:proofErr w:type="gramStart"/>
      <w:r>
        <w:t>customers .</w:t>
      </w:r>
      <w:proofErr w:type="gramEnd"/>
      <w:r>
        <w:t xml:space="preserve"> By positioning such services, partners can drive recurring revenue beyond just license resale, leveraging Microsoft tools as a platform for solutions.</w:t>
      </w:r>
    </w:p>
    <w:p w14:paraId="3C964855" w14:textId="77777777" w:rsidR="00DE3E81" w:rsidRDefault="00DE3E81" w:rsidP="003608D6">
      <w:pPr>
        <w:pStyle w:val="ListParagraph"/>
        <w:numPr>
          <w:ilvl w:val="0"/>
          <w:numId w:val="22"/>
        </w:numPr>
        <w:spacing w:after="160" w:line="279" w:lineRule="auto"/>
        <w:jc w:val="both"/>
      </w:pPr>
      <w:r>
        <w:t>Utilize Microsoft Partner Resources and Incentives: Microsoft is heavily invested in partner success in security. Make sure to leverage the Microsoft AI Cloud Partner Program – Security benefits, which may include training, co-selling opportunities, and funds for customer engagements. Stay up to date with Microsoft’s partner playbooks and pitch decks for security (often available via the partner portal) to align with proven sales narratives. Highlight Microsoft’s continued investment in partner growth – for example, a recent report noted Microsoft Security partners achieved an average 20% profit growth by expanding their security offerings, indicating strong market demand. Additionally, calling out the latest awards or recognitions your firm has (like Microsoft Security Partner of the Year) can build customer confidence.</w:t>
      </w:r>
    </w:p>
    <w:p w14:paraId="6C61AE88" w14:textId="77777777" w:rsidR="00DE3E81" w:rsidRDefault="00DE3E81" w:rsidP="003608D6">
      <w:pPr>
        <w:pStyle w:val="ListParagraph"/>
        <w:numPr>
          <w:ilvl w:val="0"/>
          <w:numId w:val="22"/>
        </w:numPr>
        <w:spacing w:after="160" w:line="279" w:lineRule="auto"/>
        <w:jc w:val="both"/>
      </w:pPr>
      <w:r>
        <w:t>Address Customer Concerns Proactively: Be prepared to answer common customer questions, such as:</w:t>
      </w:r>
    </w:p>
    <w:p w14:paraId="7A7191E9" w14:textId="77777777" w:rsidR="00DE3E81" w:rsidRDefault="00DE3E81" w:rsidP="003608D6">
      <w:pPr>
        <w:pStyle w:val="ListParagraph"/>
        <w:numPr>
          <w:ilvl w:val="1"/>
          <w:numId w:val="22"/>
        </w:numPr>
        <w:spacing w:after="160" w:line="279" w:lineRule="auto"/>
        <w:jc w:val="both"/>
      </w:pPr>
      <w:r>
        <w:t>“Will Microsoft security work with our existing tools?” – Yes, Microsoft’s security products have integrations and APIs for third-party systems, and their SIEM (Sentinel) is designed to aggregate data from virtually any source. You can give examples of integrating other clouds, on-premise appliances, or business applications.</w:t>
      </w:r>
    </w:p>
    <w:p w14:paraId="71F7973F" w14:textId="77777777" w:rsidR="00DE3E81" w:rsidRDefault="00DE3E81" w:rsidP="003608D6">
      <w:pPr>
        <w:pStyle w:val="ListParagraph"/>
        <w:numPr>
          <w:ilvl w:val="1"/>
          <w:numId w:val="22"/>
        </w:numPr>
        <w:spacing w:after="160" w:line="279" w:lineRule="auto"/>
        <w:jc w:val="both"/>
      </w:pPr>
      <w:r>
        <w:t>“Is Microsoft security only for Windows or Azure?” – No, Microsoft’s security extends to multiple operating systems (Windows, Linux, macOS, iOS, Android) and can protect resources in AWS, GCP, on-premises, and SaaS apps. It’s a cross-platform, multi-cloud solution, which is a key advantage.</w:t>
      </w:r>
    </w:p>
    <w:p w14:paraId="4272329D" w14:textId="77777777" w:rsidR="00DE3E81" w:rsidRDefault="00DE3E81" w:rsidP="003608D6">
      <w:pPr>
        <w:pStyle w:val="ListParagraph"/>
        <w:numPr>
          <w:ilvl w:val="1"/>
          <w:numId w:val="22"/>
        </w:numPr>
        <w:spacing w:after="160" w:line="279" w:lineRule="auto"/>
        <w:jc w:val="both"/>
      </w:pPr>
      <w:r>
        <w:t xml:space="preserve">“How does Microsoft compare to dedicated security vendors?” – Emphasize the earlier competitive differentiators: Microsoft’s unique scale of threat intelligence, the integration and automation yielding better protection, and the fact that independent evaluators and analysts rank Microsoft among or above those vendors in most </w:t>
      </w:r>
      <w:proofErr w:type="gramStart"/>
      <w:r>
        <w:t>categories .</w:t>
      </w:r>
      <w:proofErr w:type="gramEnd"/>
    </w:p>
    <w:p w14:paraId="320C8C13" w14:textId="77777777" w:rsidR="00DE3E81" w:rsidRDefault="00DE3E81" w:rsidP="003608D6">
      <w:pPr>
        <w:pStyle w:val="ListParagraph"/>
        <w:numPr>
          <w:ilvl w:val="1"/>
          <w:numId w:val="22"/>
        </w:numPr>
        <w:spacing w:after="160" w:line="279" w:lineRule="auto"/>
        <w:jc w:val="both"/>
      </w:pPr>
      <w:r>
        <w:t>“Will this help with compliance?” – Absolutely. Walk through Microsoft’s compliance offerings and perhaps mention that Microsoft has more certifications and is trusted by enterprises and governments worldwide, making it easier for customers to meet requirements using built-in tools (like Compliance Manager, DLP, eDiscovery, etc., under Purview).</w:t>
      </w:r>
    </w:p>
    <w:p w14:paraId="780C5F37" w14:textId="77777777" w:rsidR="003608D6" w:rsidRDefault="003608D6" w:rsidP="003608D6">
      <w:pPr>
        <w:spacing w:after="160" w:line="279" w:lineRule="auto"/>
        <w:jc w:val="both"/>
      </w:pPr>
    </w:p>
    <w:p w14:paraId="266682FB" w14:textId="77777777" w:rsidR="00DE3E81" w:rsidRDefault="00DE3E81" w:rsidP="003608D6">
      <w:pPr>
        <w:pStyle w:val="ListParagraph"/>
        <w:numPr>
          <w:ilvl w:val="0"/>
          <w:numId w:val="22"/>
        </w:numPr>
        <w:spacing w:after="160" w:line="279" w:lineRule="auto"/>
        <w:jc w:val="both"/>
      </w:pPr>
      <w:r>
        <w:lastRenderedPageBreak/>
        <w:t>Show, Don’t Just Tell: Whenever possible, supplement your sales pitches with demos or trials. Microsoft’s security tools often show well in action – e.g., demonstrate how an attack is detected in an end-to-end scenario (phishing email to ransomware stopped by Defender, surfaced in Sentinel dashboards). Microsoft offers demo environments and videos that partners can use. Seeing the unified portals and real-time protection in action can convince customers that the products are robust and easy to use.</w:t>
      </w:r>
    </w:p>
    <w:p w14:paraId="45BB9500" w14:textId="77777777" w:rsidR="00DE3E81" w:rsidRDefault="00DE3E81" w:rsidP="003608D6">
      <w:pPr>
        <w:pStyle w:val="Heading2"/>
        <w:jc w:val="both"/>
      </w:pPr>
      <w:r>
        <w:t>Conclusion</w:t>
      </w:r>
    </w:p>
    <w:p w14:paraId="484FF538" w14:textId="77777777" w:rsidR="00DE3E81" w:rsidRDefault="00DE3E81" w:rsidP="003608D6">
      <w:pPr>
        <w:jc w:val="both"/>
      </w:pPr>
      <w:r>
        <w:t>Microsoft’s Cloud Security stack for Microsoft 365 and Azure represents a powerful, integrated approach to enterprise security – one that is designed to protect modern organizations against today’s advanced threats while delivering significant business value. As a reseller or partner, aligning with Microsoft Security allows you to offer your clients a holistic solution from a provider that is an established, trusted leader in the cybersecurity space. By focusing on the outcomes (protection, compliance, cost savings, productivity) and leveraging Microsoft’s rich set of partner resources, you can effectively address customer challenges and drive growth for your own business.</w:t>
      </w:r>
    </w:p>
    <w:p w14:paraId="3E7F457A" w14:textId="77777777" w:rsidR="00DE3E81" w:rsidRDefault="00DE3E81" w:rsidP="003608D6">
      <w:pPr>
        <w:jc w:val="both"/>
      </w:pPr>
      <w:r>
        <w:t xml:space="preserve">In summary, Microsoft Cloud Security (Microsoft 365 + Azure) empowers you to deliver world-class security to customers – protecting everything from email and endpoints to identities and cloud workloads – all through a unified platform that is intelligent, simplified, and backed by unmatched threat insight. This comprehensive, business-focused approach will help your customers stay secure and </w:t>
      </w:r>
      <w:proofErr w:type="gramStart"/>
      <w:r>
        <w:t>resilient, and</w:t>
      </w:r>
      <w:proofErr w:type="gramEnd"/>
      <w:r>
        <w:t xml:space="preserve"> help you stand out as a go-to trusted security advisor in the market.</w:t>
      </w:r>
    </w:p>
    <w:bookmarkEnd w:id="8"/>
    <w:bookmarkEnd w:id="7"/>
    <w:bookmarkEnd w:id="6"/>
    <w:bookmarkEnd w:id="5"/>
    <w:bookmarkEnd w:id="4"/>
    <w:bookmarkEnd w:id="3"/>
    <w:bookmarkEnd w:id="2"/>
    <w:bookmarkEnd w:id="1"/>
    <w:bookmarkEnd w:id="0"/>
    <w:p w14:paraId="303016FB" w14:textId="77777777" w:rsidR="00DE3E81" w:rsidRDefault="00DE3E81" w:rsidP="00145FAD"/>
    <w:sectPr w:rsidR="00DE3E81" w:rsidSect="00EE03B4">
      <w:headerReference w:type="default" r:id="rId11"/>
      <w:footerReference w:type="even" r:id="rId12"/>
      <w:footerReference w:type="default" r:id="rId13"/>
      <w:footerReference w:type="first" r:id="rId1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3722A" w14:textId="77777777" w:rsidR="00AF66FB" w:rsidRDefault="00AF66FB" w:rsidP="00EE03B4">
      <w:pPr>
        <w:spacing w:after="0" w:line="240" w:lineRule="auto"/>
      </w:pPr>
      <w:r>
        <w:separator/>
      </w:r>
    </w:p>
  </w:endnote>
  <w:endnote w:type="continuationSeparator" w:id="0">
    <w:p w14:paraId="1F500438" w14:textId="77777777" w:rsidR="00AF66FB" w:rsidRDefault="00AF66FB" w:rsidP="00EE03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egoe Light">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C9DE1" w14:textId="601D7625" w:rsidR="00A85AEE" w:rsidRDefault="00A85AEE">
    <w:pPr>
      <w:pStyle w:val="Footer"/>
    </w:pPr>
    <w:r>
      <w:rPr>
        <w:noProof/>
      </w:rPr>
      <mc:AlternateContent>
        <mc:Choice Requires="wps">
          <w:drawing>
            <wp:anchor distT="0" distB="0" distL="0" distR="0" simplePos="0" relativeHeight="251660288" behindDoc="0" locked="0" layoutInCell="1" allowOverlap="1" wp14:anchorId="654A51BD" wp14:editId="596EF212">
              <wp:simplePos x="635" y="635"/>
              <wp:positionH relativeFrom="page">
                <wp:align>left</wp:align>
              </wp:positionH>
              <wp:positionV relativeFrom="page">
                <wp:align>bottom</wp:align>
              </wp:positionV>
              <wp:extent cx="1946910" cy="361315"/>
              <wp:effectExtent l="0" t="0" r="15240" b="0"/>
              <wp:wrapNone/>
              <wp:docPr id="942435979" name="Text Box 4"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54A51BD" id="_x0000_t202" coordsize="21600,21600" o:spt="202" path="m,l,21600r21600,l21600,xe">
              <v:stroke joinstyle="miter"/>
              <v:path gradientshapeok="t" o:connecttype="rect"/>
            </v:shapetype>
            <v:shape id="Text Box 4" o:spid="_x0000_s1026" type="#_x0000_t202" alt="Information Classification: Public " style="position:absolute;margin-left:0;margin-top:0;width:153.3pt;height:28.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" filled="f" stroked="f">
              <v:textbox style="mso-fit-shape-to-text:t" inset="20pt,0,0,15pt">
                <w:txbxContent>
                  <w:p w14:paraId="2611434B" w14:textId="7F4F528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FB52" w14:textId="716B4993" w:rsidR="004A7203" w:rsidRDefault="00A85AEE">
    <w:pPr>
      <w:pStyle w:val="Footer"/>
      <w:jc w:val="center"/>
    </w:pPr>
    <w:r>
      <w:rPr>
        <w:noProof/>
      </w:rPr>
      <mc:AlternateContent>
        <mc:Choice Requires="wps">
          <w:drawing>
            <wp:anchor distT="0" distB="0" distL="0" distR="0" simplePos="0" relativeHeight="251661312" behindDoc="0" locked="0" layoutInCell="1" allowOverlap="1" wp14:anchorId="3BF28004" wp14:editId="6865DB00">
              <wp:simplePos x="915035" y="9291955"/>
              <wp:positionH relativeFrom="page">
                <wp:align>left</wp:align>
              </wp:positionH>
              <wp:positionV relativeFrom="page">
                <wp:align>bottom</wp:align>
              </wp:positionV>
              <wp:extent cx="1946910" cy="361315"/>
              <wp:effectExtent l="0" t="0" r="15240" b="0"/>
              <wp:wrapNone/>
              <wp:docPr id="2020843777" name="Text Box 5"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BF28004" id="_x0000_t202" coordsize="21600,21600" o:spt="202" path="m,l,21600r21600,l21600,xe">
              <v:stroke joinstyle="miter"/>
              <v:path gradientshapeok="t" o:connecttype="rect"/>
            </v:shapetype>
            <v:shape id="Text Box 5" o:spid="_x0000_s1027" type="#_x0000_t202" alt="Information Classification: Public " style="position:absolute;left:0;text-align:left;margin-left:0;margin-top:0;width:153.3pt;height:28.4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" filled="f" stroked="f">
              <v:textbox style="mso-fit-shape-to-text:t" inset="20pt,0,0,15pt">
                <w:txbxContent>
                  <w:p w14:paraId="6BB5DA73" w14:textId="3A8A7074"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p w14:paraId="62BF571F" w14:textId="77777777" w:rsidR="004A7203" w:rsidRDefault="004A720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DBE6" w14:textId="3A0816B5" w:rsidR="00A85AEE" w:rsidRDefault="00A85AEE">
    <w:pPr>
      <w:pStyle w:val="Footer"/>
    </w:pPr>
    <w:r>
      <w:rPr>
        <w:noProof/>
      </w:rPr>
      <mc:AlternateContent>
        <mc:Choice Requires="wps">
          <w:drawing>
            <wp:anchor distT="0" distB="0" distL="0" distR="0" simplePos="0" relativeHeight="251659264" behindDoc="0" locked="0" layoutInCell="1" allowOverlap="1" wp14:anchorId="635BF98A" wp14:editId="0ED82A58">
              <wp:simplePos x="914400" y="9448800"/>
              <wp:positionH relativeFrom="page">
                <wp:align>left</wp:align>
              </wp:positionH>
              <wp:positionV relativeFrom="page">
                <wp:align>bottom</wp:align>
              </wp:positionV>
              <wp:extent cx="1946910" cy="361315"/>
              <wp:effectExtent l="0" t="0" r="15240" b="0"/>
              <wp:wrapNone/>
              <wp:docPr id="1175924996" name="Text Box 3" descr="Information Classification: Public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946910" cy="361315"/>
                      </a:xfrm>
                      <a:prstGeom prst="rect">
                        <a:avLst/>
                      </a:prstGeom>
                      <a:noFill/>
                      <a:ln>
                        <a:noFill/>
                      </a:ln>
                    </wps:spPr>
                    <wps:txbx>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35BF98A" id="_x0000_t202" coordsize="21600,21600" o:spt="202" path="m,l,21600r21600,l21600,xe">
              <v:stroke joinstyle="miter"/>
              <v:path gradientshapeok="t" o:connecttype="rect"/>
            </v:shapetype>
            <v:shape id="Text Box 3" o:spid="_x0000_s1028" type="#_x0000_t202" alt="Information Classification: Public " style="position:absolute;margin-left:0;margin-top:0;width:153.3pt;height:28.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" filled="f" stroked="f">
              <v:textbox style="mso-fit-shape-to-text:t" inset="20pt,0,0,15pt">
                <w:txbxContent>
                  <w:p w14:paraId="286FF6D8" w14:textId="6A5D7962" w:rsidR="00A85AEE" w:rsidRPr="00A85AEE" w:rsidRDefault="00A85AEE" w:rsidP="00A85AEE">
                    <w:pPr>
                      <w:spacing w:after="0"/>
                      <w:rPr>
                        <w:rFonts w:ascii="Calibri" w:eastAsia="Calibri" w:hAnsi="Calibri" w:cs="Calibri"/>
                        <w:noProof/>
                        <w:color w:val="000000"/>
                      </w:rPr>
                    </w:pPr>
                    <w:r w:rsidRPr="00A85AEE">
                      <w:rPr>
                        <w:rFonts w:ascii="Calibri" w:eastAsia="Calibri" w:hAnsi="Calibri" w:cs="Calibri"/>
                        <w:noProof/>
                        <w:color w:val="000000"/>
                      </w:rPr>
                      <w:t xml:space="preserve">Information Classification: Public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20350" w14:textId="77777777" w:rsidR="00AF66FB" w:rsidRDefault="00AF66FB" w:rsidP="00EE03B4">
      <w:pPr>
        <w:spacing w:after="0" w:line="240" w:lineRule="auto"/>
      </w:pPr>
      <w:r>
        <w:separator/>
      </w:r>
    </w:p>
  </w:footnote>
  <w:footnote w:type="continuationSeparator" w:id="0">
    <w:p w14:paraId="67798BA3" w14:textId="77777777" w:rsidR="00AF66FB" w:rsidRDefault="00AF66FB" w:rsidP="00EE03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6FC8" w14:textId="1C176DA1" w:rsidR="004A7203" w:rsidRPr="00C82620" w:rsidRDefault="00AF0FBB" w:rsidP="00DE6D2C">
    <w:pPr>
      <w:pStyle w:val="Header"/>
      <w:rPr>
        <w:sz w:val="16"/>
        <w:szCs w:val="16"/>
      </w:rPr>
    </w:pPr>
    <w:r>
      <w:rPr>
        <w:noProof/>
        <w:color w:val="1F497D"/>
      </w:rPr>
      <w:drawing>
        <wp:anchor distT="0" distB="0" distL="114300" distR="114300" simplePos="0" relativeHeight="251658240" behindDoc="0" locked="0" layoutInCell="1" allowOverlap="1" wp14:anchorId="22415CB5" wp14:editId="00222BBF">
          <wp:simplePos x="0" y="0"/>
          <wp:positionH relativeFrom="margin">
            <wp:align>right</wp:align>
          </wp:positionH>
          <wp:positionV relativeFrom="paragraph">
            <wp:posOffset>-123825</wp:posOffset>
          </wp:positionV>
          <wp:extent cx="1476375" cy="428625"/>
          <wp:effectExtent l="0" t="0" r="9525" b="9525"/>
          <wp:wrapThrough wrapText="bothSides">
            <wp:wrapPolygon edited="0">
              <wp:start x="0" y="0"/>
              <wp:lineTo x="0" y="21120"/>
              <wp:lineTo x="21461" y="21120"/>
              <wp:lineTo x="21461"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anchor>
      </w:drawing>
    </w:r>
    <w:r w:rsidR="004A7203">
      <w:rPr>
        <w:sz w:val="16"/>
        <w:szCs w:val="16"/>
      </w:rPr>
      <w:tab/>
    </w:r>
    <w:r w:rsidR="004A7203">
      <w:rPr>
        <w:sz w:val="16"/>
        <w:szCs w:val="16"/>
      </w:rPr>
      <w:tab/>
    </w:r>
    <w:r w:rsidR="004A7203">
      <w:rPr>
        <w:sz w:val="16"/>
        <w:szCs w:val="16"/>
      </w:rPr>
      <w:tab/>
    </w:r>
  </w:p>
  <w:p w14:paraId="467A41AB" w14:textId="77777777" w:rsidR="004A7203" w:rsidRDefault="004A7203">
    <w:pPr>
      <w:pStyle w:val="Header"/>
    </w:pPr>
  </w:p>
  <w:p w14:paraId="5B361A2E" w14:textId="77777777" w:rsidR="004A7203" w:rsidRDefault="004A7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1EE0"/>
    <w:multiLevelType w:val="hybridMultilevel"/>
    <w:tmpl w:val="646C1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FC384F"/>
    <w:multiLevelType w:val="hybridMultilevel"/>
    <w:tmpl w:val="BB88E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A83DB8"/>
    <w:multiLevelType w:val="hybridMultilevel"/>
    <w:tmpl w:val="B4A22F1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3" w15:restartNumberingAfterBreak="0">
    <w:nsid w:val="0A8A6209"/>
    <w:multiLevelType w:val="hybridMultilevel"/>
    <w:tmpl w:val="FFFFFFFF"/>
    <w:lvl w:ilvl="0" w:tplc="302C64D2">
      <w:start w:val="1"/>
      <w:numFmt w:val="bullet"/>
      <w:lvlText w:val=""/>
      <w:lvlJc w:val="left"/>
      <w:pPr>
        <w:ind w:left="720" w:hanging="360"/>
      </w:pPr>
      <w:rPr>
        <w:rFonts w:ascii="Symbol" w:eastAsia="Symbol" w:hAnsi="Symbol" w:cs="Symbol"/>
      </w:rPr>
    </w:lvl>
    <w:lvl w:ilvl="1" w:tplc="375E5F22">
      <w:start w:val="1"/>
      <w:numFmt w:val="bullet"/>
      <w:lvlText w:val="o"/>
      <w:lvlJc w:val="left"/>
      <w:pPr>
        <w:ind w:left="1440" w:hanging="360"/>
      </w:pPr>
      <w:rPr>
        <w:rFonts w:ascii="Courier New" w:eastAsia="Courier New" w:hAnsi="Courier New" w:cs="Courier New"/>
      </w:rPr>
    </w:lvl>
    <w:lvl w:ilvl="2" w:tplc="FF946D16">
      <w:start w:val="1"/>
      <w:numFmt w:val="bullet"/>
      <w:lvlText w:val=""/>
      <w:lvlJc w:val="left"/>
      <w:pPr>
        <w:ind w:left="2160" w:hanging="360"/>
      </w:pPr>
      <w:rPr>
        <w:rFonts w:ascii="Wingdings" w:eastAsia="Wingdings" w:hAnsi="Wingdings" w:cs="Wingdings"/>
      </w:rPr>
    </w:lvl>
    <w:lvl w:ilvl="3" w:tplc="7DD27E82">
      <w:start w:val="1"/>
      <w:numFmt w:val="bullet"/>
      <w:lvlText w:val=""/>
      <w:lvlJc w:val="left"/>
      <w:pPr>
        <w:ind w:left="2880" w:hanging="360"/>
      </w:pPr>
      <w:rPr>
        <w:rFonts w:ascii="Symbol" w:eastAsia="Symbol" w:hAnsi="Symbol" w:cs="Symbol"/>
      </w:rPr>
    </w:lvl>
    <w:lvl w:ilvl="4" w:tplc="BBA08220">
      <w:start w:val="1"/>
      <w:numFmt w:val="bullet"/>
      <w:lvlText w:val="o"/>
      <w:lvlJc w:val="left"/>
      <w:pPr>
        <w:ind w:left="3600" w:hanging="360"/>
      </w:pPr>
      <w:rPr>
        <w:rFonts w:ascii="Courier New" w:eastAsia="Courier New" w:hAnsi="Courier New" w:cs="Courier New"/>
      </w:rPr>
    </w:lvl>
    <w:lvl w:ilvl="5" w:tplc="ADCCF188">
      <w:start w:val="1"/>
      <w:numFmt w:val="bullet"/>
      <w:lvlText w:val=""/>
      <w:lvlJc w:val="left"/>
      <w:pPr>
        <w:ind w:left="4320" w:hanging="360"/>
      </w:pPr>
      <w:rPr>
        <w:rFonts w:ascii="Wingdings" w:eastAsia="Wingdings" w:hAnsi="Wingdings" w:cs="Wingdings"/>
      </w:rPr>
    </w:lvl>
    <w:lvl w:ilvl="6" w:tplc="74EE4F0A">
      <w:start w:val="1"/>
      <w:numFmt w:val="bullet"/>
      <w:lvlText w:val=""/>
      <w:lvlJc w:val="left"/>
      <w:pPr>
        <w:ind w:left="5040" w:hanging="360"/>
      </w:pPr>
      <w:rPr>
        <w:rFonts w:ascii="Symbol" w:eastAsia="Symbol" w:hAnsi="Symbol" w:cs="Symbol"/>
      </w:rPr>
    </w:lvl>
    <w:lvl w:ilvl="7" w:tplc="A57C0F38">
      <w:start w:val="1"/>
      <w:numFmt w:val="bullet"/>
      <w:lvlText w:val="o"/>
      <w:lvlJc w:val="left"/>
      <w:pPr>
        <w:ind w:left="5760" w:hanging="360"/>
      </w:pPr>
      <w:rPr>
        <w:rFonts w:ascii="Courier New" w:eastAsia="Courier New" w:hAnsi="Courier New" w:cs="Courier New"/>
      </w:rPr>
    </w:lvl>
    <w:lvl w:ilvl="8" w:tplc="493E663E">
      <w:start w:val="1"/>
      <w:numFmt w:val="bullet"/>
      <w:lvlText w:val=""/>
      <w:lvlJc w:val="left"/>
      <w:pPr>
        <w:ind w:left="6480" w:hanging="360"/>
      </w:pPr>
      <w:rPr>
        <w:rFonts w:ascii="Wingdings" w:eastAsia="Wingdings" w:hAnsi="Wingdings" w:cs="Wingdings"/>
      </w:rPr>
    </w:lvl>
  </w:abstractNum>
  <w:abstractNum w:abstractNumId="4" w15:restartNumberingAfterBreak="0">
    <w:nsid w:val="0CFC4490"/>
    <w:multiLevelType w:val="hybridMultilevel"/>
    <w:tmpl w:val="19E26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DBC0EF1"/>
    <w:multiLevelType w:val="hybridMultilevel"/>
    <w:tmpl w:val="DA5C9E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0F07E3A"/>
    <w:multiLevelType w:val="hybridMultilevel"/>
    <w:tmpl w:val="A8C870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0022B4"/>
    <w:multiLevelType w:val="hybridMultilevel"/>
    <w:tmpl w:val="345635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B61F39"/>
    <w:multiLevelType w:val="hybridMultilevel"/>
    <w:tmpl w:val="1D942D04"/>
    <w:lvl w:ilvl="0" w:tplc="4F409ACC">
      <w:start w:val="1"/>
      <w:numFmt w:val="bullet"/>
      <w:lvlText w:val="o"/>
      <w:lvlJc w:val="left"/>
      <w:pPr>
        <w:ind w:left="10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3034BAF8">
      <w:start w:val="1"/>
      <w:numFmt w:val="bullet"/>
      <w:lvlText w:val=""/>
      <w:lvlJc w:val="left"/>
      <w:pPr>
        <w:ind w:left="178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5B042F8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360B2C6">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42D7DC">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614015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56081A6">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E1E445A">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04C5E84">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259749BA"/>
    <w:multiLevelType w:val="hybridMultilevel"/>
    <w:tmpl w:val="4788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5B14A7"/>
    <w:multiLevelType w:val="hybridMultilevel"/>
    <w:tmpl w:val="157E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E6DCF0"/>
    <w:multiLevelType w:val="hybridMultilevel"/>
    <w:tmpl w:val="FFFFFFFF"/>
    <w:lvl w:ilvl="0" w:tplc="9C6C583E">
      <w:start w:val="1"/>
      <w:numFmt w:val="bullet"/>
      <w:lvlText w:val=""/>
      <w:lvlJc w:val="left"/>
      <w:pPr>
        <w:ind w:left="720" w:hanging="360"/>
      </w:pPr>
      <w:rPr>
        <w:rFonts w:ascii="Symbol" w:eastAsia="Symbol" w:hAnsi="Symbol" w:cs="Symbol"/>
      </w:rPr>
    </w:lvl>
    <w:lvl w:ilvl="1" w:tplc="D6DE8442">
      <w:start w:val="1"/>
      <w:numFmt w:val="bullet"/>
      <w:lvlText w:val="o"/>
      <w:lvlJc w:val="left"/>
      <w:pPr>
        <w:ind w:left="1440" w:hanging="360"/>
      </w:pPr>
      <w:rPr>
        <w:rFonts w:ascii="Courier New" w:eastAsia="Courier New" w:hAnsi="Courier New" w:cs="Courier New"/>
      </w:rPr>
    </w:lvl>
    <w:lvl w:ilvl="2" w:tplc="5978B0AA">
      <w:start w:val="1"/>
      <w:numFmt w:val="bullet"/>
      <w:lvlText w:val=""/>
      <w:lvlJc w:val="left"/>
      <w:pPr>
        <w:ind w:left="2160" w:hanging="360"/>
      </w:pPr>
      <w:rPr>
        <w:rFonts w:ascii="Wingdings" w:eastAsia="Wingdings" w:hAnsi="Wingdings" w:cs="Wingdings"/>
      </w:rPr>
    </w:lvl>
    <w:lvl w:ilvl="3" w:tplc="04A8F79E">
      <w:start w:val="1"/>
      <w:numFmt w:val="bullet"/>
      <w:lvlText w:val=""/>
      <w:lvlJc w:val="left"/>
      <w:pPr>
        <w:ind w:left="2880" w:hanging="360"/>
      </w:pPr>
      <w:rPr>
        <w:rFonts w:ascii="Symbol" w:eastAsia="Symbol" w:hAnsi="Symbol" w:cs="Symbol"/>
      </w:rPr>
    </w:lvl>
    <w:lvl w:ilvl="4" w:tplc="05560FA0">
      <w:start w:val="1"/>
      <w:numFmt w:val="bullet"/>
      <w:lvlText w:val="o"/>
      <w:lvlJc w:val="left"/>
      <w:pPr>
        <w:ind w:left="3600" w:hanging="360"/>
      </w:pPr>
      <w:rPr>
        <w:rFonts w:ascii="Courier New" w:eastAsia="Courier New" w:hAnsi="Courier New" w:cs="Courier New"/>
      </w:rPr>
    </w:lvl>
    <w:lvl w:ilvl="5" w:tplc="D04EE1C4">
      <w:start w:val="1"/>
      <w:numFmt w:val="bullet"/>
      <w:lvlText w:val=""/>
      <w:lvlJc w:val="left"/>
      <w:pPr>
        <w:ind w:left="4320" w:hanging="360"/>
      </w:pPr>
      <w:rPr>
        <w:rFonts w:ascii="Wingdings" w:eastAsia="Wingdings" w:hAnsi="Wingdings" w:cs="Wingdings"/>
      </w:rPr>
    </w:lvl>
    <w:lvl w:ilvl="6" w:tplc="AC140874">
      <w:start w:val="1"/>
      <w:numFmt w:val="bullet"/>
      <w:lvlText w:val=""/>
      <w:lvlJc w:val="left"/>
      <w:pPr>
        <w:ind w:left="5040" w:hanging="360"/>
      </w:pPr>
      <w:rPr>
        <w:rFonts w:ascii="Symbol" w:eastAsia="Symbol" w:hAnsi="Symbol" w:cs="Symbol"/>
      </w:rPr>
    </w:lvl>
    <w:lvl w:ilvl="7" w:tplc="A5FADEAE">
      <w:start w:val="1"/>
      <w:numFmt w:val="bullet"/>
      <w:lvlText w:val="o"/>
      <w:lvlJc w:val="left"/>
      <w:pPr>
        <w:ind w:left="5760" w:hanging="360"/>
      </w:pPr>
      <w:rPr>
        <w:rFonts w:ascii="Courier New" w:eastAsia="Courier New" w:hAnsi="Courier New" w:cs="Courier New"/>
      </w:rPr>
    </w:lvl>
    <w:lvl w:ilvl="8" w:tplc="3A02C740">
      <w:start w:val="1"/>
      <w:numFmt w:val="bullet"/>
      <w:lvlText w:val=""/>
      <w:lvlJc w:val="left"/>
      <w:pPr>
        <w:ind w:left="6480" w:hanging="360"/>
      </w:pPr>
      <w:rPr>
        <w:rFonts w:ascii="Wingdings" w:eastAsia="Wingdings" w:hAnsi="Wingdings" w:cs="Wingdings"/>
      </w:rPr>
    </w:lvl>
  </w:abstractNum>
  <w:abstractNum w:abstractNumId="12" w15:restartNumberingAfterBreak="0">
    <w:nsid w:val="396A0C27"/>
    <w:multiLevelType w:val="hybridMultilevel"/>
    <w:tmpl w:val="FFFFFFFF"/>
    <w:lvl w:ilvl="0" w:tplc="794AB1C6">
      <w:start w:val="1"/>
      <w:numFmt w:val="bullet"/>
      <w:lvlText w:val=""/>
      <w:lvlJc w:val="left"/>
      <w:pPr>
        <w:ind w:left="720" w:hanging="360"/>
      </w:pPr>
      <w:rPr>
        <w:rFonts w:ascii="Symbol" w:eastAsia="Symbol" w:hAnsi="Symbol" w:cs="Symbol"/>
      </w:rPr>
    </w:lvl>
    <w:lvl w:ilvl="1" w:tplc="94DAE312">
      <w:start w:val="1"/>
      <w:numFmt w:val="bullet"/>
      <w:lvlText w:val="o"/>
      <w:lvlJc w:val="left"/>
      <w:pPr>
        <w:ind w:left="1440" w:hanging="360"/>
      </w:pPr>
      <w:rPr>
        <w:rFonts w:ascii="Courier New" w:eastAsia="Courier New" w:hAnsi="Courier New" w:cs="Courier New"/>
      </w:rPr>
    </w:lvl>
    <w:lvl w:ilvl="2" w:tplc="E2243A10">
      <w:start w:val="1"/>
      <w:numFmt w:val="bullet"/>
      <w:lvlText w:val=""/>
      <w:lvlJc w:val="left"/>
      <w:pPr>
        <w:ind w:left="2160" w:hanging="360"/>
      </w:pPr>
      <w:rPr>
        <w:rFonts w:ascii="Wingdings" w:eastAsia="Wingdings" w:hAnsi="Wingdings" w:cs="Wingdings"/>
      </w:rPr>
    </w:lvl>
    <w:lvl w:ilvl="3" w:tplc="E56842BA">
      <w:start w:val="1"/>
      <w:numFmt w:val="bullet"/>
      <w:lvlText w:val=""/>
      <w:lvlJc w:val="left"/>
      <w:pPr>
        <w:ind w:left="2880" w:hanging="360"/>
      </w:pPr>
      <w:rPr>
        <w:rFonts w:ascii="Symbol" w:eastAsia="Symbol" w:hAnsi="Symbol" w:cs="Symbol"/>
      </w:rPr>
    </w:lvl>
    <w:lvl w:ilvl="4" w:tplc="4CCEFAF8">
      <w:start w:val="1"/>
      <w:numFmt w:val="bullet"/>
      <w:lvlText w:val="o"/>
      <w:lvlJc w:val="left"/>
      <w:pPr>
        <w:ind w:left="3600" w:hanging="360"/>
      </w:pPr>
      <w:rPr>
        <w:rFonts w:ascii="Courier New" w:eastAsia="Courier New" w:hAnsi="Courier New" w:cs="Courier New"/>
      </w:rPr>
    </w:lvl>
    <w:lvl w:ilvl="5" w:tplc="81866E7C">
      <w:start w:val="1"/>
      <w:numFmt w:val="bullet"/>
      <w:lvlText w:val=""/>
      <w:lvlJc w:val="left"/>
      <w:pPr>
        <w:ind w:left="4320" w:hanging="360"/>
      </w:pPr>
      <w:rPr>
        <w:rFonts w:ascii="Wingdings" w:eastAsia="Wingdings" w:hAnsi="Wingdings" w:cs="Wingdings"/>
      </w:rPr>
    </w:lvl>
    <w:lvl w:ilvl="6" w:tplc="0F1ACFE0">
      <w:start w:val="1"/>
      <w:numFmt w:val="bullet"/>
      <w:lvlText w:val=""/>
      <w:lvlJc w:val="left"/>
      <w:pPr>
        <w:ind w:left="5040" w:hanging="360"/>
      </w:pPr>
      <w:rPr>
        <w:rFonts w:ascii="Symbol" w:eastAsia="Symbol" w:hAnsi="Symbol" w:cs="Symbol"/>
      </w:rPr>
    </w:lvl>
    <w:lvl w:ilvl="7" w:tplc="4A064EE0">
      <w:start w:val="1"/>
      <w:numFmt w:val="bullet"/>
      <w:lvlText w:val="o"/>
      <w:lvlJc w:val="left"/>
      <w:pPr>
        <w:ind w:left="5760" w:hanging="360"/>
      </w:pPr>
      <w:rPr>
        <w:rFonts w:ascii="Courier New" w:eastAsia="Courier New" w:hAnsi="Courier New" w:cs="Courier New"/>
      </w:rPr>
    </w:lvl>
    <w:lvl w:ilvl="8" w:tplc="379A644E">
      <w:start w:val="1"/>
      <w:numFmt w:val="bullet"/>
      <w:lvlText w:val=""/>
      <w:lvlJc w:val="left"/>
      <w:pPr>
        <w:ind w:left="6480" w:hanging="360"/>
      </w:pPr>
      <w:rPr>
        <w:rFonts w:ascii="Wingdings" w:eastAsia="Wingdings" w:hAnsi="Wingdings" w:cs="Wingdings"/>
      </w:rPr>
    </w:lvl>
  </w:abstractNum>
  <w:abstractNum w:abstractNumId="13" w15:restartNumberingAfterBreak="0">
    <w:nsid w:val="41B7427B"/>
    <w:multiLevelType w:val="hybridMultilevel"/>
    <w:tmpl w:val="49EEA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6C0043"/>
    <w:multiLevelType w:val="hybridMultilevel"/>
    <w:tmpl w:val="FFFFFFFF"/>
    <w:lvl w:ilvl="0" w:tplc="662C26D8">
      <w:start w:val="1"/>
      <w:numFmt w:val="bullet"/>
      <w:lvlText w:val=""/>
      <w:lvlJc w:val="left"/>
      <w:pPr>
        <w:ind w:left="720" w:hanging="360"/>
      </w:pPr>
      <w:rPr>
        <w:rFonts w:ascii="Symbol" w:eastAsia="Symbol" w:hAnsi="Symbol" w:cs="Symbol"/>
      </w:rPr>
    </w:lvl>
    <w:lvl w:ilvl="1" w:tplc="A9A8387C">
      <w:start w:val="1"/>
      <w:numFmt w:val="bullet"/>
      <w:lvlText w:val="o"/>
      <w:lvlJc w:val="left"/>
      <w:pPr>
        <w:ind w:left="1440" w:hanging="360"/>
      </w:pPr>
      <w:rPr>
        <w:rFonts w:ascii="Courier New" w:eastAsia="Courier New" w:hAnsi="Courier New" w:cs="Courier New"/>
      </w:rPr>
    </w:lvl>
    <w:lvl w:ilvl="2" w:tplc="403A5A92">
      <w:start w:val="1"/>
      <w:numFmt w:val="bullet"/>
      <w:lvlText w:val=""/>
      <w:lvlJc w:val="left"/>
      <w:pPr>
        <w:ind w:left="2160" w:hanging="360"/>
      </w:pPr>
      <w:rPr>
        <w:rFonts w:ascii="Wingdings" w:eastAsia="Wingdings" w:hAnsi="Wingdings" w:cs="Wingdings"/>
      </w:rPr>
    </w:lvl>
    <w:lvl w:ilvl="3" w:tplc="2370C99A">
      <w:start w:val="1"/>
      <w:numFmt w:val="bullet"/>
      <w:lvlText w:val=""/>
      <w:lvlJc w:val="left"/>
      <w:pPr>
        <w:ind w:left="2880" w:hanging="360"/>
      </w:pPr>
      <w:rPr>
        <w:rFonts w:ascii="Symbol" w:eastAsia="Symbol" w:hAnsi="Symbol" w:cs="Symbol"/>
      </w:rPr>
    </w:lvl>
    <w:lvl w:ilvl="4" w:tplc="D464957A">
      <w:start w:val="1"/>
      <w:numFmt w:val="bullet"/>
      <w:lvlText w:val="o"/>
      <w:lvlJc w:val="left"/>
      <w:pPr>
        <w:ind w:left="3600" w:hanging="360"/>
      </w:pPr>
      <w:rPr>
        <w:rFonts w:ascii="Courier New" w:eastAsia="Courier New" w:hAnsi="Courier New" w:cs="Courier New"/>
      </w:rPr>
    </w:lvl>
    <w:lvl w:ilvl="5" w:tplc="17383F02">
      <w:start w:val="1"/>
      <w:numFmt w:val="bullet"/>
      <w:lvlText w:val=""/>
      <w:lvlJc w:val="left"/>
      <w:pPr>
        <w:ind w:left="4320" w:hanging="360"/>
      </w:pPr>
      <w:rPr>
        <w:rFonts w:ascii="Wingdings" w:eastAsia="Wingdings" w:hAnsi="Wingdings" w:cs="Wingdings"/>
      </w:rPr>
    </w:lvl>
    <w:lvl w:ilvl="6" w:tplc="994A1A3C">
      <w:start w:val="1"/>
      <w:numFmt w:val="bullet"/>
      <w:lvlText w:val=""/>
      <w:lvlJc w:val="left"/>
      <w:pPr>
        <w:ind w:left="5040" w:hanging="360"/>
      </w:pPr>
      <w:rPr>
        <w:rFonts w:ascii="Symbol" w:eastAsia="Symbol" w:hAnsi="Symbol" w:cs="Symbol"/>
      </w:rPr>
    </w:lvl>
    <w:lvl w:ilvl="7" w:tplc="F99C83B4">
      <w:start w:val="1"/>
      <w:numFmt w:val="bullet"/>
      <w:lvlText w:val="o"/>
      <w:lvlJc w:val="left"/>
      <w:pPr>
        <w:ind w:left="5760" w:hanging="360"/>
      </w:pPr>
      <w:rPr>
        <w:rFonts w:ascii="Courier New" w:eastAsia="Courier New" w:hAnsi="Courier New" w:cs="Courier New"/>
      </w:rPr>
    </w:lvl>
    <w:lvl w:ilvl="8" w:tplc="39921A6A">
      <w:start w:val="1"/>
      <w:numFmt w:val="bullet"/>
      <w:lvlText w:val=""/>
      <w:lvlJc w:val="left"/>
      <w:pPr>
        <w:ind w:left="6480" w:hanging="360"/>
      </w:pPr>
      <w:rPr>
        <w:rFonts w:ascii="Wingdings" w:eastAsia="Wingdings" w:hAnsi="Wingdings" w:cs="Wingdings"/>
      </w:rPr>
    </w:lvl>
  </w:abstractNum>
  <w:abstractNum w:abstractNumId="15" w15:restartNumberingAfterBreak="0">
    <w:nsid w:val="50D53930"/>
    <w:multiLevelType w:val="hybridMultilevel"/>
    <w:tmpl w:val="67583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6034B2"/>
    <w:multiLevelType w:val="hybridMultilevel"/>
    <w:tmpl w:val="9E604E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DA12DD6"/>
    <w:multiLevelType w:val="hybridMultilevel"/>
    <w:tmpl w:val="61F2E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0F33072"/>
    <w:multiLevelType w:val="hybridMultilevel"/>
    <w:tmpl w:val="FFFFFFFF"/>
    <w:lvl w:ilvl="0" w:tplc="112898FA">
      <w:start w:val="1"/>
      <w:numFmt w:val="bullet"/>
      <w:lvlText w:val=""/>
      <w:lvlJc w:val="left"/>
      <w:pPr>
        <w:ind w:left="720" w:hanging="360"/>
      </w:pPr>
      <w:rPr>
        <w:rFonts w:ascii="Symbol" w:eastAsia="Symbol" w:hAnsi="Symbol" w:cs="Symbol"/>
      </w:rPr>
    </w:lvl>
    <w:lvl w:ilvl="1" w:tplc="1F7A1568">
      <w:start w:val="1"/>
      <w:numFmt w:val="bullet"/>
      <w:lvlText w:val="o"/>
      <w:lvlJc w:val="left"/>
      <w:pPr>
        <w:ind w:left="1440" w:hanging="360"/>
      </w:pPr>
      <w:rPr>
        <w:rFonts w:ascii="Courier New" w:eastAsia="Courier New" w:hAnsi="Courier New" w:cs="Courier New"/>
      </w:rPr>
    </w:lvl>
    <w:lvl w:ilvl="2" w:tplc="A776F72C">
      <w:start w:val="1"/>
      <w:numFmt w:val="bullet"/>
      <w:lvlText w:val=""/>
      <w:lvlJc w:val="left"/>
      <w:pPr>
        <w:ind w:left="2160" w:hanging="360"/>
      </w:pPr>
      <w:rPr>
        <w:rFonts w:ascii="Wingdings" w:eastAsia="Wingdings" w:hAnsi="Wingdings" w:cs="Wingdings"/>
      </w:rPr>
    </w:lvl>
    <w:lvl w:ilvl="3" w:tplc="1B1AF85A">
      <w:start w:val="1"/>
      <w:numFmt w:val="bullet"/>
      <w:lvlText w:val=""/>
      <w:lvlJc w:val="left"/>
      <w:pPr>
        <w:ind w:left="2880" w:hanging="360"/>
      </w:pPr>
      <w:rPr>
        <w:rFonts w:ascii="Symbol" w:eastAsia="Symbol" w:hAnsi="Symbol" w:cs="Symbol"/>
      </w:rPr>
    </w:lvl>
    <w:lvl w:ilvl="4" w:tplc="306E47DE">
      <w:start w:val="1"/>
      <w:numFmt w:val="bullet"/>
      <w:lvlText w:val="o"/>
      <w:lvlJc w:val="left"/>
      <w:pPr>
        <w:ind w:left="3600" w:hanging="360"/>
      </w:pPr>
      <w:rPr>
        <w:rFonts w:ascii="Courier New" w:eastAsia="Courier New" w:hAnsi="Courier New" w:cs="Courier New"/>
      </w:rPr>
    </w:lvl>
    <w:lvl w:ilvl="5" w:tplc="8BEECE3C">
      <w:start w:val="1"/>
      <w:numFmt w:val="bullet"/>
      <w:lvlText w:val=""/>
      <w:lvlJc w:val="left"/>
      <w:pPr>
        <w:ind w:left="4320" w:hanging="360"/>
      </w:pPr>
      <w:rPr>
        <w:rFonts w:ascii="Wingdings" w:eastAsia="Wingdings" w:hAnsi="Wingdings" w:cs="Wingdings"/>
      </w:rPr>
    </w:lvl>
    <w:lvl w:ilvl="6" w:tplc="871EEDBE">
      <w:start w:val="1"/>
      <w:numFmt w:val="bullet"/>
      <w:lvlText w:val=""/>
      <w:lvlJc w:val="left"/>
      <w:pPr>
        <w:ind w:left="5040" w:hanging="360"/>
      </w:pPr>
      <w:rPr>
        <w:rFonts w:ascii="Symbol" w:eastAsia="Symbol" w:hAnsi="Symbol" w:cs="Symbol"/>
      </w:rPr>
    </w:lvl>
    <w:lvl w:ilvl="7" w:tplc="24A2D090">
      <w:start w:val="1"/>
      <w:numFmt w:val="bullet"/>
      <w:lvlText w:val="o"/>
      <w:lvlJc w:val="left"/>
      <w:pPr>
        <w:ind w:left="5760" w:hanging="360"/>
      </w:pPr>
      <w:rPr>
        <w:rFonts w:ascii="Courier New" w:eastAsia="Courier New" w:hAnsi="Courier New" w:cs="Courier New"/>
      </w:rPr>
    </w:lvl>
    <w:lvl w:ilvl="8" w:tplc="BDE8E258">
      <w:start w:val="1"/>
      <w:numFmt w:val="bullet"/>
      <w:lvlText w:val=""/>
      <w:lvlJc w:val="left"/>
      <w:pPr>
        <w:ind w:left="6480" w:hanging="360"/>
      </w:pPr>
      <w:rPr>
        <w:rFonts w:ascii="Wingdings" w:eastAsia="Wingdings" w:hAnsi="Wingdings" w:cs="Wingdings"/>
      </w:rPr>
    </w:lvl>
  </w:abstractNum>
  <w:abstractNum w:abstractNumId="19" w15:restartNumberingAfterBreak="0">
    <w:nsid w:val="66E938EE"/>
    <w:multiLevelType w:val="hybridMultilevel"/>
    <w:tmpl w:val="84682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5E6B81"/>
    <w:multiLevelType w:val="hybridMultilevel"/>
    <w:tmpl w:val="245EA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6A11A5"/>
    <w:multiLevelType w:val="hybridMultilevel"/>
    <w:tmpl w:val="4B4065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15812255">
    <w:abstractNumId w:val="8"/>
  </w:num>
  <w:num w:numId="2" w16cid:durableId="2099013664">
    <w:abstractNumId w:val="2"/>
  </w:num>
  <w:num w:numId="3" w16cid:durableId="1065109355">
    <w:abstractNumId w:val="20"/>
  </w:num>
  <w:num w:numId="4" w16cid:durableId="1017729909">
    <w:abstractNumId w:val="0"/>
  </w:num>
  <w:num w:numId="5" w16cid:durableId="1937982636">
    <w:abstractNumId w:val="10"/>
  </w:num>
  <w:num w:numId="6" w16cid:durableId="444274264">
    <w:abstractNumId w:val="15"/>
  </w:num>
  <w:num w:numId="7" w16cid:durableId="140849496">
    <w:abstractNumId w:val="13"/>
  </w:num>
  <w:num w:numId="8" w16cid:durableId="146288828">
    <w:abstractNumId w:val="17"/>
  </w:num>
  <w:num w:numId="9" w16cid:durableId="163128149">
    <w:abstractNumId w:val="9"/>
  </w:num>
  <w:num w:numId="10" w16cid:durableId="592513396">
    <w:abstractNumId w:val="19"/>
  </w:num>
  <w:num w:numId="11" w16cid:durableId="529492387">
    <w:abstractNumId w:val="16"/>
  </w:num>
  <w:num w:numId="12" w16cid:durableId="2120055285">
    <w:abstractNumId w:val="5"/>
  </w:num>
  <w:num w:numId="13" w16cid:durableId="2123573697">
    <w:abstractNumId w:val="21"/>
  </w:num>
  <w:num w:numId="14" w16cid:durableId="908417583">
    <w:abstractNumId w:val="6"/>
  </w:num>
  <w:num w:numId="15" w16cid:durableId="397367668">
    <w:abstractNumId w:val="4"/>
  </w:num>
  <w:num w:numId="16" w16cid:durableId="876696084">
    <w:abstractNumId w:val="1"/>
  </w:num>
  <w:num w:numId="17" w16cid:durableId="1347486650">
    <w:abstractNumId w:val="7"/>
  </w:num>
  <w:num w:numId="18" w16cid:durableId="574631553">
    <w:abstractNumId w:val="12"/>
  </w:num>
  <w:num w:numId="19" w16cid:durableId="270630892">
    <w:abstractNumId w:val="11"/>
  </w:num>
  <w:num w:numId="20" w16cid:durableId="187135728">
    <w:abstractNumId w:val="14"/>
  </w:num>
  <w:num w:numId="21" w16cid:durableId="431900958">
    <w:abstractNumId w:val="3"/>
  </w:num>
  <w:num w:numId="22" w16cid:durableId="1423718811">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B97"/>
    <w:rsid w:val="000028C7"/>
    <w:rsid w:val="00006CFB"/>
    <w:rsid w:val="000077E4"/>
    <w:rsid w:val="00015CB4"/>
    <w:rsid w:val="00017AB3"/>
    <w:rsid w:val="00030B04"/>
    <w:rsid w:val="00030E05"/>
    <w:rsid w:val="00031CC1"/>
    <w:rsid w:val="000323A5"/>
    <w:rsid w:val="00032EFF"/>
    <w:rsid w:val="00036BC1"/>
    <w:rsid w:val="00046B77"/>
    <w:rsid w:val="000514D0"/>
    <w:rsid w:val="00053461"/>
    <w:rsid w:val="0005431F"/>
    <w:rsid w:val="00056D02"/>
    <w:rsid w:val="00060142"/>
    <w:rsid w:val="000607F7"/>
    <w:rsid w:val="000612FE"/>
    <w:rsid w:val="000671BF"/>
    <w:rsid w:val="000842DA"/>
    <w:rsid w:val="0008641D"/>
    <w:rsid w:val="00086C3B"/>
    <w:rsid w:val="00091BD0"/>
    <w:rsid w:val="00092D5C"/>
    <w:rsid w:val="00096565"/>
    <w:rsid w:val="000974DA"/>
    <w:rsid w:val="000A1564"/>
    <w:rsid w:val="000A6AEC"/>
    <w:rsid w:val="000B2466"/>
    <w:rsid w:val="000C3E59"/>
    <w:rsid w:val="000C4875"/>
    <w:rsid w:val="000C5B18"/>
    <w:rsid w:val="000D1EDF"/>
    <w:rsid w:val="000D2BB5"/>
    <w:rsid w:val="000E2FF3"/>
    <w:rsid w:val="000E4E36"/>
    <w:rsid w:val="000E4EB3"/>
    <w:rsid w:val="00100750"/>
    <w:rsid w:val="00101E70"/>
    <w:rsid w:val="00104234"/>
    <w:rsid w:val="001043AC"/>
    <w:rsid w:val="0010606F"/>
    <w:rsid w:val="00106C7C"/>
    <w:rsid w:val="00107509"/>
    <w:rsid w:val="00114933"/>
    <w:rsid w:val="0011589A"/>
    <w:rsid w:val="00116D18"/>
    <w:rsid w:val="001210F1"/>
    <w:rsid w:val="00130268"/>
    <w:rsid w:val="00130CB4"/>
    <w:rsid w:val="001326F8"/>
    <w:rsid w:val="00140CA3"/>
    <w:rsid w:val="00141B4C"/>
    <w:rsid w:val="00145073"/>
    <w:rsid w:val="00145FAD"/>
    <w:rsid w:val="00147C33"/>
    <w:rsid w:val="00150C95"/>
    <w:rsid w:val="00163A47"/>
    <w:rsid w:val="001643EC"/>
    <w:rsid w:val="001662D8"/>
    <w:rsid w:val="001666C3"/>
    <w:rsid w:val="001809B4"/>
    <w:rsid w:val="00183E4B"/>
    <w:rsid w:val="00187C1B"/>
    <w:rsid w:val="00190A9E"/>
    <w:rsid w:val="00192ED6"/>
    <w:rsid w:val="001A4A70"/>
    <w:rsid w:val="001A6026"/>
    <w:rsid w:val="001A6053"/>
    <w:rsid w:val="001A6C37"/>
    <w:rsid w:val="001B0C7E"/>
    <w:rsid w:val="001B3B61"/>
    <w:rsid w:val="001B6B3B"/>
    <w:rsid w:val="001C256A"/>
    <w:rsid w:val="001D7D0C"/>
    <w:rsid w:val="001E4069"/>
    <w:rsid w:val="001F294E"/>
    <w:rsid w:val="001F7912"/>
    <w:rsid w:val="00201204"/>
    <w:rsid w:val="00201D75"/>
    <w:rsid w:val="00203074"/>
    <w:rsid w:val="00206851"/>
    <w:rsid w:val="00210581"/>
    <w:rsid w:val="002127E6"/>
    <w:rsid w:val="00220B7B"/>
    <w:rsid w:val="0022253B"/>
    <w:rsid w:val="002232C6"/>
    <w:rsid w:val="00225375"/>
    <w:rsid w:val="00226C01"/>
    <w:rsid w:val="00237C8A"/>
    <w:rsid w:val="00244B98"/>
    <w:rsid w:val="002505DA"/>
    <w:rsid w:val="00256B77"/>
    <w:rsid w:val="00257DA3"/>
    <w:rsid w:val="002601D1"/>
    <w:rsid w:val="002623D5"/>
    <w:rsid w:val="0026309D"/>
    <w:rsid w:val="002657E7"/>
    <w:rsid w:val="00265B0A"/>
    <w:rsid w:val="00274B4D"/>
    <w:rsid w:val="00277E0A"/>
    <w:rsid w:val="002813B3"/>
    <w:rsid w:val="00282339"/>
    <w:rsid w:val="002875D0"/>
    <w:rsid w:val="002878D2"/>
    <w:rsid w:val="00292635"/>
    <w:rsid w:val="002928F6"/>
    <w:rsid w:val="00293C65"/>
    <w:rsid w:val="0029457E"/>
    <w:rsid w:val="00294BC5"/>
    <w:rsid w:val="002962E1"/>
    <w:rsid w:val="002A4307"/>
    <w:rsid w:val="002A4852"/>
    <w:rsid w:val="002A66A7"/>
    <w:rsid w:val="002B6286"/>
    <w:rsid w:val="002B7CD1"/>
    <w:rsid w:val="002C3EA7"/>
    <w:rsid w:val="002C5B99"/>
    <w:rsid w:val="002D0CD8"/>
    <w:rsid w:val="002D2FF8"/>
    <w:rsid w:val="002D3347"/>
    <w:rsid w:val="002D6C11"/>
    <w:rsid w:val="002D71CF"/>
    <w:rsid w:val="002E36A4"/>
    <w:rsid w:val="002E5D55"/>
    <w:rsid w:val="002E72F4"/>
    <w:rsid w:val="002F20E0"/>
    <w:rsid w:val="002F2CB2"/>
    <w:rsid w:val="002F38B8"/>
    <w:rsid w:val="002F76EF"/>
    <w:rsid w:val="002F77BC"/>
    <w:rsid w:val="003045B2"/>
    <w:rsid w:val="00307C06"/>
    <w:rsid w:val="00313609"/>
    <w:rsid w:val="00322AFF"/>
    <w:rsid w:val="003266E7"/>
    <w:rsid w:val="0032791D"/>
    <w:rsid w:val="00331B56"/>
    <w:rsid w:val="0033460A"/>
    <w:rsid w:val="00340F2C"/>
    <w:rsid w:val="00341709"/>
    <w:rsid w:val="003477FC"/>
    <w:rsid w:val="003478D4"/>
    <w:rsid w:val="00350B3C"/>
    <w:rsid w:val="00351EEF"/>
    <w:rsid w:val="003608D6"/>
    <w:rsid w:val="00360BAD"/>
    <w:rsid w:val="00362F3A"/>
    <w:rsid w:val="00365E3A"/>
    <w:rsid w:val="00366393"/>
    <w:rsid w:val="00366BBA"/>
    <w:rsid w:val="00367794"/>
    <w:rsid w:val="00370E55"/>
    <w:rsid w:val="00374CC0"/>
    <w:rsid w:val="0038262C"/>
    <w:rsid w:val="0038281E"/>
    <w:rsid w:val="00383DA5"/>
    <w:rsid w:val="003853E5"/>
    <w:rsid w:val="003857F5"/>
    <w:rsid w:val="00386EA3"/>
    <w:rsid w:val="00395DDF"/>
    <w:rsid w:val="0039664F"/>
    <w:rsid w:val="00397000"/>
    <w:rsid w:val="00397696"/>
    <w:rsid w:val="003A41BB"/>
    <w:rsid w:val="003A503C"/>
    <w:rsid w:val="003A66D5"/>
    <w:rsid w:val="003B0186"/>
    <w:rsid w:val="003B18C7"/>
    <w:rsid w:val="003B2CC0"/>
    <w:rsid w:val="003B4A29"/>
    <w:rsid w:val="003B6E85"/>
    <w:rsid w:val="003B7916"/>
    <w:rsid w:val="003C2E90"/>
    <w:rsid w:val="003D278F"/>
    <w:rsid w:val="003D2B2A"/>
    <w:rsid w:val="003D73B2"/>
    <w:rsid w:val="003E796E"/>
    <w:rsid w:val="003F37C5"/>
    <w:rsid w:val="003F5BF4"/>
    <w:rsid w:val="004078B9"/>
    <w:rsid w:val="00407CCA"/>
    <w:rsid w:val="00410F13"/>
    <w:rsid w:val="00421674"/>
    <w:rsid w:val="004250E9"/>
    <w:rsid w:val="00427314"/>
    <w:rsid w:val="004307B6"/>
    <w:rsid w:val="00436CA9"/>
    <w:rsid w:val="00436F99"/>
    <w:rsid w:val="00440BEE"/>
    <w:rsid w:val="00442946"/>
    <w:rsid w:val="0044451F"/>
    <w:rsid w:val="00447365"/>
    <w:rsid w:val="00447398"/>
    <w:rsid w:val="00447667"/>
    <w:rsid w:val="00451505"/>
    <w:rsid w:val="00454BE5"/>
    <w:rsid w:val="004577C2"/>
    <w:rsid w:val="004611C3"/>
    <w:rsid w:val="00464616"/>
    <w:rsid w:val="00464C48"/>
    <w:rsid w:val="00465ADD"/>
    <w:rsid w:val="004666A2"/>
    <w:rsid w:val="00471174"/>
    <w:rsid w:val="00472D39"/>
    <w:rsid w:val="00473DA8"/>
    <w:rsid w:val="00473ED9"/>
    <w:rsid w:val="00480311"/>
    <w:rsid w:val="00487C0B"/>
    <w:rsid w:val="00491CD4"/>
    <w:rsid w:val="00491DE2"/>
    <w:rsid w:val="00492B91"/>
    <w:rsid w:val="00494E16"/>
    <w:rsid w:val="004A065A"/>
    <w:rsid w:val="004A0BAD"/>
    <w:rsid w:val="004A12A8"/>
    <w:rsid w:val="004A3BE7"/>
    <w:rsid w:val="004A51DE"/>
    <w:rsid w:val="004A6634"/>
    <w:rsid w:val="004A7203"/>
    <w:rsid w:val="004A788B"/>
    <w:rsid w:val="004A7BB3"/>
    <w:rsid w:val="004B43B1"/>
    <w:rsid w:val="004B6617"/>
    <w:rsid w:val="004C0170"/>
    <w:rsid w:val="004C196A"/>
    <w:rsid w:val="004C1D67"/>
    <w:rsid w:val="004C4130"/>
    <w:rsid w:val="004C418D"/>
    <w:rsid w:val="004C64A6"/>
    <w:rsid w:val="004D11E0"/>
    <w:rsid w:val="004D1960"/>
    <w:rsid w:val="004D2193"/>
    <w:rsid w:val="004D3B93"/>
    <w:rsid w:val="004E66B8"/>
    <w:rsid w:val="004F0A51"/>
    <w:rsid w:val="004F0BB9"/>
    <w:rsid w:val="004F546C"/>
    <w:rsid w:val="0050145D"/>
    <w:rsid w:val="00505CB6"/>
    <w:rsid w:val="00506628"/>
    <w:rsid w:val="005072A6"/>
    <w:rsid w:val="00511B5D"/>
    <w:rsid w:val="00511E01"/>
    <w:rsid w:val="00512FB9"/>
    <w:rsid w:val="005210B6"/>
    <w:rsid w:val="00521BBB"/>
    <w:rsid w:val="0052658A"/>
    <w:rsid w:val="00531158"/>
    <w:rsid w:val="0053308C"/>
    <w:rsid w:val="0053632A"/>
    <w:rsid w:val="00543E40"/>
    <w:rsid w:val="00545068"/>
    <w:rsid w:val="00545766"/>
    <w:rsid w:val="005639ED"/>
    <w:rsid w:val="005646C8"/>
    <w:rsid w:val="0056644D"/>
    <w:rsid w:val="00567698"/>
    <w:rsid w:val="00570E23"/>
    <w:rsid w:val="005742C3"/>
    <w:rsid w:val="005761E7"/>
    <w:rsid w:val="0057664A"/>
    <w:rsid w:val="0057681E"/>
    <w:rsid w:val="005846FF"/>
    <w:rsid w:val="00587317"/>
    <w:rsid w:val="00587E67"/>
    <w:rsid w:val="005905E0"/>
    <w:rsid w:val="0059368E"/>
    <w:rsid w:val="0059383B"/>
    <w:rsid w:val="00595B18"/>
    <w:rsid w:val="0059748E"/>
    <w:rsid w:val="005975D5"/>
    <w:rsid w:val="00597814"/>
    <w:rsid w:val="005A200B"/>
    <w:rsid w:val="005A207A"/>
    <w:rsid w:val="005A36DD"/>
    <w:rsid w:val="005A5DF9"/>
    <w:rsid w:val="005A697F"/>
    <w:rsid w:val="005B17A8"/>
    <w:rsid w:val="005B687A"/>
    <w:rsid w:val="005B6914"/>
    <w:rsid w:val="005C12B8"/>
    <w:rsid w:val="005C1F68"/>
    <w:rsid w:val="005C4B7B"/>
    <w:rsid w:val="005C64FD"/>
    <w:rsid w:val="005D077D"/>
    <w:rsid w:val="005D1087"/>
    <w:rsid w:val="005E0625"/>
    <w:rsid w:val="005E406B"/>
    <w:rsid w:val="005E4D43"/>
    <w:rsid w:val="005E68B9"/>
    <w:rsid w:val="005E73E9"/>
    <w:rsid w:val="005E758D"/>
    <w:rsid w:val="005F014A"/>
    <w:rsid w:val="005F06CE"/>
    <w:rsid w:val="005F0FBD"/>
    <w:rsid w:val="005F1701"/>
    <w:rsid w:val="005F4898"/>
    <w:rsid w:val="005F605F"/>
    <w:rsid w:val="00602D45"/>
    <w:rsid w:val="006039D8"/>
    <w:rsid w:val="00605A27"/>
    <w:rsid w:val="00607289"/>
    <w:rsid w:val="0061316A"/>
    <w:rsid w:val="006142CA"/>
    <w:rsid w:val="0061550D"/>
    <w:rsid w:val="00617060"/>
    <w:rsid w:val="00617F58"/>
    <w:rsid w:val="0062398D"/>
    <w:rsid w:val="006302BB"/>
    <w:rsid w:val="00633F70"/>
    <w:rsid w:val="00634670"/>
    <w:rsid w:val="00634D9C"/>
    <w:rsid w:val="00636CDC"/>
    <w:rsid w:val="0063757E"/>
    <w:rsid w:val="00637AB3"/>
    <w:rsid w:val="0064190D"/>
    <w:rsid w:val="00653B4C"/>
    <w:rsid w:val="006556F7"/>
    <w:rsid w:val="0066010B"/>
    <w:rsid w:val="006606F1"/>
    <w:rsid w:val="0066318F"/>
    <w:rsid w:val="00666519"/>
    <w:rsid w:val="00671EC0"/>
    <w:rsid w:val="0067311C"/>
    <w:rsid w:val="0067551A"/>
    <w:rsid w:val="00680914"/>
    <w:rsid w:val="00681676"/>
    <w:rsid w:val="00682B55"/>
    <w:rsid w:val="00691F0B"/>
    <w:rsid w:val="00695F7D"/>
    <w:rsid w:val="006A25BC"/>
    <w:rsid w:val="006A386D"/>
    <w:rsid w:val="006A3E97"/>
    <w:rsid w:val="006A5F7B"/>
    <w:rsid w:val="006B5B42"/>
    <w:rsid w:val="006C54A4"/>
    <w:rsid w:val="006D0401"/>
    <w:rsid w:val="006D15DE"/>
    <w:rsid w:val="006D3246"/>
    <w:rsid w:val="006D7EBC"/>
    <w:rsid w:val="006E28AA"/>
    <w:rsid w:val="006E5C4F"/>
    <w:rsid w:val="006F2203"/>
    <w:rsid w:val="00700612"/>
    <w:rsid w:val="00700889"/>
    <w:rsid w:val="00704CC6"/>
    <w:rsid w:val="00705092"/>
    <w:rsid w:val="007076D1"/>
    <w:rsid w:val="00723451"/>
    <w:rsid w:val="00726CB2"/>
    <w:rsid w:val="007279EE"/>
    <w:rsid w:val="0073165E"/>
    <w:rsid w:val="00733AC2"/>
    <w:rsid w:val="007400B7"/>
    <w:rsid w:val="00740476"/>
    <w:rsid w:val="007411EA"/>
    <w:rsid w:val="00741DA0"/>
    <w:rsid w:val="0074408E"/>
    <w:rsid w:val="00744874"/>
    <w:rsid w:val="00751076"/>
    <w:rsid w:val="00761DE3"/>
    <w:rsid w:val="00765D74"/>
    <w:rsid w:val="00767574"/>
    <w:rsid w:val="00771F50"/>
    <w:rsid w:val="007725A9"/>
    <w:rsid w:val="00773C72"/>
    <w:rsid w:val="00780470"/>
    <w:rsid w:val="00781742"/>
    <w:rsid w:val="0078367B"/>
    <w:rsid w:val="00785DD5"/>
    <w:rsid w:val="0078666D"/>
    <w:rsid w:val="007932EC"/>
    <w:rsid w:val="0079702A"/>
    <w:rsid w:val="007A3C6C"/>
    <w:rsid w:val="007A3ED7"/>
    <w:rsid w:val="007A42D8"/>
    <w:rsid w:val="007A5901"/>
    <w:rsid w:val="007A6444"/>
    <w:rsid w:val="007C07E6"/>
    <w:rsid w:val="007C2269"/>
    <w:rsid w:val="007C47D2"/>
    <w:rsid w:val="007C49F1"/>
    <w:rsid w:val="007C5A39"/>
    <w:rsid w:val="007D0D18"/>
    <w:rsid w:val="007D1210"/>
    <w:rsid w:val="007D540B"/>
    <w:rsid w:val="007D6E1A"/>
    <w:rsid w:val="007D7A58"/>
    <w:rsid w:val="007D7D95"/>
    <w:rsid w:val="007E1A6D"/>
    <w:rsid w:val="007E1D42"/>
    <w:rsid w:val="007E3D54"/>
    <w:rsid w:val="007E42BD"/>
    <w:rsid w:val="007F301C"/>
    <w:rsid w:val="007F3953"/>
    <w:rsid w:val="00805426"/>
    <w:rsid w:val="0080598F"/>
    <w:rsid w:val="00812C92"/>
    <w:rsid w:val="00817DCB"/>
    <w:rsid w:val="00821BEE"/>
    <w:rsid w:val="00823744"/>
    <w:rsid w:val="008275B5"/>
    <w:rsid w:val="008301AE"/>
    <w:rsid w:val="00830ECE"/>
    <w:rsid w:val="00832FB3"/>
    <w:rsid w:val="00833E18"/>
    <w:rsid w:val="008366B1"/>
    <w:rsid w:val="00837555"/>
    <w:rsid w:val="008434B1"/>
    <w:rsid w:val="00844B97"/>
    <w:rsid w:val="00844C2D"/>
    <w:rsid w:val="0085591B"/>
    <w:rsid w:val="00871263"/>
    <w:rsid w:val="00871D89"/>
    <w:rsid w:val="00872E6D"/>
    <w:rsid w:val="008768A1"/>
    <w:rsid w:val="00883BFF"/>
    <w:rsid w:val="0088564B"/>
    <w:rsid w:val="00885885"/>
    <w:rsid w:val="00890EB8"/>
    <w:rsid w:val="00891AEC"/>
    <w:rsid w:val="00892109"/>
    <w:rsid w:val="00892855"/>
    <w:rsid w:val="008956A4"/>
    <w:rsid w:val="00895814"/>
    <w:rsid w:val="00897B09"/>
    <w:rsid w:val="00897F9E"/>
    <w:rsid w:val="008A1E30"/>
    <w:rsid w:val="008A69E7"/>
    <w:rsid w:val="008B2481"/>
    <w:rsid w:val="008B3E49"/>
    <w:rsid w:val="008B432C"/>
    <w:rsid w:val="008B5044"/>
    <w:rsid w:val="008B567A"/>
    <w:rsid w:val="008C08EA"/>
    <w:rsid w:val="008C10A1"/>
    <w:rsid w:val="008C4EDF"/>
    <w:rsid w:val="008C5BF8"/>
    <w:rsid w:val="008C63F9"/>
    <w:rsid w:val="008C7D45"/>
    <w:rsid w:val="008D1573"/>
    <w:rsid w:val="008D5907"/>
    <w:rsid w:val="008D5A65"/>
    <w:rsid w:val="008E7C34"/>
    <w:rsid w:val="008F0FD8"/>
    <w:rsid w:val="008F11D9"/>
    <w:rsid w:val="008F140B"/>
    <w:rsid w:val="008F641A"/>
    <w:rsid w:val="00900140"/>
    <w:rsid w:val="00902D3D"/>
    <w:rsid w:val="00902F9A"/>
    <w:rsid w:val="0090384B"/>
    <w:rsid w:val="00903C9B"/>
    <w:rsid w:val="00904481"/>
    <w:rsid w:val="009137BB"/>
    <w:rsid w:val="00915317"/>
    <w:rsid w:val="009171D8"/>
    <w:rsid w:val="009230D6"/>
    <w:rsid w:val="0093141A"/>
    <w:rsid w:val="00937964"/>
    <w:rsid w:val="00942AEB"/>
    <w:rsid w:val="00942C81"/>
    <w:rsid w:val="00943E52"/>
    <w:rsid w:val="00947D7E"/>
    <w:rsid w:val="0095023B"/>
    <w:rsid w:val="009508BF"/>
    <w:rsid w:val="009509CE"/>
    <w:rsid w:val="00954BE9"/>
    <w:rsid w:val="00954CBE"/>
    <w:rsid w:val="009577F4"/>
    <w:rsid w:val="009578AE"/>
    <w:rsid w:val="00963E0B"/>
    <w:rsid w:val="009646EE"/>
    <w:rsid w:val="00972BB0"/>
    <w:rsid w:val="00973B70"/>
    <w:rsid w:val="00974408"/>
    <w:rsid w:val="0097683C"/>
    <w:rsid w:val="00977761"/>
    <w:rsid w:val="009826B5"/>
    <w:rsid w:val="00985A67"/>
    <w:rsid w:val="00995664"/>
    <w:rsid w:val="00995A5F"/>
    <w:rsid w:val="009A1D24"/>
    <w:rsid w:val="009A2AF1"/>
    <w:rsid w:val="009B2C6F"/>
    <w:rsid w:val="009B45F0"/>
    <w:rsid w:val="009B6FCE"/>
    <w:rsid w:val="009C079E"/>
    <w:rsid w:val="009C4031"/>
    <w:rsid w:val="009C74F8"/>
    <w:rsid w:val="009D3562"/>
    <w:rsid w:val="009E123C"/>
    <w:rsid w:val="009E298A"/>
    <w:rsid w:val="009E2E86"/>
    <w:rsid w:val="009E515D"/>
    <w:rsid w:val="009F0F5D"/>
    <w:rsid w:val="009F7C26"/>
    <w:rsid w:val="00A00074"/>
    <w:rsid w:val="00A0234F"/>
    <w:rsid w:val="00A0550D"/>
    <w:rsid w:val="00A14BE6"/>
    <w:rsid w:val="00A14FD1"/>
    <w:rsid w:val="00A17C3E"/>
    <w:rsid w:val="00A267C1"/>
    <w:rsid w:val="00A27F5D"/>
    <w:rsid w:val="00A30A5F"/>
    <w:rsid w:val="00A35EF8"/>
    <w:rsid w:val="00A376A7"/>
    <w:rsid w:val="00A50E1D"/>
    <w:rsid w:val="00A536B7"/>
    <w:rsid w:val="00A53CE6"/>
    <w:rsid w:val="00A607DB"/>
    <w:rsid w:val="00A60C9B"/>
    <w:rsid w:val="00A61370"/>
    <w:rsid w:val="00A6428D"/>
    <w:rsid w:val="00A71B74"/>
    <w:rsid w:val="00A72F32"/>
    <w:rsid w:val="00A73E9A"/>
    <w:rsid w:val="00A743E8"/>
    <w:rsid w:val="00A77BB5"/>
    <w:rsid w:val="00A83974"/>
    <w:rsid w:val="00A83F04"/>
    <w:rsid w:val="00A85AEE"/>
    <w:rsid w:val="00A9105B"/>
    <w:rsid w:val="00A922B5"/>
    <w:rsid w:val="00A9499D"/>
    <w:rsid w:val="00A95A14"/>
    <w:rsid w:val="00A95CF7"/>
    <w:rsid w:val="00AA00D5"/>
    <w:rsid w:val="00AA36D9"/>
    <w:rsid w:val="00AA3A2F"/>
    <w:rsid w:val="00AA664A"/>
    <w:rsid w:val="00AB251E"/>
    <w:rsid w:val="00AB3507"/>
    <w:rsid w:val="00AB770D"/>
    <w:rsid w:val="00AC2B02"/>
    <w:rsid w:val="00AC7EFB"/>
    <w:rsid w:val="00AD5405"/>
    <w:rsid w:val="00AE0987"/>
    <w:rsid w:val="00AE4385"/>
    <w:rsid w:val="00AE482D"/>
    <w:rsid w:val="00AE5365"/>
    <w:rsid w:val="00AE58CA"/>
    <w:rsid w:val="00AF0FBB"/>
    <w:rsid w:val="00AF26BE"/>
    <w:rsid w:val="00AF4902"/>
    <w:rsid w:val="00AF4B42"/>
    <w:rsid w:val="00AF4F32"/>
    <w:rsid w:val="00AF5A0F"/>
    <w:rsid w:val="00AF5E96"/>
    <w:rsid w:val="00AF66FB"/>
    <w:rsid w:val="00B00C0E"/>
    <w:rsid w:val="00B017D3"/>
    <w:rsid w:val="00B0258D"/>
    <w:rsid w:val="00B03397"/>
    <w:rsid w:val="00B1020B"/>
    <w:rsid w:val="00B11F06"/>
    <w:rsid w:val="00B1266F"/>
    <w:rsid w:val="00B14780"/>
    <w:rsid w:val="00B1600F"/>
    <w:rsid w:val="00B17B56"/>
    <w:rsid w:val="00B23E0F"/>
    <w:rsid w:val="00B331F3"/>
    <w:rsid w:val="00B35EFB"/>
    <w:rsid w:val="00B41FDA"/>
    <w:rsid w:val="00B42816"/>
    <w:rsid w:val="00B42F09"/>
    <w:rsid w:val="00B45FC2"/>
    <w:rsid w:val="00B46174"/>
    <w:rsid w:val="00B46F72"/>
    <w:rsid w:val="00B55D97"/>
    <w:rsid w:val="00B62238"/>
    <w:rsid w:val="00B62374"/>
    <w:rsid w:val="00B6252A"/>
    <w:rsid w:val="00B63149"/>
    <w:rsid w:val="00B63A49"/>
    <w:rsid w:val="00B703CB"/>
    <w:rsid w:val="00B70B20"/>
    <w:rsid w:val="00B719F3"/>
    <w:rsid w:val="00B71D85"/>
    <w:rsid w:val="00B72711"/>
    <w:rsid w:val="00B72D56"/>
    <w:rsid w:val="00B73046"/>
    <w:rsid w:val="00B736F0"/>
    <w:rsid w:val="00B7610B"/>
    <w:rsid w:val="00B76365"/>
    <w:rsid w:val="00B77BED"/>
    <w:rsid w:val="00B8458E"/>
    <w:rsid w:val="00B861C5"/>
    <w:rsid w:val="00B86B96"/>
    <w:rsid w:val="00B9362B"/>
    <w:rsid w:val="00B96D34"/>
    <w:rsid w:val="00B97DC4"/>
    <w:rsid w:val="00BA00F8"/>
    <w:rsid w:val="00BB07DF"/>
    <w:rsid w:val="00BB3260"/>
    <w:rsid w:val="00BB34B8"/>
    <w:rsid w:val="00BC0C70"/>
    <w:rsid w:val="00BC0FBD"/>
    <w:rsid w:val="00BC1D83"/>
    <w:rsid w:val="00BC4C6B"/>
    <w:rsid w:val="00BC53DA"/>
    <w:rsid w:val="00BC60E7"/>
    <w:rsid w:val="00BD3F01"/>
    <w:rsid w:val="00BD460B"/>
    <w:rsid w:val="00BD5BF6"/>
    <w:rsid w:val="00BD738D"/>
    <w:rsid w:val="00BD7779"/>
    <w:rsid w:val="00BD7E7E"/>
    <w:rsid w:val="00BE5896"/>
    <w:rsid w:val="00BE6690"/>
    <w:rsid w:val="00BF0A45"/>
    <w:rsid w:val="00BF31FA"/>
    <w:rsid w:val="00BF5E4A"/>
    <w:rsid w:val="00C01F75"/>
    <w:rsid w:val="00C07ED7"/>
    <w:rsid w:val="00C07F6E"/>
    <w:rsid w:val="00C159C4"/>
    <w:rsid w:val="00C2023C"/>
    <w:rsid w:val="00C21D34"/>
    <w:rsid w:val="00C22077"/>
    <w:rsid w:val="00C23FFC"/>
    <w:rsid w:val="00C31EFC"/>
    <w:rsid w:val="00C34970"/>
    <w:rsid w:val="00C425BD"/>
    <w:rsid w:val="00C43FCD"/>
    <w:rsid w:val="00C457D7"/>
    <w:rsid w:val="00C50131"/>
    <w:rsid w:val="00C6148C"/>
    <w:rsid w:val="00C77D8A"/>
    <w:rsid w:val="00C812E3"/>
    <w:rsid w:val="00C82F75"/>
    <w:rsid w:val="00C90056"/>
    <w:rsid w:val="00C900B7"/>
    <w:rsid w:val="00C90F29"/>
    <w:rsid w:val="00CA31D4"/>
    <w:rsid w:val="00CA78A5"/>
    <w:rsid w:val="00CB483A"/>
    <w:rsid w:val="00CB5BDD"/>
    <w:rsid w:val="00CB72F6"/>
    <w:rsid w:val="00CB7421"/>
    <w:rsid w:val="00CC000F"/>
    <w:rsid w:val="00CC07D0"/>
    <w:rsid w:val="00CC099F"/>
    <w:rsid w:val="00CC221A"/>
    <w:rsid w:val="00CC7335"/>
    <w:rsid w:val="00CC76A8"/>
    <w:rsid w:val="00CD2853"/>
    <w:rsid w:val="00CD6CD3"/>
    <w:rsid w:val="00CD7710"/>
    <w:rsid w:val="00CD7EB3"/>
    <w:rsid w:val="00CE02AE"/>
    <w:rsid w:val="00CE300C"/>
    <w:rsid w:val="00CE5A2C"/>
    <w:rsid w:val="00CF2FAD"/>
    <w:rsid w:val="00CF5F09"/>
    <w:rsid w:val="00CF633A"/>
    <w:rsid w:val="00D01643"/>
    <w:rsid w:val="00D021C3"/>
    <w:rsid w:val="00D0406F"/>
    <w:rsid w:val="00D05149"/>
    <w:rsid w:val="00D057BE"/>
    <w:rsid w:val="00D10A75"/>
    <w:rsid w:val="00D21B7F"/>
    <w:rsid w:val="00D22A5E"/>
    <w:rsid w:val="00D22F75"/>
    <w:rsid w:val="00D33374"/>
    <w:rsid w:val="00D37D09"/>
    <w:rsid w:val="00D40695"/>
    <w:rsid w:val="00D46C81"/>
    <w:rsid w:val="00D54F53"/>
    <w:rsid w:val="00D56140"/>
    <w:rsid w:val="00D61C9A"/>
    <w:rsid w:val="00D65241"/>
    <w:rsid w:val="00D843E4"/>
    <w:rsid w:val="00D844A8"/>
    <w:rsid w:val="00D852E9"/>
    <w:rsid w:val="00D904A7"/>
    <w:rsid w:val="00D90DE7"/>
    <w:rsid w:val="00D91A1A"/>
    <w:rsid w:val="00D944D8"/>
    <w:rsid w:val="00D95147"/>
    <w:rsid w:val="00DA43CB"/>
    <w:rsid w:val="00DB0506"/>
    <w:rsid w:val="00DB13CE"/>
    <w:rsid w:val="00DB2601"/>
    <w:rsid w:val="00DC295A"/>
    <w:rsid w:val="00DC648F"/>
    <w:rsid w:val="00DD2AC2"/>
    <w:rsid w:val="00DD3A02"/>
    <w:rsid w:val="00DD5529"/>
    <w:rsid w:val="00DD5698"/>
    <w:rsid w:val="00DE20C9"/>
    <w:rsid w:val="00DE3E81"/>
    <w:rsid w:val="00DE400E"/>
    <w:rsid w:val="00DE698C"/>
    <w:rsid w:val="00DE6D2C"/>
    <w:rsid w:val="00DE78EA"/>
    <w:rsid w:val="00DE7B9D"/>
    <w:rsid w:val="00DF1141"/>
    <w:rsid w:val="00DF2ADD"/>
    <w:rsid w:val="00DF3722"/>
    <w:rsid w:val="00DF5BD4"/>
    <w:rsid w:val="00DF6FF4"/>
    <w:rsid w:val="00E0164B"/>
    <w:rsid w:val="00E0296A"/>
    <w:rsid w:val="00E03C28"/>
    <w:rsid w:val="00E069D6"/>
    <w:rsid w:val="00E07597"/>
    <w:rsid w:val="00E17FFC"/>
    <w:rsid w:val="00E20B33"/>
    <w:rsid w:val="00E21C5B"/>
    <w:rsid w:val="00E2683F"/>
    <w:rsid w:val="00E301E6"/>
    <w:rsid w:val="00E32718"/>
    <w:rsid w:val="00E33D79"/>
    <w:rsid w:val="00E41803"/>
    <w:rsid w:val="00E42ACF"/>
    <w:rsid w:val="00E43017"/>
    <w:rsid w:val="00E43B85"/>
    <w:rsid w:val="00E43C1A"/>
    <w:rsid w:val="00E50E53"/>
    <w:rsid w:val="00E51457"/>
    <w:rsid w:val="00E542AB"/>
    <w:rsid w:val="00E546FC"/>
    <w:rsid w:val="00E5515B"/>
    <w:rsid w:val="00E62A1D"/>
    <w:rsid w:val="00E633D1"/>
    <w:rsid w:val="00E64591"/>
    <w:rsid w:val="00E65AC4"/>
    <w:rsid w:val="00E66D17"/>
    <w:rsid w:val="00E700C5"/>
    <w:rsid w:val="00E769AA"/>
    <w:rsid w:val="00E80A7F"/>
    <w:rsid w:val="00E80E06"/>
    <w:rsid w:val="00E876A9"/>
    <w:rsid w:val="00E913CD"/>
    <w:rsid w:val="00E9424C"/>
    <w:rsid w:val="00EA0C2C"/>
    <w:rsid w:val="00EA1136"/>
    <w:rsid w:val="00EA32D8"/>
    <w:rsid w:val="00EA5C83"/>
    <w:rsid w:val="00EA7BFE"/>
    <w:rsid w:val="00EB05B1"/>
    <w:rsid w:val="00EB66DB"/>
    <w:rsid w:val="00EB674A"/>
    <w:rsid w:val="00EB6D32"/>
    <w:rsid w:val="00EC010C"/>
    <w:rsid w:val="00EC6017"/>
    <w:rsid w:val="00ED080D"/>
    <w:rsid w:val="00ED1076"/>
    <w:rsid w:val="00ED3FB7"/>
    <w:rsid w:val="00ED5D48"/>
    <w:rsid w:val="00ED60FC"/>
    <w:rsid w:val="00ED6955"/>
    <w:rsid w:val="00ED6A88"/>
    <w:rsid w:val="00EE03B4"/>
    <w:rsid w:val="00EE20E2"/>
    <w:rsid w:val="00EE2206"/>
    <w:rsid w:val="00EE3601"/>
    <w:rsid w:val="00EE5A31"/>
    <w:rsid w:val="00EE63D1"/>
    <w:rsid w:val="00EF1DA5"/>
    <w:rsid w:val="00F00FC7"/>
    <w:rsid w:val="00F0221F"/>
    <w:rsid w:val="00F04076"/>
    <w:rsid w:val="00F04DA9"/>
    <w:rsid w:val="00F12ACC"/>
    <w:rsid w:val="00F20B18"/>
    <w:rsid w:val="00F245C2"/>
    <w:rsid w:val="00F2516E"/>
    <w:rsid w:val="00F256B9"/>
    <w:rsid w:val="00F27EC9"/>
    <w:rsid w:val="00F33060"/>
    <w:rsid w:val="00F335F7"/>
    <w:rsid w:val="00F354C6"/>
    <w:rsid w:val="00F35E35"/>
    <w:rsid w:val="00F369AF"/>
    <w:rsid w:val="00F37ED8"/>
    <w:rsid w:val="00F40EF7"/>
    <w:rsid w:val="00F44151"/>
    <w:rsid w:val="00F4427C"/>
    <w:rsid w:val="00F50231"/>
    <w:rsid w:val="00F50C4D"/>
    <w:rsid w:val="00F52310"/>
    <w:rsid w:val="00F550A6"/>
    <w:rsid w:val="00F6499D"/>
    <w:rsid w:val="00F64ACE"/>
    <w:rsid w:val="00F65424"/>
    <w:rsid w:val="00F72F9F"/>
    <w:rsid w:val="00F734E2"/>
    <w:rsid w:val="00F754A0"/>
    <w:rsid w:val="00F83632"/>
    <w:rsid w:val="00F84C58"/>
    <w:rsid w:val="00F85EAC"/>
    <w:rsid w:val="00F900EA"/>
    <w:rsid w:val="00F95523"/>
    <w:rsid w:val="00F97F21"/>
    <w:rsid w:val="00FA45EE"/>
    <w:rsid w:val="00FA61D1"/>
    <w:rsid w:val="00FA61DD"/>
    <w:rsid w:val="00FB0B92"/>
    <w:rsid w:val="00FB27DA"/>
    <w:rsid w:val="00FB41F0"/>
    <w:rsid w:val="00FB4816"/>
    <w:rsid w:val="00FB79FB"/>
    <w:rsid w:val="00FC1FAC"/>
    <w:rsid w:val="00FC2C15"/>
    <w:rsid w:val="00FC5080"/>
    <w:rsid w:val="00FD0DD6"/>
    <w:rsid w:val="00FD196E"/>
    <w:rsid w:val="00FD26DF"/>
    <w:rsid w:val="00FD32DC"/>
    <w:rsid w:val="00FD5671"/>
    <w:rsid w:val="00FE0C5D"/>
    <w:rsid w:val="00FE2E6F"/>
    <w:rsid w:val="00FE7E98"/>
    <w:rsid w:val="00FF04C6"/>
    <w:rsid w:val="00FF0D95"/>
    <w:rsid w:val="00FF3B7A"/>
    <w:rsid w:val="00FF48ED"/>
    <w:rsid w:val="6E88BE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A861C1"/>
  <w15:chartTrackingRefBased/>
  <w15:docId w15:val="{451FFF7B-1906-47C3-BFF9-F582B51D1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B4"/>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EE03B4"/>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36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E6D2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E03B4"/>
    <w:rPr>
      <w:rFonts w:asciiTheme="majorHAnsi" w:eastAsiaTheme="majorEastAsia" w:hAnsiTheme="majorHAnsi" w:cstheme="majorBidi"/>
      <w:color w:val="2E74B5" w:themeColor="accent1" w:themeShade="BF"/>
      <w:sz w:val="32"/>
      <w:szCs w:val="32"/>
    </w:rPr>
  </w:style>
  <w:style w:type="paragraph" w:customStyle="1" w:styleId="Default">
    <w:name w:val="Default"/>
    <w:rsid w:val="00EE03B4"/>
    <w:pPr>
      <w:autoSpaceDE w:val="0"/>
      <w:autoSpaceDN w:val="0"/>
      <w:adjustRightInd w:val="0"/>
      <w:spacing w:after="0" w:line="240" w:lineRule="auto"/>
    </w:pPr>
    <w:rPr>
      <w:rFonts w:ascii="Segoe UI" w:eastAsiaTheme="minorEastAsia" w:hAnsi="Segoe UI" w:cs="Segoe UI"/>
      <w:color w:val="000000"/>
      <w:sz w:val="24"/>
      <w:szCs w:val="24"/>
    </w:rPr>
  </w:style>
  <w:style w:type="paragraph" w:styleId="Header">
    <w:name w:val="header"/>
    <w:basedOn w:val="Normal"/>
    <w:link w:val="HeaderChar"/>
    <w:uiPriority w:val="99"/>
    <w:unhideWhenUsed/>
    <w:rsid w:val="00EE03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03B4"/>
    <w:rPr>
      <w:rFonts w:eastAsiaTheme="minorEastAsia"/>
      <w:sz w:val="20"/>
      <w:szCs w:val="20"/>
    </w:rPr>
  </w:style>
  <w:style w:type="paragraph" w:styleId="Footer">
    <w:name w:val="footer"/>
    <w:basedOn w:val="Normal"/>
    <w:link w:val="FooterChar"/>
    <w:uiPriority w:val="99"/>
    <w:unhideWhenUsed/>
    <w:rsid w:val="00EE03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3B4"/>
    <w:rPr>
      <w:rFonts w:eastAsiaTheme="minorEastAsia"/>
      <w:sz w:val="20"/>
      <w:szCs w:val="20"/>
    </w:rPr>
  </w:style>
  <w:style w:type="paragraph" w:styleId="NoSpacing">
    <w:name w:val="No Spacing"/>
    <w:link w:val="NoSpacingChar"/>
    <w:uiPriority w:val="1"/>
    <w:qFormat/>
    <w:rsid w:val="00EE03B4"/>
    <w:pPr>
      <w:spacing w:after="0" w:line="240" w:lineRule="auto"/>
    </w:pPr>
    <w:rPr>
      <w:rFonts w:eastAsiaTheme="minorEastAsia"/>
    </w:rPr>
  </w:style>
  <w:style w:type="character" w:customStyle="1" w:styleId="NoSpacingChar">
    <w:name w:val="No Spacing Char"/>
    <w:basedOn w:val="DefaultParagraphFont"/>
    <w:link w:val="NoSpacing"/>
    <w:uiPriority w:val="1"/>
    <w:rsid w:val="00EE03B4"/>
    <w:rPr>
      <w:rFonts w:eastAsiaTheme="minorEastAsia"/>
    </w:rPr>
  </w:style>
  <w:style w:type="character" w:customStyle="1" w:styleId="Heading3Char">
    <w:name w:val="Heading 3 Char"/>
    <w:basedOn w:val="DefaultParagraphFont"/>
    <w:link w:val="Heading3"/>
    <w:uiPriority w:val="9"/>
    <w:rsid w:val="00DE6D2C"/>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DE6D2C"/>
    <w:rPr>
      <w:color w:val="0563C1" w:themeColor="hyperlink"/>
      <w:u w:val="single"/>
    </w:rPr>
  </w:style>
  <w:style w:type="paragraph" w:customStyle="1" w:styleId="iTS-BodyText">
    <w:name w:val="!iTS - Body Text"/>
    <w:basedOn w:val="Normal"/>
    <w:link w:val="iTS-BodyTextChar"/>
    <w:rsid w:val="00DE6D2C"/>
    <w:pPr>
      <w:spacing w:after="40" w:line="240" w:lineRule="auto"/>
    </w:pPr>
    <w:rPr>
      <w:rFonts w:ascii="Arial" w:eastAsia="MS Mincho" w:hAnsi="Arial" w:cs="Times New Roman"/>
      <w:sz w:val="16"/>
      <w:szCs w:val="18"/>
    </w:rPr>
  </w:style>
  <w:style w:type="character" w:customStyle="1" w:styleId="iTS-BodyTextChar">
    <w:name w:val="!iTS - Body Text Char"/>
    <w:link w:val="iTS-BodyText"/>
    <w:rsid w:val="00DE6D2C"/>
    <w:rPr>
      <w:rFonts w:ascii="Arial" w:eastAsia="MS Mincho" w:hAnsi="Arial" w:cs="Times New Roman"/>
      <w:sz w:val="16"/>
      <w:szCs w:val="18"/>
    </w:rPr>
  </w:style>
  <w:style w:type="character" w:customStyle="1" w:styleId="Heading2Char">
    <w:name w:val="Heading 2 Char"/>
    <w:basedOn w:val="DefaultParagraphFont"/>
    <w:link w:val="Heading2"/>
    <w:rsid w:val="00313609"/>
    <w:rPr>
      <w:rFonts w:asciiTheme="majorHAnsi" w:eastAsiaTheme="majorEastAsia" w:hAnsiTheme="majorHAnsi" w:cstheme="majorBidi"/>
      <w:color w:val="2E74B5" w:themeColor="accent1" w:themeShade="BF"/>
      <w:sz w:val="26"/>
      <w:szCs w:val="26"/>
    </w:rPr>
  </w:style>
  <w:style w:type="paragraph" w:styleId="ListParagraph">
    <w:name w:val="List Paragraph"/>
    <w:aliases w:val="lp1,List Paragraph1,List Paragraph Char Char,b1,Number_1,List Paragraph11,List Paragraph2,Normal Sentence,Colorful List - Accent 11,new,SGLText List Paragraph,ListPar1,List Paragraph21,list1,Bullet 1,Use Case List Paragraph,Heading2,列出段落"/>
    <w:basedOn w:val="Normal"/>
    <w:link w:val="ListParagraphChar"/>
    <w:uiPriority w:val="34"/>
    <w:qFormat/>
    <w:rsid w:val="00313609"/>
    <w:pPr>
      <w:ind w:left="720"/>
      <w:contextualSpacing/>
    </w:pPr>
  </w:style>
  <w:style w:type="table" w:styleId="GridTable1Light-Accent3">
    <w:name w:val="Grid Table 1 Light Accent 3"/>
    <w:basedOn w:val="TableNormal"/>
    <w:uiPriority w:val="46"/>
    <w:rsid w:val="00313609"/>
    <w:pPr>
      <w:spacing w:after="0" w:line="240" w:lineRule="auto"/>
      <w:jc w:val="both"/>
    </w:pPr>
    <w:rPr>
      <w:rFonts w:eastAsiaTheme="minorEastAsia"/>
      <w:sz w:val="20"/>
      <w:szCs w:val="20"/>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145FAD"/>
    <w:pPr>
      <w:spacing w:before="240" w:line="259" w:lineRule="auto"/>
      <w:outlineLvl w:val="9"/>
    </w:pPr>
  </w:style>
  <w:style w:type="paragraph" w:styleId="TOC1">
    <w:name w:val="toc 1"/>
    <w:basedOn w:val="Normal"/>
    <w:next w:val="Normal"/>
    <w:autoRedefine/>
    <w:uiPriority w:val="39"/>
    <w:unhideWhenUsed/>
    <w:rsid w:val="00145FAD"/>
    <w:pPr>
      <w:spacing w:after="100"/>
    </w:pPr>
  </w:style>
  <w:style w:type="paragraph" w:styleId="TOC3">
    <w:name w:val="toc 3"/>
    <w:basedOn w:val="Normal"/>
    <w:next w:val="Normal"/>
    <w:autoRedefine/>
    <w:uiPriority w:val="39"/>
    <w:unhideWhenUsed/>
    <w:rsid w:val="00145FAD"/>
    <w:pPr>
      <w:spacing w:after="100"/>
      <w:ind w:left="400"/>
    </w:pPr>
  </w:style>
  <w:style w:type="paragraph" w:customStyle="1" w:styleId="StyleBlueRight004Before3ptAfter72ptExpanded">
    <w:name w:val="Style Blue Right:  0.04&quot; Before:  3 pt After:  7.2 pt Expanded ..."/>
    <w:basedOn w:val="Normal"/>
    <w:rsid w:val="007725A9"/>
    <w:pPr>
      <w:spacing w:before="60" w:line="276" w:lineRule="auto"/>
      <w:ind w:right="58"/>
    </w:pPr>
    <w:rPr>
      <w:rFonts w:ascii="Trebuchet MS" w:eastAsia="Times New Roman" w:hAnsi="Trebuchet MS" w:cs="Times New Roman"/>
      <w:color w:val="0000FF"/>
      <w:spacing w:val="6"/>
      <w:sz w:val="22"/>
    </w:rPr>
  </w:style>
  <w:style w:type="character" w:customStyle="1" w:styleId="ListParagraphChar">
    <w:name w:val="List Paragraph Char"/>
    <w:aliases w:val="lp1 Char,List Paragraph1 Char,List Paragraph Char Char Char,b1 Char,Number_1 Char,List Paragraph11 Char,List Paragraph2 Char,Normal Sentence Char,Colorful List - Accent 11 Char,new Char,SGLText List Paragraph Char,ListPar1 Char"/>
    <w:link w:val="ListParagraph"/>
    <w:uiPriority w:val="34"/>
    <w:qFormat/>
    <w:locked/>
    <w:rsid w:val="007725A9"/>
    <w:rPr>
      <w:rFonts w:eastAsiaTheme="minorEastAsia"/>
      <w:sz w:val="20"/>
      <w:szCs w:val="20"/>
    </w:rPr>
  </w:style>
  <w:style w:type="paragraph" w:customStyle="1" w:styleId="lf-text-block">
    <w:name w:val="lf-text-block"/>
    <w:basedOn w:val="Normal"/>
    <w:rsid w:val="00331B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f-thread-btn">
    <w:name w:val="lf-thread-btn"/>
    <w:basedOn w:val="DefaultParagraphFont"/>
    <w:rsid w:val="00331B56"/>
  </w:style>
  <w:style w:type="character" w:styleId="Strong">
    <w:name w:val="Strong"/>
    <w:basedOn w:val="DefaultParagraphFont"/>
    <w:uiPriority w:val="22"/>
    <w:qFormat/>
    <w:rsid w:val="00331B56"/>
    <w:rPr>
      <w:b/>
      <w:bCs/>
    </w:rPr>
  </w:style>
  <w:style w:type="table" w:styleId="TableGrid">
    <w:name w:val="Table Grid"/>
    <w:aliases w:val="Tabla Microsoft Servicios,Table Grid (MS Design format)"/>
    <w:basedOn w:val="TableNormal"/>
    <w:uiPriority w:val="39"/>
    <w:rsid w:val="00331B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31B56"/>
    <w:rPr>
      <w:i/>
      <w:iCs/>
    </w:rPr>
  </w:style>
  <w:style w:type="paragraph" w:styleId="NormalWeb">
    <w:name w:val="Normal (Web)"/>
    <w:basedOn w:val="Normal"/>
    <w:uiPriority w:val="99"/>
    <w:unhideWhenUsed/>
    <w:rsid w:val="00331B56"/>
    <w:pPr>
      <w:spacing w:before="100" w:beforeAutospacing="1" w:after="100" w:afterAutospacing="1" w:line="240" w:lineRule="auto"/>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5742C3"/>
    <w:pPr>
      <w:spacing w:after="100"/>
      <w:ind w:left="200"/>
    </w:pPr>
  </w:style>
  <w:style w:type="paragraph" w:styleId="BalloonText">
    <w:name w:val="Balloon Text"/>
    <w:basedOn w:val="Normal"/>
    <w:link w:val="BalloonTextChar"/>
    <w:uiPriority w:val="99"/>
    <w:semiHidden/>
    <w:unhideWhenUsed/>
    <w:rsid w:val="005311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1158"/>
    <w:rPr>
      <w:rFonts w:ascii="Segoe UI" w:eastAsiaTheme="minorEastAsia" w:hAnsi="Segoe UI" w:cs="Segoe UI"/>
      <w:sz w:val="18"/>
      <w:szCs w:val="18"/>
    </w:rPr>
  </w:style>
  <w:style w:type="character" w:styleId="UnresolvedMention">
    <w:name w:val="Unresolved Mention"/>
    <w:basedOn w:val="DefaultParagraphFont"/>
    <w:uiPriority w:val="99"/>
    <w:semiHidden/>
    <w:unhideWhenUsed/>
    <w:rsid w:val="00531158"/>
    <w:rPr>
      <w:color w:val="605E5C"/>
      <w:shd w:val="clear" w:color="auto" w:fill="E1DFDD"/>
    </w:rPr>
  </w:style>
  <w:style w:type="paragraph" w:customStyle="1" w:styleId="BodyMS">
    <w:name w:val="Body MS"/>
    <w:qFormat/>
    <w:rsid w:val="00D91A1A"/>
    <w:pPr>
      <w:spacing w:before="200" w:after="200" w:line="264" w:lineRule="auto"/>
    </w:pPr>
    <w:rPr>
      <w:rFonts w:ascii="Segoe Light" w:hAnsi="Segoe Light"/>
      <w:sz w:val="20"/>
      <w:szCs w:val="20"/>
    </w:rPr>
  </w:style>
  <w:style w:type="character" w:styleId="HTMLCode">
    <w:name w:val="HTML Code"/>
    <w:basedOn w:val="DefaultParagraphFont"/>
    <w:uiPriority w:val="99"/>
    <w:semiHidden/>
    <w:unhideWhenUsed/>
    <w:rsid w:val="003A503C"/>
    <w:rPr>
      <w:rFonts w:ascii="Courier New" w:eastAsia="Times New Roman" w:hAnsi="Courier New" w:cs="Courier New"/>
      <w:sz w:val="20"/>
      <w:szCs w:val="20"/>
    </w:rPr>
  </w:style>
  <w:style w:type="table" w:customStyle="1" w:styleId="TableGrid0">
    <w:name w:val="TableGrid"/>
    <w:rsid w:val="008C4EDF"/>
    <w:pPr>
      <w:spacing w:after="0" w:line="240" w:lineRule="auto"/>
    </w:pPr>
    <w:rPr>
      <w:rFonts w:eastAsiaTheme="minorEastAsia"/>
      <w:lang w:val="en-AE" w:eastAsia="en-AE"/>
    </w:rPr>
    <w:tblPr>
      <w:tblCellMar>
        <w:top w:w="0" w:type="dxa"/>
        <w:left w:w="0" w:type="dxa"/>
        <w:bottom w:w="0" w:type="dxa"/>
        <w:right w:w="0" w:type="dxa"/>
      </w:tblCellMar>
    </w:tblPr>
  </w:style>
  <w:style w:type="table" w:styleId="GridTable4-Accent1">
    <w:name w:val="Grid Table 4 Accent 1"/>
    <w:basedOn w:val="TableNormal"/>
    <w:uiPriority w:val="49"/>
    <w:rsid w:val="00CD7EB3"/>
    <w:pPr>
      <w:spacing w:after="0" w:line="240" w:lineRule="auto"/>
    </w:pPr>
    <w:rPr>
      <w:rFonts w:eastAsiaTheme="minorEastAsia"/>
      <w:sz w:val="24"/>
      <w:szCs w:val="24"/>
      <w:lang w:eastAsia="ja-JP"/>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0739">
      <w:bodyDiv w:val="1"/>
      <w:marLeft w:val="0"/>
      <w:marRight w:val="0"/>
      <w:marTop w:val="0"/>
      <w:marBottom w:val="0"/>
      <w:divBdr>
        <w:top w:val="none" w:sz="0" w:space="0" w:color="auto"/>
        <w:left w:val="none" w:sz="0" w:space="0" w:color="auto"/>
        <w:bottom w:val="none" w:sz="0" w:space="0" w:color="auto"/>
        <w:right w:val="none" w:sz="0" w:space="0" w:color="auto"/>
      </w:divBdr>
    </w:div>
    <w:div w:id="525557580">
      <w:bodyDiv w:val="1"/>
      <w:marLeft w:val="0"/>
      <w:marRight w:val="0"/>
      <w:marTop w:val="0"/>
      <w:marBottom w:val="0"/>
      <w:divBdr>
        <w:top w:val="none" w:sz="0" w:space="0" w:color="auto"/>
        <w:left w:val="none" w:sz="0" w:space="0" w:color="auto"/>
        <w:bottom w:val="none" w:sz="0" w:space="0" w:color="auto"/>
        <w:right w:val="none" w:sz="0" w:space="0" w:color="auto"/>
      </w:divBdr>
    </w:div>
    <w:div w:id="943465347">
      <w:bodyDiv w:val="1"/>
      <w:marLeft w:val="0"/>
      <w:marRight w:val="0"/>
      <w:marTop w:val="0"/>
      <w:marBottom w:val="0"/>
      <w:divBdr>
        <w:top w:val="none" w:sz="0" w:space="0" w:color="auto"/>
        <w:left w:val="none" w:sz="0" w:space="0" w:color="auto"/>
        <w:bottom w:val="none" w:sz="0" w:space="0" w:color="auto"/>
        <w:right w:val="none" w:sz="0" w:space="0" w:color="auto"/>
      </w:divBdr>
      <w:divsChild>
        <w:div w:id="1795783256">
          <w:marLeft w:val="0"/>
          <w:marRight w:val="0"/>
          <w:marTop w:val="0"/>
          <w:marBottom w:val="0"/>
          <w:divBdr>
            <w:top w:val="none" w:sz="0" w:space="0" w:color="auto"/>
            <w:left w:val="none" w:sz="0" w:space="0" w:color="auto"/>
            <w:bottom w:val="none" w:sz="0" w:space="0" w:color="auto"/>
            <w:right w:val="none" w:sz="0" w:space="0" w:color="auto"/>
          </w:divBdr>
        </w:div>
      </w:divsChild>
    </w:div>
    <w:div w:id="1345205751">
      <w:bodyDiv w:val="1"/>
      <w:marLeft w:val="0"/>
      <w:marRight w:val="0"/>
      <w:marTop w:val="0"/>
      <w:marBottom w:val="0"/>
      <w:divBdr>
        <w:top w:val="none" w:sz="0" w:space="0" w:color="auto"/>
        <w:left w:val="none" w:sz="0" w:space="0" w:color="auto"/>
        <w:bottom w:val="none" w:sz="0" w:space="0" w:color="auto"/>
        <w:right w:val="none" w:sz="0" w:space="0" w:color="auto"/>
      </w:divBdr>
    </w:div>
    <w:div w:id="1413354807">
      <w:bodyDiv w:val="1"/>
      <w:marLeft w:val="0"/>
      <w:marRight w:val="0"/>
      <w:marTop w:val="0"/>
      <w:marBottom w:val="0"/>
      <w:divBdr>
        <w:top w:val="none" w:sz="0" w:space="0" w:color="auto"/>
        <w:left w:val="none" w:sz="0" w:space="0" w:color="auto"/>
        <w:bottom w:val="none" w:sz="0" w:space="0" w:color="auto"/>
        <w:right w:val="none" w:sz="0" w:space="0" w:color="auto"/>
      </w:divBdr>
    </w:div>
    <w:div w:id="1481968460">
      <w:bodyDiv w:val="1"/>
      <w:marLeft w:val="0"/>
      <w:marRight w:val="0"/>
      <w:marTop w:val="0"/>
      <w:marBottom w:val="0"/>
      <w:divBdr>
        <w:top w:val="none" w:sz="0" w:space="0" w:color="auto"/>
        <w:left w:val="none" w:sz="0" w:space="0" w:color="auto"/>
        <w:bottom w:val="none" w:sz="0" w:space="0" w:color="auto"/>
        <w:right w:val="none" w:sz="0" w:space="0" w:color="auto"/>
      </w:divBdr>
    </w:div>
    <w:div w:id="1575893600">
      <w:bodyDiv w:val="1"/>
      <w:marLeft w:val="0"/>
      <w:marRight w:val="0"/>
      <w:marTop w:val="0"/>
      <w:marBottom w:val="0"/>
      <w:divBdr>
        <w:top w:val="none" w:sz="0" w:space="0" w:color="auto"/>
        <w:left w:val="none" w:sz="0" w:space="0" w:color="auto"/>
        <w:bottom w:val="none" w:sz="0" w:space="0" w:color="auto"/>
        <w:right w:val="none" w:sz="0" w:space="0" w:color="auto"/>
      </w:divBdr>
      <w:divsChild>
        <w:div w:id="1300497724">
          <w:marLeft w:val="0"/>
          <w:marRight w:val="0"/>
          <w:marTop w:val="0"/>
          <w:marBottom w:val="0"/>
          <w:divBdr>
            <w:top w:val="none" w:sz="0" w:space="0" w:color="auto"/>
            <w:left w:val="none" w:sz="0" w:space="0" w:color="auto"/>
            <w:bottom w:val="none" w:sz="0" w:space="0" w:color="auto"/>
            <w:right w:val="none" w:sz="0" w:space="0" w:color="auto"/>
          </w:divBdr>
        </w:div>
      </w:divsChild>
    </w:div>
    <w:div w:id="1735816819">
      <w:bodyDiv w:val="1"/>
      <w:marLeft w:val="0"/>
      <w:marRight w:val="0"/>
      <w:marTop w:val="0"/>
      <w:marBottom w:val="0"/>
      <w:divBdr>
        <w:top w:val="none" w:sz="0" w:space="0" w:color="auto"/>
        <w:left w:val="none" w:sz="0" w:space="0" w:color="auto"/>
        <w:bottom w:val="none" w:sz="0" w:space="0" w:color="auto"/>
        <w:right w:val="none" w:sz="0" w:space="0" w:color="auto"/>
      </w:divBdr>
      <w:divsChild>
        <w:div w:id="1849558859">
          <w:marLeft w:val="0"/>
          <w:marRight w:val="0"/>
          <w:marTop w:val="0"/>
          <w:marBottom w:val="0"/>
          <w:divBdr>
            <w:top w:val="none" w:sz="0" w:space="0" w:color="auto"/>
            <w:left w:val="none" w:sz="0" w:space="0" w:color="auto"/>
            <w:bottom w:val="none" w:sz="0" w:space="0" w:color="auto"/>
            <w:right w:val="none" w:sz="0" w:space="0" w:color="auto"/>
          </w:divBdr>
        </w:div>
        <w:div w:id="1734281066">
          <w:marLeft w:val="0"/>
          <w:marRight w:val="0"/>
          <w:marTop w:val="0"/>
          <w:marBottom w:val="0"/>
          <w:divBdr>
            <w:top w:val="none" w:sz="0" w:space="0" w:color="auto"/>
            <w:left w:val="none" w:sz="0" w:space="0" w:color="auto"/>
            <w:bottom w:val="none" w:sz="0" w:space="0" w:color="auto"/>
            <w:right w:val="none" w:sz="0" w:space="0" w:color="auto"/>
          </w:divBdr>
        </w:div>
      </w:divsChild>
    </w:div>
    <w:div w:id="1798989676">
      <w:bodyDiv w:val="1"/>
      <w:marLeft w:val="0"/>
      <w:marRight w:val="0"/>
      <w:marTop w:val="0"/>
      <w:marBottom w:val="0"/>
      <w:divBdr>
        <w:top w:val="none" w:sz="0" w:space="0" w:color="auto"/>
        <w:left w:val="none" w:sz="0" w:space="0" w:color="auto"/>
        <w:bottom w:val="none" w:sz="0" w:space="0" w:color="auto"/>
        <w:right w:val="none" w:sz="0" w:space="0" w:color="auto"/>
      </w:divBdr>
    </w:div>
    <w:div w:id="1959674483">
      <w:bodyDiv w:val="1"/>
      <w:marLeft w:val="0"/>
      <w:marRight w:val="0"/>
      <w:marTop w:val="0"/>
      <w:marBottom w:val="0"/>
      <w:divBdr>
        <w:top w:val="none" w:sz="0" w:space="0" w:color="auto"/>
        <w:left w:val="none" w:sz="0" w:space="0" w:color="auto"/>
        <w:bottom w:val="none" w:sz="0" w:space="0" w:color="auto"/>
        <w:right w:val="none" w:sz="0" w:space="0" w:color="auto"/>
      </w:divBdr>
    </w:div>
    <w:div w:id="1965309303">
      <w:bodyDiv w:val="1"/>
      <w:marLeft w:val="0"/>
      <w:marRight w:val="0"/>
      <w:marTop w:val="0"/>
      <w:marBottom w:val="0"/>
      <w:divBdr>
        <w:top w:val="none" w:sz="0" w:space="0" w:color="auto"/>
        <w:left w:val="none" w:sz="0" w:space="0" w:color="auto"/>
        <w:bottom w:val="none" w:sz="0" w:space="0" w:color="auto"/>
        <w:right w:val="none" w:sz="0" w:space="0" w:color="auto"/>
      </w:divBdr>
    </w:div>
    <w:div w:id="2079010272">
      <w:bodyDiv w:val="1"/>
      <w:marLeft w:val="0"/>
      <w:marRight w:val="0"/>
      <w:marTop w:val="0"/>
      <w:marBottom w:val="0"/>
      <w:divBdr>
        <w:top w:val="none" w:sz="0" w:space="0" w:color="auto"/>
        <w:left w:val="none" w:sz="0" w:space="0" w:color="auto"/>
        <w:bottom w:val="none" w:sz="0" w:space="0" w:color="auto"/>
        <w:right w:val="none" w:sz="0" w:space="0" w:color="auto"/>
      </w:divBdr>
    </w:div>
    <w:div w:id="2099254826">
      <w:bodyDiv w:val="1"/>
      <w:marLeft w:val="0"/>
      <w:marRight w:val="0"/>
      <w:marTop w:val="0"/>
      <w:marBottom w:val="0"/>
      <w:divBdr>
        <w:top w:val="none" w:sz="0" w:space="0" w:color="auto"/>
        <w:left w:val="none" w:sz="0" w:space="0" w:color="auto"/>
        <w:bottom w:val="none" w:sz="0" w:space="0" w:color="auto"/>
        <w:right w:val="none" w:sz="0" w:space="0" w:color="auto"/>
      </w:divBdr>
      <w:divsChild>
        <w:div w:id="1766345136">
          <w:marLeft w:val="0"/>
          <w:marRight w:val="0"/>
          <w:marTop w:val="0"/>
          <w:marBottom w:val="0"/>
          <w:divBdr>
            <w:top w:val="none" w:sz="0" w:space="0" w:color="auto"/>
            <w:left w:val="none" w:sz="0" w:space="0" w:color="auto"/>
            <w:bottom w:val="none" w:sz="0" w:space="0" w:color="auto"/>
            <w:right w:val="none" w:sz="0" w:space="0" w:color="auto"/>
          </w:divBdr>
        </w:div>
        <w:div w:id="2136673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cid:image002.png@01D87E4F.6A131020"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cid:image002.png@01D87E4F.6A13102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2876D12-F11F-4DC3-A083-856F828E449B}">
  <ds:schemaRefs>
    <ds:schemaRef ds:uri="http://schemas.openxmlformats.org/officeDocument/2006/bibliography"/>
  </ds:schemaRefs>
</ds:datastoreItem>
</file>

<file path=docMetadata/LabelInfo.xml><?xml version="1.0" encoding="utf-8"?>
<clbl:labelList xmlns:clbl="http://schemas.microsoft.com/office/2020/mipLabelMetadata">
  <clbl:label id="{a7a471ca-2c4b-4a75-8ee2-a41ce8b6c322}" enabled="1" method="Privileged" siteId="{e79918f6-a69b-4b33-8166-e897131f7346}" contentBits="3" removed="0"/>
</clbl:labelList>
</file>

<file path=docProps/app.xml><?xml version="1.0" encoding="utf-8"?>
<Properties xmlns="http://schemas.openxmlformats.org/officeDocument/2006/extended-properties" xmlns:vt="http://schemas.openxmlformats.org/officeDocument/2006/docPropsVTypes">
  <Template>Normal</Template>
  <TotalTime>510</TotalTime>
  <Pages>8</Pages>
  <Words>4334</Words>
  <Characters>26439</Characters>
  <Application>Microsoft Office Word</Application>
  <DocSecurity>0</DocSecurity>
  <Lines>322</Lines>
  <Paragraphs>61</Paragraphs>
  <ScaleCrop>false</ScaleCrop>
  <HeadingPairs>
    <vt:vector size="2" baseType="variant">
      <vt:variant>
        <vt:lpstr>Title</vt:lpstr>
      </vt:variant>
      <vt:variant>
        <vt:i4>1</vt:i4>
      </vt:variant>
    </vt:vector>
  </HeadingPairs>
  <TitlesOfParts>
    <vt:vector size="1" baseType="lpstr">
      <vt:lpstr>Microsoft Windows Server Migration</vt:lpstr>
    </vt:vector>
  </TitlesOfParts>
  <Company>Tech one global (pvt) ltd</Company>
  <LinksUpToDate>false</LinksUpToDate>
  <CharactersWithSpaces>30712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Server Migration</dc:title>
  <dc:subject>WINDOWS MIGRATION design document for BEC ARABIA</dc:subject>
  <dc:creator>Version 1.6</dc:creator>
  <cp:keywords/>
  <dc:description/>
  <cp:lastModifiedBy>Salin Kumar</cp:lastModifiedBy>
  <cp:revision>191</cp:revision>
  <cp:lastPrinted>2025-08-12T06:51:00Z</cp:lastPrinted>
  <dcterms:created xsi:type="dcterms:W3CDTF">2025-08-20T08:40:00Z</dcterms:created>
  <dcterms:modified xsi:type="dcterms:W3CDTF">2026-02-14T17:33:00Z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46173104,382c6e8b,7873a101</vt:lpwstr>
  </property>
  <property fmtid="{D5CDD505-2E9C-101B-9397-08002B2CF9AE}" pid="3" name="ClassificationContentMarkingFooterFontProps">
    <vt:lpwstr>#000000,10,Calibri</vt:lpwstr>
  </property>
  <property fmtid="{D5CDD505-2E9C-101B-9397-08002B2CF9AE}" pid="4" name="ClassificationContentMarkingFooterText">
    <vt:lpwstr>Information Classification: Public </vt:lpwstr>
  </property>
  <property fmtid="{D5CDD505-2E9C-101B-9397-08002B2CF9AE}" pid="5" name="MSIP_Label_defa4170-0d19-0005-0001-bc88714345d2_Enabled">
    <vt:lpwstr>true</vt:lpwstr>
  </property>
  <property fmtid="{D5CDD505-2E9C-101B-9397-08002B2CF9AE}" pid="6" name="MSIP_Label_defa4170-0d19-0005-0001-bc88714345d2_SetDate">
    <vt:lpwstr>2025-07-31T09:19:41Z</vt:lpwstr>
  </property>
  <property fmtid="{D5CDD505-2E9C-101B-9397-08002B2CF9AE}" pid="7" name="MSIP_Label_defa4170-0d19-0005-0001-bc88714345d2_Method">
    <vt:lpwstr>Privileged</vt:lpwstr>
  </property>
  <property fmtid="{D5CDD505-2E9C-101B-9397-08002B2CF9AE}" pid="8" name="MSIP_Label_defa4170-0d19-0005-0001-bc88714345d2_Name">
    <vt:lpwstr>defa4170-0d19-0005-0001-bc88714345d2</vt:lpwstr>
  </property>
  <property fmtid="{D5CDD505-2E9C-101B-9397-08002B2CF9AE}" pid="9" name="MSIP_Label_defa4170-0d19-0005-0001-bc88714345d2_SiteId">
    <vt:lpwstr>d0e2d202-86f7-4fd0-a150-f030292f015e</vt:lpwstr>
  </property>
  <property fmtid="{D5CDD505-2E9C-101B-9397-08002B2CF9AE}" pid="10" name="MSIP_Label_defa4170-0d19-0005-0001-bc88714345d2_ActionId">
    <vt:lpwstr>a5f6989b-769f-4bb0-9413-b40f0b9376c7</vt:lpwstr>
  </property>
  <property fmtid="{D5CDD505-2E9C-101B-9397-08002B2CF9AE}" pid="11" name="MSIP_Label_defa4170-0d19-0005-0001-bc88714345d2_ContentBits">
    <vt:lpwstr>0</vt:lpwstr>
  </property>
  <property fmtid="{D5CDD505-2E9C-101B-9397-08002B2CF9AE}" pid="12" name="MSIP_Label_defa4170-0d19-0005-0001-bc88714345d2_Tag">
    <vt:lpwstr>10, 0, 1, 1</vt:lpwstr>
  </property>
</Properties>
</file>