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529892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95B3C7C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681F15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22887A98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1A6053" w:rsidRPr="001A6053">
        <w:rPr>
          <w:b/>
          <w:bCs/>
          <w:color w:val="FFFFFF" w:themeColor="background1"/>
          <w:sz w:val="56"/>
          <w:szCs w:val="56"/>
        </w:rPr>
        <w:t>MIGRATING CLOUD WORKLOADS ACROSS SECURITY TENANTS</w:t>
      </w:r>
    </w:p>
    <w:tbl>
      <w:tblPr>
        <w:tblpPr w:leftFromText="180" w:rightFromText="180" w:vertAnchor="text" w:horzAnchor="margin" w:tblpY="11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124DB6" w:rsidRPr="009535A8" w14:paraId="7D57DC32" w14:textId="77777777" w:rsidTr="00124DB6">
        <w:trPr>
          <w:trHeight w:val="493"/>
        </w:trPr>
        <w:tc>
          <w:tcPr>
            <w:tcW w:w="2691" w:type="dxa"/>
          </w:tcPr>
          <w:p w14:paraId="4DB65CAC" w14:textId="77777777" w:rsidR="00124DB6" w:rsidRPr="009535A8" w:rsidRDefault="00124DB6" w:rsidP="00124DB6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80E080D" w14:textId="02CB9780" w:rsidR="00124DB6" w:rsidRPr="009535A8" w:rsidRDefault="00124DB6" w:rsidP="00124DB6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124DB6">
              <w:rPr>
                <w:rFonts w:asciiTheme="minorHAnsi" w:hAnsiTheme="minorHAnsi" w:cstheme="minorHAnsi"/>
                <w:sz w:val="24"/>
              </w:rPr>
              <w:t>MIGRATING CLOUD WORKLOADS ACROSS SECURITY TENANTS</w:t>
            </w:r>
          </w:p>
        </w:tc>
      </w:tr>
      <w:tr w:rsidR="00124DB6" w:rsidRPr="009535A8" w14:paraId="3158DD8C" w14:textId="77777777" w:rsidTr="00124DB6">
        <w:trPr>
          <w:trHeight w:val="371"/>
        </w:trPr>
        <w:tc>
          <w:tcPr>
            <w:tcW w:w="2691" w:type="dxa"/>
          </w:tcPr>
          <w:p w14:paraId="2EA76593" w14:textId="77777777" w:rsidR="00124DB6" w:rsidRPr="009535A8" w:rsidRDefault="00124DB6" w:rsidP="00124DB6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66F0722C" w14:textId="77777777" w:rsidR="00124DB6" w:rsidRPr="009535A8" w:rsidRDefault="00124DB6" w:rsidP="00124DB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124DB6" w:rsidRPr="009535A8" w14:paraId="176A9363" w14:textId="77777777" w:rsidTr="00124DB6">
        <w:trPr>
          <w:trHeight w:val="493"/>
        </w:trPr>
        <w:tc>
          <w:tcPr>
            <w:tcW w:w="2691" w:type="dxa"/>
          </w:tcPr>
          <w:p w14:paraId="39381C5A" w14:textId="77777777" w:rsidR="00124DB6" w:rsidRPr="009535A8" w:rsidRDefault="00124DB6" w:rsidP="00124DB6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8A47007" w14:textId="77777777" w:rsidR="00124DB6" w:rsidRPr="004B08BA" w:rsidRDefault="00124DB6" w:rsidP="00124DB6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124DB6" w:rsidRPr="009535A8" w14:paraId="1798337B" w14:textId="77777777" w:rsidTr="00124DB6">
        <w:trPr>
          <w:trHeight w:val="374"/>
        </w:trPr>
        <w:tc>
          <w:tcPr>
            <w:tcW w:w="2691" w:type="dxa"/>
          </w:tcPr>
          <w:p w14:paraId="6EA50472" w14:textId="77777777" w:rsidR="00124DB6" w:rsidRPr="009535A8" w:rsidRDefault="00124DB6" w:rsidP="00124DB6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4BA86E31" w14:textId="0E25E93A" w:rsidR="00124DB6" w:rsidRPr="009535A8" w:rsidRDefault="00124DB6" w:rsidP="00124DB6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January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</w:tr>
    </w:tbl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124DB6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C8A775E" w:rsidR="00124DB6" w:rsidRPr="00946982" w:rsidRDefault="00124DB6" w:rsidP="00124DB6">
            <w:r>
              <w:t>1</w:t>
            </w:r>
          </w:p>
        </w:tc>
        <w:tc>
          <w:tcPr>
            <w:tcW w:w="1811" w:type="dxa"/>
          </w:tcPr>
          <w:p w14:paraId="07E09B94" w14:textId="67123D45" w:rsidR="00124DB6" w:rsidRPr="00946982" w:rsidRDefault="00124DB6" w:rsidP="00124DB6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41C55E1A" w:rsidR="00124DB6" w:rsidRPr="00946982" w:rsidRDefault="00124DB6" w:rsidP="00124DB6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1C49C09D" w:rsidR="00124DB6" w:rsidRPr="00946982" w:rsidRDefault="00124DB6" w:rsidP="00124DB6">
            <w:r>
              <w:t>1</w:t>
            </w:r>
            <w:r>
              <w:t>5</w:t>
            </w:r>
            <w:r w:rsidRPr="00946982">
              <w:t>/0</w:t>
            </w:r>
            <w:r>
              <w:t>1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32862912" w14:textId="68A795E8" w:rsidR="00124DB6" w:rsidRPr="00946982" w:rsidRDefault="00124DB6" w:rsidP="00124DB6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4BA59D3C" w:rsidR="00124DB6" w:rsidRPr="00946982" w:rsidRDefault="00124DB6" w:rsidP="00124DB6">
            <w:r>
              <w:t>1</w:t>
            </w:r>
            <w:r>
              <w:t>5</w:t>
            </w:r>
            <w:r w:rsidRPr="00946982">
              <w:t>/0</w:t>
            </w:r>
            <w:r>
              <w:t>3</w:t>
            </w:r>
            <w:r w:rsidRPr="00946982">
              <w:t>/202</w:t>
            </w:r>
            <w:r>
              <w:t>6</w:t>
            </w:r>
          </w:p>
        </w:tc>
      </w:tr>
      <w:tr w:rsidR="00124DB6" w:rsidRPr="00946982" w14:paraId="2EC8BC48" w14:textId="77777777" w:rsidTr="00A21953">
        <w:trPr>
          <w:trHeight w:val="979"/>
        </w:trPr>
        <w:tc>
          <w:tcPr>
            <w:tcW w:w="1205" w:type="dxa"/>
          </w:tcPr>
          <w:p w14:paraId="6F5BD64F" w14:textId="1DCE29C5" w:rsidR="00124DB6" w:rsidRPr="00946982" w:rsidRDefault="00124DB6" w:rsidP="00124DB6">
            <w:r>
              <w:t>2</w:t>
            </w:r>
          </w:p>
        </w:tc>
        <w:tc>
          <w:tcPr>
            <w:tcW w:w="1811" w:type="dxa"/>
          </w:tcPr>
          <w:p w14:paraId="313986BE" w14:textId="0925338D" w:rsidR="00124DB6" w:rsidRPr="00946982" w:rsidRDefault="00124DB6" w:rsidP="00124DB6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06F2EC30" w14:textId="733766EF" w:rsidR="00124DB6" w:rsidRPr="00946982" w:rsidRDefault="00124DB6" w:rsidP="00124DB6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305B93A7" w14:textId="4361A4AC" w:rsidR="00124DB6" w:rsidRPr="00946982" w:rsidRDefault="00124DB6" w:rsidP="00124DB6">
            <w:r>
              <w:t>20</w:t>
            </w:r>
            <w:r w:rsidRPr="00946982">
              <w:t>/</w:t>
            </w:r>
            <w:r>
              <w:t>0</w:t>
            </w:r>
            <w:r>
              <w:t>1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443C3992" w14:textId="31CDBF04" w:rsidR="00124DB6" w:rsidRPr="00946982" w:rsidRDefault="00124DB6" w:rsidP="00124DB6">
            <w:r w:rsidRPr="00946982">
              <w:t>Ravi Shankar</w:t>
            </w:r>
          </w:p>
        </w:tc>
        <w:tc>
          <w:tcPr>
            <w:tcW w:w="1486" w:type="dxa"/>
          </w:tcPr>
          <w:p w14:paraId="55796FF4" w14:textId="6A4AB671" w:rsidR="00124DB6" w:rsidRPr="00946982" w:rsidRDefault="00124DB6" w:rsidP="00124DB6">
            <w:r>
              <w:t>20</w:t>
            </w:r>
            <w:r w:rsidRPr="00946982">
              <w:t>/</w:t>
            </w:r>
            <w:r>
              <w:t>03</w:t>
            </w:r>
            <w:r w:rsidRPr="00946982">
              <w:t>/202</w:t>
            </w:r>
            <w:r>
              <w:t>6</w:t>
            </w:r>
          </w:p>
        </w:tc>
      </w:tr>
      <w:tr w:rsidR="00124DB6" w:rsidRPr="00946982" w14:paraId="78BF345A" w14:textId="77777777" w:rsidTr="00A21953">
        <w:trPr>
          <w:trHeight w:val="979"/>
        </w:trPr>
        <w:tc>
          <w:tcPr>
            <w:tcW w:w="1205" w:type="dxa"/>
          </w:tcPr>
          <w:p w14:paraId="6265DEB9" w14:textId="7089622E" w:rsidR="00124DB6" w:rsidRPr="00946982" w:rsidRDefault="00124DB6" w:rsidP="00124DB6">
            <w:r>
              <w:t>3</w:t>
            </w:r>
          </w:p>
        </w:tc>
        <w:tc>
          <w:tcPr>
            <w:tcW w:w="1811" w:type="dxa"/>
          </w:tcPr>
          <w:p w14:paraId="791E5A03" w14:textId="618881AF" w:rsidR="00124DB6" w:rsidRPr="00946982" w:rsidRDefault="00124DB6" w:rsidP="00124DB6">
            <w:r w:rsidRPr="00946982">
              <w:t xml:space="preserve">Architecture </w:t>
            </w:r>
            <w:r>
              <w:t xml:space="preserve">best practices </w:t>
            </w:r>
          </w:p>
        </w:tc>
        <w:tc>
          <w:tcPr>
            <w:tcW w:w="1921" w:type="dxa"/>
          </w:tcPr>
          <w:p w14:paraId="1C701A21" w14:textId="4CE403E5" w:rsidR="00124DB6" w:rsidRPr="00946982" w:rsidRDefault="00124DB6" w:rsidP="00124DB6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13A73357" w14:textId="0D266B42" w:rsidR="00124DB6" w:rsidRPr="00946982" w:rsidRDefault="00124DB6" w:rsidP="00124DB6">
            <w:bookmarkStart w:id="16" w:name="_Toc227681335"/>
            <w:bookmarkStart w:id="17" w:name="_Toc228117169"/>
            <w:r>
              <w:t>2</w:t>
            </w:r>
            <w:r>
              <w:t>8</w:t>
            </w:r>
            <w:r w:rsidRPr="00946982">
              <w:t>/</w:t>
            </w:r>
            <w:r>
              <w:t>0</w:t>
            </w:r>
            <w:r>
              <w:t>1</w:t>
            </w:r>
            <w:r w:rsidRPr="00946982">
              <w:t>/202</w:t>
            </w:r>
            <w:bookmarkEnd w:id="16"/>
            <w:bookmarkEnd w:id="17"/>
            <w:r>
              <w:t>6</w:t>
            </w:r>
          </w:p>
        </w:tc>
        <w:tc>
          <w:tcPr>
            <w:tcW w:w="1856" w:type="dxa"/>
          </w:tcPr>
          <w:p w14:paraId="106951CC" w14:textId="6DE41DAC" w:rsidR="00124DB6" w:rsidRPr="00946982" w:rsidRDefault="00124DB6" w:rsidP="00124DB6">
            <w:r w:rsidRPr="00946982">
              <w:t>Ravi Shankar</w:t>
            </w:r>
          </w:p>
        </w:tc>
        <w:tc>
          <w:tcPr>
            <w:tcW w:w="1486" w:type="dxa"/>
          </w:tcPr>
          <w:p w14:paraId="3373B3A3" w14:textId="54C5F0B4" w:rsidR="00124DB6" w:rsidRPr="00946982" w:rsidRDefault="00124DB6" w:rsidP="00124DB6">
            <w:bookmarkStart w:id="18" w:name="_Toc228117171"/>
            <w:r>
              <w:t>2</w:t>
            </w:r>
            <w:r>
              <w:t>8</w:t>
            </w:r>
            <w:r w:rsidRPr="00946982">
              <w:t>/</w:t>
            </w:r>
            <w:r>
              <w:t>03</w:t>
            </w:r>
            <w:r w:rsidRPr="00946982">
              <w:t>/202</w:t>
            </w:r>
            <w:bookmarkEnd w:id="18"/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DB53DA3" w14:textId="560E84F2" w:rsidR="001A6053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529892" w:history="1">
            <w:r w:rsidR="001A6053">
              <w:rPr>
                <w:noProof/>
                <w:webHidden/>
              </w:rPr>
              <w:tab/>
            </w:r>
            <w:r w:rsidR="001A6053">
              <w:rPr>
                <w:noProof/>
                <w:webHidden/>
              </w:rPr>
              <w:fldChar w:fldCharType="begin"/>
            </w:r>
            <w:r w:rsidR="001A6053">
              <w:rPr>
                <w:noProof/>
                <w:webHidden/>
              </w:rPr>
              <w:instrText xml:space="preserve"> PAGEREF _Toc228529892 \h </w:instrText>
            </w:r>
            <w:r w:rsidR="001A6053">
              <w:rPr>
                <w:noProof/>
                <w:webHidden/>
              </w:rPr>
            </w:r>
            <w:r w:rsidR="001A6053"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1</w:t>
            </w:r>
            <w:r w:rsidR="001A6053">
              <w:rPr>
                <w:noProof/>
                <w:webHidden/>
              </w:rPr>
              <w:fldChar w:fldCharType="end"/>
            </w:r>
          </w:hyperlink>
        </w:p>
        <w:p w14:paraId="4D0A517C" w14:textId="40D699F0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893" w:history="1">
            <w:r w:rsidRPr="009C20D9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CF86" w14:textId="446B1629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894" w:history="1">
            <w:r w:rsidRPr="009C20D9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A1A7A" w14:textId="70ACD783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895" w:history="1">
            <w:r w:rsidRPr="009C20D9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68925" w14:textId="0F514B96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896" w:history="1">
            <w:r w:rsidRPr="009C20D9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2D95" w14:textId="6BB5D38F" w:rsidR="001A6053" w:rsidRDefault="001A605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897" w:history="1">
            <w:r w:rsidRPr="009C20D9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95824" w14:textId="5144B147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898" w:history="1">
            <w:r w:rsidRPr="009C20D9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1A98" w14:textId="350D9B91" w:rsidR="001A6053" w:rsidRDefault="001A605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899" w:history="1">
            <w:r w:rsidRPr="009C20D9">
              <w:rPr>
                <w:rStyle w:val="Hyperlink"/>
                <w:noProof/>
              </w:rPr>
              <w:t>5.1 Identity and Tenant Boundary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236F" w14:textId="37EFAE78" w:rsidR="001A6053" w:rsidRDefault="001A605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900" w:history="1">
            <w:r w:rsidRPr="009C20D9">
              <w:rPr>
                <w:rStyle w:val="Hyperlink"/>
                <w:noProof/>
              </w:rPr>
              <w:t>5.2 Infrastructure as Code and Resource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0BD4" w14:textId="29F0839B" w:rsidR="001A6053" w:rsidRDefault="001A605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901" w:history="1">
            <w:r w:rsidRPr="009C20D9">
              <w:rPr>
                <w:rStyle w:val="Hyperlink"/>
                <w:noProof/>
              </w:rPr>
              <w:t>5.3 Data and Workload Migration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87D3" w14:textId="07C64697" w:rsidR="001A6053" w:rsidRDefault="001A605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902" w:history="1">
            <w:r w:rsidRPr="009C20D9">
              <w:rPr>
                <w:rStyle w:val="Hyperlink"/>
                <w:noProof/>
              </w:rPr>
              <w:t>5.4 Sidecar Subscription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19240" w14:textId="69E2C05E" w:rsidR="001A6053" w:rsidRDefault="001A605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903" w:history="1">
            <w:r w:rsidRPr="009C20D9">
              <w:rPr>
                <w:rStyle w:val="Hyperlink"/>
                <w:noProof/>
              </w:rPr>
              <w:t>5.5 Subscription and Resource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90F7" w14:textId="6EE3EE49" w:rsidR="001A6053" w:rsidRDefault="001A605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9904" w:history="1">
            <w:r w:rsidRPr="009C20D9">
              <w:rPr>
                <w:rStyle w:val="Hyperlink"/>
                <w:noProof/>
              </w:rPr>
              <w:t>5.6 Security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A4D57" w14:textId="1A8E7D16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905" w:history="1">
            <w:r w:rsidRPr="009C20D9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D4F4" w14:textId="5B8F4FBB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906" w:history="1">
            <w:r w:rsidRPr="009C20D9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6004" w14:textId="6BEA9A89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907" w:history="1">
            <w:r w:rsidRPr="009C20D9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B6F50" w14:textId="243932EF" w:rsidR="001A6053" w:rsidRDefault="001A605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9908" w:history="1">
            <w:r w:rsidRPr="009C20D9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5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7F0A458C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4BEE4C2" w14:textId="77777777" w:rsidR="00681F15" w:rsidRDefault="00681F15" w:rsidP="00B01D46">
      <w:pPr>
        <w:rPr>
          <w:b/>
          <w:bCs/>
          <w:noProof/>
        </w:rPr>
      </w:pPr>
    </w:p>
    <w:p w14:paraId="7A9755B6" w14:textId="77777777" w:rsidR="00681F15" w:rsidRDefault="00681F15" w:rsidP="00681F15">
      <w:pPr>
        <w:pStyle w:val="Heading2"/>
      </w:pPr>
      <w:bookmarkStart w:id="19" w:name="_Toc228529893"/>
      <w:r>
        <w:t>1. Executive Summary</w:t>
      </w:r>
      <w:bookmarkEnd w:id="19"/>
    </w:p>
    <w:p w14:paraId="1AC03209" w14:textId="42C3E0E5" w:rsidR="00681F15" w:rsidRDefault="00681F15" w:rsidP="00681F15">
      <w:r>
        <w:t xml:space="preserve">This document is based on a </w:t>
      </w:r>
      <w:r>
        <w:rPr>
          <w:b/>
          <w:bCs/>
        </w:rPr>
        <w:t>secure reference architecture for migrating cloud workloads across security tenants</w:t>
      </w:r>
      <w:r>
        <w:t xml:space="preserve">. The architecture supports scenarios where organizations must move Azure resources from one </w:t>
      </w:r>
      <w:r>
        <w:rPr>
          <w:b/>
          <w:bCs/>
        </w:rPr>
        <w:t>Microsoft Entra ID tenant</w:t>
      </w:r>
      <w:r>
        <w:t xml:space="preserve"> to another while preserving security boundaries, governance controls, and business continuity.</w:t>
      </w:r>
    </w:p>
    <w:p w14:paraId="5A4C541E" w14:textId="6F977D8A" w:rsidR="00681F15" w:rsidRDefault="00681F15" w:rsidP="00681F15">
      <w:r>
        <w:t xml:space="preserve">The approach aligns with Microsoft principles of </w:t>
      </w:r>
      <w:proofErr w:type="gramStart"/>
      <w:r>
        <w:rPr>
          <w:b/>
          <w:bCs/>
        </w:rPr>
        <w:t>secure</w:t>
      </w:r>
      <w:proofErr w:type="gramEnd"/>
      <w:r>
        <w:rPr>
          <w:b/>
          <w:bCs/>
        </w:rPr>
        <w:t xml:space="preserve"> by design</w:t>
      </w:r>
      <w:r>
        <w:t xml:space="preserve">, </w:t>
      </w:r>
      <w:r>
        <w:rPr>
          <w:b/>
          <w:bCs/>
        </w:rPr>
        <w:t>least privilege</w:t>
      </w:r>
      <w:r>
        <w:t xml:space="preserve">, and </w:t>
      </w:r>
      <w:r>
        <w:rPr>
          <w:b/>
          <w:bCs/>
        </w:rPr>
        <w:t>defense in depth</w:t>
      </w:r>
      <w:r>
        <w:t>, and provides standardized guidance for governed enterprise environments.</w:t>
      </w:r>
    </w:p>
    <w:p w14:paraId="6F69B0FA" w14:textId="77777777" w:rsidR="00681F15" w:rsidRDefault="00681F15" w:rsidP="00681F15">
      <w:pPr>
        <w:pStyle w:val="Heading2"/>
      </w:pPr>
      <w:bookmarkStart w:id="20" w:name="_Toc228529894"/>
      <w:r>
        <w:t>2. Scope and Applicability</w:t>
      </w:r>
      <w:bookmarkEnd w:id="20"/>
    </w:p>
    <w:p w14:paraId="44B754D1" w14:textId="77777777" w:rsidR="00681F15" w:rsidRDefault="00681F15" w:rsidP="00681F15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483DA247" w14:textId="77777777" w:rsidR="00681F15" w:rsidRDefault="00681F15">
      <w:pPr>
        <w:pStyle w:val="ListParagraph"/>
        <w:numPr>
          <w:ilvl w:val="0"/>
          <w:numId w:val="1"/>
        </w:numPr>
      </w:pPr>
      <w:r>
        <w:t>Cross-tenant Azure workload migration scenarios</w:t>
      </w:r>
    </w:p>
    <w:p w14:paraId="7F875B26" w14:textId="77777777" w:rsidR="00681F15" w:rsidRDefault="00681F15">
      <w:pPr>
        <w:pStyle w:val="ListParagraph"/>
        <w:numPr>
          <w:ilvl w:val="0"/>
          <w:numId w:val="1"/>
        </w:numPr>
      </w:pPr>
      <w:r>
        <w:t>Mergers, acquisitions, and divestitures</w:t>
      </w:r>
    </w:p>
    <w:p w14:paraId="06C0CD73" w14:textId="77777777" w:rsidR="00681F15" w:rsidRDefault="00681F15">
      <w:pPr>
        <w:pStyle w:val="ListParagraph"/>
        <w:numPr>
          <w:ilvl w:val="0"/>
          <w:numId w:val="1"/>
        </w:numPr>
      </w:pPr>
      <w:r>
        <w:t>Tenant consolidation or separation initiatives</w:t>
      </w:r>
    </w:p>
    <w:p w14:paraId="2D966602" w14:textId="77777777" w:rsidR="00681F15" w:rsidRDefault="00681F15">
      <w:pPr>
        <w:pStyle w:val="ListParagraph"/>
        <w:numPr>
          <w:ilvl w:val="0"/>
          <w:numId w:val="1"/>
        </w:numPr>
      </w:pPr>
      <w:r>
        <w:t>Regulated and security-bound enterprise environments</w:t>
      </w:r>
    </w:p>
    <w:p w14:paraId="7DD41B29" w14:textId="77777777" w:rsidR="00681F15" w:rsidRDefault="00681F15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>-governed Azure platforms</w:t>
      </w:r>
    </w:p>
    <w:p w14:paraId="4D22FC30" w14:textId="77777777" w:rsidR="00681F15" w:rsidRDefault="00681F15" w:rsidP="00681F15">
      <w:r>
        <w:t xml:space="preserve">The architecture focuses on maintaining </w:t>
      </w:r>
      <w:r>
        <w:rPr>
          <w:b/>
          <w:bCs/>
        </w:rPr>
        <w:t>security isolation, compliance, and operational continuity</w:t>
      </w:r>
      <w:r>
        <w:t xml:space="preserve"> during migration.</w:t>
      </w:r>
    </w:p>
    <w:p w14:paraId="55DB3590" w14:textId="77777777" w:rsidR="00681F15" w:rsidRDefault="00681F15" w:rsidP="00681F15">
      <w:pPr>
        <w:pStyle w:val="Heading2"/>
      </w:pPr>
      <w:bookmarkStart w:id="21" w:name="_Toc228529895"/>
      <w:r>
        <w:t>3. Business Scenario Overview</w:t>
      </w:r>
      <w:bookmarkEnd w:id="21"/>
    </w:p>
    <w:p w14:paraId="55A2C7E0" w14:textId="77777777" w:rsidR="00681F15" w:rsidRDefault="00681F15" w:rsidP="00681F15">
      <w:r>
        <w:t xml:space="preserve">During major business transformations, organizations often need to </w:t>
      </w:r>
      <w:r>
        <w:rPr>
          <w:b/>
          <w:bCs/>
        </w:rPr>
        <w:t>separate or merge cloud environments</w:t>
      </w:r>
      <w:r>
        <w:t xml:space="preserve"> across different Microsoft Entra ID tenants. These scenarios include acquisitions, carve-outs, divestitures, or organizational restructuring.</w:t>
      </w:r>
    </w:p>
    <w:p w14:paraId="60DAD229" w14:textId="77777777" w:rsidR="00681F15" w:rsidRDefault="00681F15" w:rsidP="00681F15">
      <w:r>
        <w:t>A direct lift-and-shift approach across tenants introduces risks such as:</w:t>
      </w:r>
    </w:p>
    <w:p w14:paraId="45BD5D6A" w14:textId="77777777" w:rsidR="00681F15" w:rsidRDefault="00681F15">
      <w:pPr>
        <w:pStyle w:val="ListParagraph"/>
        <w:numPr>
          <w:ilvl w:val="0"/>
          <w:numId w:val="2"/>
        </w:numPr>
      </w:pPr>
      <w:r>
        <w:t>Loss of security boundaries</w:t>
      </w:r>
    </w:p>
    <w:p w14:paraId="0CB58247" w14:textId="77777777" w:rsidR="00681F15" w:rsidRDefault="00681F15">
      <w:pPr>
        <w:pStyle w:val="ListParagraph"/>
        <w:numPr>
          <w:ilvl w:val="0"/>
          <w:numId w:val="2"/>
        </w:numPr>
      </w:pPr>
      <w:r>
        <w:t>Identity and access misconfiguration</w:t>
      </w:r>
    </w:p>
    <w:p w14:paraId="2A539E4F" w14:textId="77777777" w:rsidR="00681F15" w:rsidRDefault="00681F15">
      <w:pPr>
        <w:pStyle w:val="ListParagraph"/>
        <w:numPr>
          <w:ilvl w:val="0"/>
          <w:numId w:val="2"/>
        </w:numPr>
      </w:pPr>
      <w:r>
        <w:t>Data integrity issues</w:t>
      </w:r>
    </w:p>
    <w:p w14:paraId="64ECFF3C" w14:textId="77777777" w:rsidR="00681F15" w:rsidRDefault="00681F15">
      <w:pPr>
        <w:pStyle w:val="ListParagraph"/>
        <w:numPr>
          <w:ilvl w:val="0"/>
          <w:numId w:val="2"/>
        </w:numPr>
      </w:pPr>
      <w:r>
        <w:t>Prolonged downtime</w:t>
      </w:r>
    </w:p>
    <w:p w14:paraId="73088606" w14:textId="77777777" w:rsidR="00681F15" w:rsidRDefault="00681F15" w:rsidP="00681F15">
      <w:r>
        <w:t xml:space="preserve">This reference architecture defines a </w:t>
      </w:r>
      <w:r>
        <w:rPr>
          <w:b/>
          <w:bCs/>
        </w:rPr>
        <w:t>controlled, step-by-step migration strategy</w:t>
      </w:r>
      <w:r>
        <w:t xml:space="preserve"> that ensures workloads are moved securely while minimizing business disruption.</w:t>
      </w:r>
    </w:p>
    <w:p w14:paraId="12730D63" w14:textId="77777777" w:rsidR="00681F15" w:rsidRDefault="00681F15" w:rsidP="00681F15">
      <w:pPr>
        <w:pStyle w:val="Heading2"/>
      </w:pPr>
      <w:bookmarkStart w:id="22" w:name="_Toc228529896"/>
      <w:r>
        <w:lastRenderedPageBreak/>
        <w:t>4. Reference Architecture Overview</w:t>
      </w:r>
      <w:bookmarkEnd w:id="22"/>
    </w:p>
    <w:p w14:paraId="3364322C" w14:textId="32BEEE76" w:rsidR="001A6053" w:rsidRPr="001A6053" w:rsidRDefault="001A6053" w:rsidP="001A6053">
      <w:r w:rsidRPr="001A6053">
        <w:rPr>
          <w:noProof/>
        </w:rPr>
        <w:drawing>
          <wp:inline distT="0" distB="0" distL="0" distR="0" wp14:anchorId="61CEFE68" wp14:editId="5D02CEF2">
            <wp:extent cx="5283472" cy="3492679"/>
            <wp:effectExtent l="0" t="0" r="0" b="0"/>
            <wp:docPr id="9556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30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5758" w14:textId="77777777" w:rsidR="00681F15" w:rsidRDefault="00681F15" w:rsidP="00681F15">
      <w:pPr>
        <w:pStyle w:val="Heading3"/>
      </w:pPr>
      <w:bookmarkStart w:id="23" w:name="_Toc228529897"/>
      <w:r>
        <w:t>4.1 Architecture Description</w:t>
      </w:r>
      <w:bookmarkEnd w:id="23"/>
    </w:p>
    <w:p w14:paraId="2D84B6A4" w14:textId="77777777" w:rsidR="00681F15" w:rsidRDefault="00681F15" w:rsidP="00681F15">
      <w:r>
        <w:t xml:space="preserve">The architecture implements a </w:t>
      </w:r>
      <w:r>
        <w:rPr>
          <w:b/>
          <w:bCs/>
        </w:rPr>
        <w:t>phased cross-tenant migration model</w:t>
      </w:r>
      <w:r>
        <w:t xml:space="preserve"> built around Infrastructure as Code (</w:t>
      </w:r>
      <w:proofErr w:type="spellStart"/>
      <w:r>
        <w:t>IaC</w:t>
      </w:r>
      <w:proofErr w:type="spellEnd"/>
      <w:r>
        <w:t>), temporary isolation, and controlled data movement. The process includes:</w:t>
      </w:r>
    </w:p>
    <w:p w14:paraId="575F8C17" w14:textId="77777777" w:rsidR="00681F15" w:rsidRDefault="00681F15">
      <w:pPr>
        <w:pStyle w:val="ListParagraph"/>
        <w:numPr>
          <w:ilvl w:val="0"/>
          <w:numId w:val="3"/>
        </w:numPr>
      </w:pPr>
      <w:r>
        <w:t>Re-deploying infrastructure in the target tenant</w:t>
      </w:r>
    </w:p>
    <w:p w14:paraId="078E3862" w14:textId="77777777" w:rsidR="00681F15" w:rsidRDefault="00681F15">
      <w:pPr>
        <w:pStyle w:val="ListParagraph"/>
        <w:numPr>
          <w:ilvl w:val="0"/>
          <w:numId w:val="3"/>
        </w:numPr>
      </w:pPr>
      <w:r>
        <w:t>Cloning data and state securely</w:t>
      </w:r>
    </w:p>
    <w:p w14:paraId="7615BBE6" w14:textId="77777777" w:rsidR="00681F15" w:rsidRDefault="00681F15">
      <w:pPr>
        <w:pStyle w:val="ListParagraph"/>
        <w:numPr>
          <w:ilvl w:val="0"/>
          <w:numId w:val="3"/>
        </w:numPr>
      </w:pPr>
      <w:r>
        <w:t>Migrating subscriptions and restoring workloads</w:t>
      </w:r>
    </w:p>
    <w:p w14:paraId="3AD65E84" w14:textId="77777777" w:rsidR="00681F15" w:rsidRDefault="00681F15" w:rsidP="00681F15">
      <w:r>
        <w:t xml:space="preserve">A temporary </w:t>
      </w:r>
      <w:r>
        <w:rPr>
          <w:b/>
          <w:bCs/>
        </w:rPr>
        <w:t>sidecar subscription</w:t>
      </w:r>
      <w:r>
        <w:t xml:space="preserve"> is used to host backups and cloned resources before final migration.</w:t>
      </w:r>
    </w:p>
    <w:p w14:paraId="6487D517" w14:textId="77777777" w:rsidR="00681F15" w:rsidRDefault="00681F15" w:rsidP="00681F15">
      <w:pPr>
        <w:pStyle w:val="Heading2"/>
      </w:pPr>
      <w:bookmarkStart w:id="24" w:name="_Toc228529898"/>
      <w:r>
        <w:t>5. Logical Architecture Components</w:t>
      </w:r>
      <w:bookmarkEnd w:id="24"/>
    </w:p>
    <w:p w14:paraId="4A06C0FA" w14:textId="77777777" w:rsidR="00681F15" w:rsidRDefault="00681F15" w:rsidP="00681F15">
      <w:pPr>
        <w:pStyle w:val="Heading3"/>
      </w:pPr>
      <w:bookmarkStart w:id="25" w:name="_Toc228529899"/>
      <w:r>
        <w:t>5.1 Identity and Tenant Boundary Management</w:t>
      </w:r>
      <w:bookmarkEnd w:id="25"/>
    </w:p>
    <w:p w14:paraId="002606B3" w14:textId="77777777" w:rsidR="00681F15" w:rsidRDefault="00681F15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</w:t>
      </w:r>
      <w:r>
        <w:t xml:space="preserve"> for tenant-level identity isolation</w:t>
      </w:r>
    </w:p>
    <w:p w14:paraId="4DDBA644" w14:textId="77777777" w:rsidR="00681F15" w:rsidRDefault="00681F15">
      <w:pPr>
        <w:pStyle w:val="ListParagraph"/>
        <w:numPr>
          <w:ilvl w:val="0"/>
          <w:numId w:val="4"/>
        </w:numPr>
      </w:pPr>
      <w:r>
        <w:t>Cross-tenant trust and access modeling</w:t>
      </w:r>
    </w:p>
    <w:p w14:paraId="7E86631B" w14:textId="77777777" w:rsidR="00681F15" w:rsidRDefault="00681F15">
      <w:pPr>
        <w:pStyle w:val="ListParagraph"/>
        <w:numPr>
          <w:ilvl w:val="0"/>
          <w:numId w:val="4"/>
        </w:numPr>
      </w:pPr>
      <w:r>
        <w:t>Strict separation of source and target tenant identities</w:t>
      </w:r>
    </w:p>
    <w:p w14:paraId="0494FA53" w14:textId="77777777" w:rsidR="00681F15" w:rsidRDefault="00681F15" w:rsidP="00681F15">
      <w:r>
        <w:t>This layer ensures security boundaries are preserved during migration.</w:t>
      </w:r>
    </w:p>
    <w:p w14:paraId="486505C8" w14:textId="77777777" w:rsidR="00681F15" w:rsidRDefault="00681F15" w:rsidP="00681F15">
      <w:pPr>
        <w:pStyle w:val="Heading3"/>
      </w:pPr>
      <w:bookmarkStart w:id="26" w:name="_Toc228529900"/>
      <w:r>
        <w:t>5.2 Infrastructure as Code and Resource Deployment</w:t>
      </w:r>
      <w:bookmarkEnd w:id="26"/>
    </w:p>
    <w:p w14:paraId="669BB507" w14:textId="77777777" w:rsidR="00681F15" w:rsidRDefault="00681F15">
      <w:pPr>
        <w:pStyle w:val="ListParagraph"/>
        <w:numPr>
          <w:ilvl w:val="0"/>
          <w:numId w:val="5"/>
        </w:numPr>
      </w:pPr>
      <w:r>
        <w:rPr>
          <w:b/>
          <w:bCs/>
        </w:rPr>
        <w:t>Azure Resource Manager (ARM) templates</w:t>
      </w:r>
    </w:p>
    <w:p w14:paraId="7E7CB28B" w14:textId="77777777" w:rsidR="00681F15" w:rsidRDefault="00681F15">
      <w:pPr>
        <w:pStyle w:val="ListParagraph"/>
        <w:numPr>
          <w:ilvl w:val="0"/>
          <w:numId w:val="5"/>
        </w:numPr>
      </w:pPr>
      <w:r>
        <w:t>Configuration files stored in source control repositories</w:t>
      </w:r>
    </w:p>
    <w:p w14:paraId="10DA7902" w14:textId="77777777" w:rsidR="00681F15" w:rsidRDefault="00681F15">
      <w:pPr>
        <w:pStyle w:val="ListParagraph"/>
        <w:numPr>
          <w:ilvl w:val="0"/>
          <w:numId w:val="5"/>
        </w:numPr>
      </w:pPr>
      <w:r>
        <w:lastRenderedPageBreak/>
        <w:t>Automated deployment to target tenant subscriptions</w:t>
      </w:r>
    </w:p>
    <w:p w14:paraId="2860F49B" w14:textId="1C63120D" w:rsidR="00681F15" w:rsidRDefault="00681F15" w:rsidP="00681F15">
      <w:r>
        <w:t>This enforces consistency, repeatability, and ability.</w:t>
      </w:r>
    </w:p>
    <w:p w14:paraId="22952794" w14:textId="77777777" w:rsidR="00681F15" w:rsidRDefault="00681F15" w:rsidP="00681F15">
      <w:pPr>
        <w:pStyle w:val="Heading3"/>
      </w:pPr>
      <w:bookmarkStart w:id="27" w:name="_Toc228529901"/>
      <w:r>
        <w:t>5.3 Data and Workload Migration Layer</w:t>
      </w:r>
      <w:bookmarkEnd w:id="27"/>
    </w:p>
    <w:p w14:paraId="4F1C23FE" w14:textId="77777777" w:rsidR="00681F15" w:rsidRDefault="00681F15">
      <w:pPr>
        <w:pStyle w:val="ListParagraph"/>
        <w:numPr>
          <w:ilvl w:val="0"/>
          <w:numId w:val="6"/>
        </w:numPr>
      </w:pPr>
      <w:r>
        <w:rPr>
          <w:b/>
          <w:bCs/>
        </w:rPr>
        <w:t>Azure Data Factory</w:t>
      </w:r>
      <w:r>
        <w:t xml:space="preserve"> for structured data migration</w:t>
      </w:r>
    </w:p>
    <w:p w14:paraId="059DAF34" w14:textId="77777777" w:rsidR="00681F15" w:rsidRDefault="00681F15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AzCopy</w:t>
      </w:r>
      <w:proofErr w:type="spellEnd"/>
      <w:r>
        <w:t xml:space="preserve"> for large-scale data movement</w:t>
      </w:r>
    </w:p>
    <w:p w14:paraId="0D570EE6" w14:textId="77777777" w:rsidR="00681F15" w:rsidRDefault="00681F15">
      <w:pPr>
        <w:pStyle w:val="ListParagraph"/>
        <w:numPr>
          <w:ilvl w:val="0"/>
          <w:numId w:val="6"/>
        </w:numPr>
      </w:pPr>
      <w:r>
        <w:t>Native backup and restore mechanisms for supported services</w:t>
      </w:r>
    </w:p>
    <w:p w14:paraId="5FE33916" w14:textId="77777777" w:rsidR="00681F15" w:rsidRDefault="00681F15" w:rsidP="00681F15">
      <w:r>
        <w:t>This layer enables secure and controlled data replication across tenants.</w:t>
      </w:r>
    </w:p>
    <w:p w14:paraId="6A15ABBE" w14:textId="77777777" w:rsidR="00681F15" w:rsidRDefault="00681F15" w:rsidP="00681F15">
      <w:pPr>
        <w:pStyle w:val="Heading3"/>
      </w:pPr>
      <w:bookmarkStart w:id="28" w:name="_Toc228529902"/>
      <w:r>
        <w:t>5.4 Sidecar Subscription Strategy</w:t>
      </w:r>
      <w:bookmarkEnd w:id="28"/>
    </w:p>
    <w:p w14:paraId="5C6A8B43" w14:textId="77777777" w:rsidR="00681F15" w:rsidRDefault="00681F15">
      <w:pPr>
        <w:pStyle w:val="ListParagraph"/>
        <w:numPr>
          <w:ilvl w:val="0"/>
          <w:numId w:val="7"/>
        </w:numPr>
      </w:pPr>
      <w:r>
        <w:t>Temporary subscription created in the source tenant</w:t>
      </w:r>
    </w:p>
    <w:p w14:paraId="7E6D711D" w14:textId="77777777" w:rsidR="00681F15" w:rsidRDefault="00681F15">
      <w:pPr>
        <w:pStyle w:val="ListParagraph"/>
        <w:numPr>
          <w:ilvl w:val="0"/>
          <w:numId w:val="7"/>
        </w:numPr>
      </w:pPr>
      <w:r>
        <w:t>Hosts cloned data services and VM backups</w:t>
      </w:r>
    </w:p>
    <w:p w14:paraId="47995554" w14:textId="77777777" w:rsidR="00681F15" w:rsidRDefault="00681F15">
      <w:pPr>
        <w:pStyle w:val="ListParagraph"/>
        <w:numPr>
          <w:ilvl w:val="0"/>
          <w:numId w:val="7"/>
        </w:numPr>
      </w:pPr>
      <w:r>
        <w:t>Isolated from production subscriptions</w:t>
      </w:r>
    </w:p>
    <w:p w14:paraId="606B51A7" w14:textId="77777777" w:rsidR="00681F15" w:rsidRDefault="00681F15" w:rsidP="00681F15">
      <w:r>
        <w:t>The sidecar subscription acts as a controlled staging environment during migration.</w:t>
      </w:r>
    </w:p>
    <w:p w14:paraId="782643E2" w14:textId="77777777" w:rsidR="00681F15" w:rsidRDefault="00681F15" w:rsidP="00681F15">
      <w:pPr>
        <w:pStyle w:val="Heading3"/>
      </w:pPr>
      <w:bookmarkStart w:id="29" w:name="_Toc228529903"/>
      <w:r>
        <w:t>5.5 Subscription and Resource Movement</w:t>
      </w:r>
      <w:bookmarkEnd w:id="29"/>
    </w:p>
    <w:p w14:paraId="6F072B30" w14:textId="77777777" w:rsidR="00681F15" w:rsidRDefault="00681F15">
      <w:pPr>
        <w:pStyle w:val="ListParagraph"/>
        <w:numPr>
          <w:ilvl w:val="0"/>
          <w:numId w:val="8"/>
        </w:numPr>
      </w:pPr>
      <w:r>
        <w:t>Azure subscription moved to the new tenant</w:t>
      </w:r>
    </w:p>
    <w:p w14:paraId="0110B479" w14:textId="77777777" w:rsidR="00681F15" w:rsidRDefault="00681F15">
      <w:pPr>
        <w:pStyle w:val="ListParagraph"/>
        <w:numPr>
          <w:ilvl w:val="0"/>
          <w:numId w:val="8"/>
        </w:numPr>
      </w:pPr>
      <w:r>
        <w:t>Resources restored or mapped to pre-created target resource groups</w:t>
      </w:r>
    </w:p>
    <w:p w14:paraId="78E825F3" w14:textId="77777777" w:rsidR="00681F15" w:rsidRDefault="00681F15">
      <w:pPr>
        <w:pStyle w:val="ListParagraph"/>
        <w:numPr>
          <w:ilvl w:val="0"/>
          <w:numId w:val="8"/>
        </w:numPr>
      </w:pPr>
      <w:r>
        <w:t>Validation performed before decommissioning temporary resources</w:t>
      </w:r>
    </w:p>
    <w:p w14:paraId="7D04CA9E" w14:textId="77777777" w:rsidR="00681F15" w:rsidRDefault="00681F15" w:rsidP="00681F15">
      <w:r>
        <w:t>This ensures clean tenant separation or consolidation.</w:t>
      </w:r>
    </w:p>
    <w:p w14:paraId="524B4A35" w14:textId="77777777" w:rsidR="00681F15" w:rsidRDefault="00681F15" w:rsidP="00681F15">
      <w:pPr>
        <w:pStyle w:val="Heading3"/>
      </w:pPr>
      <w:bookmarkStart w:id="30" w:name="_Toc228529904"/>
      <w:r>
        <w:t>5.6 Security and Governance Controls</w:t>
      </w:r>
      <w:bookmarkEnd w:id="30"/>
    </w:p>
    <w:p w14:paraId="2D6AB26A" w14:textId="77777777" w:rsidR="00681F15" w:rsidRDefault="00681F15">
      <w:pPr>
        <w:pStyle w:val="ListParagraph"/>
        <w:numPr>
          <w:ilvl w:val="0"/>
          <w:numId w:val="9"/>
        </w:numPr>
      </w:pPr>
      <w:r>
        <w:rPr>
          <w:b/>
          <w:bCs/>
        </w:rPr>
        <w:t>Azure RBAC</w:t>
      </w:r>
      <w:r>
        <w:t xml:space="preserve"> redefined in the target tenant</w:t>
      </w:r>
    </w:p>
    <w:p w14:paraId="714B5A35" w14:textId="77777777" w:rsidR="00681F15" w:rsidRDefault="00681F15">
      <w:pPr>
        <w:pStyle w:val="ListParagraph"/>
        <w:numPr>
          <w:ilvl w:val="0"/>
          <w:numId w:val="9"/>
        </w:numPr>
      </w:pPr>
      <w:r>
        <w:rPr>
          <w:b/>
          <w:bCs/>
        </w:rPr>
        <w:t>Azure Policy</w:t>
      </w:r>
      <w:r>
        <w:t xml:space="preserve"> and governance controls re-applied</w:t>
      </w:r>
    </w:p>
    <w:p w14:paraId="72D08AF4" w14:textId="77777777" w:rsidR="00681F15" w:rsidRDefault="00681F15">
      <w:pPr>
        <w:pStyle w:val="ListParagraph"/>
        <w:numPr>
          <w:ilvl w:val="0"/>
          <w:numId w:val="9"/>
        </w:numPr>
      </w:pPr>
      <w:r>
        <w:t>Logging, monitoring, and compliance validation</w:t>
      </w:r>
    </w:p>
    <w:p w14:paraId="456F9B77" w14:textId="77777777" w:rsidR="00681F15" w:rsidRDefault="00681F15" w:rsidP="00681F15">
      <w:r>
        <w:t>Security posture is validated before final cutover.</w:t>
      </w:r>
    </w:p>
    <w:p w14:paraId="12EB4274" w14:textId="77777777" w:rsidR="00681F15" w:rsidRDefault="00681F15" w:rsidP="00681F15">
      <w:pPr>
        <w:pStyle w:val="Heading2"/>
      </w:pPr>
      <w:bookmarkStart w:id="31" w:name="_Toc228529905"/>
      <w:r>
        <w:t>6. Architectural Best Practices</w:t>
      </w:r>
      <w:bookmarkEnd w:id="31"/>
    </w:p>
    <w:p w14:paraId="66612472" w14:textId="77777777" w:rsidR="00681F15" w:rsidRDefault="00681F15" w:rsidP="00681F15">
      <w:r>
        <w:t xml:space="preserve">This architecture aligns with the </w:t>
      </w:r>
      <w:r>
        <w:rPr>
          <w:b/>
          <w:bCs/>
        </w:rPr>
        <w:t>Azure Well-Architected Framework</w:t>
      </w:r>
      <w:r>
        <w:t>, particularly:</w:t>
      </w:r>
    </w:p>
    <w:p w14:paraId="37C00E1E" w14:textId="77777777" w:rsidR="00681F15" w:rsidRDefault="00681F15">
      <w:pPr>
        <w:pStyle w:val="ListParagraph"/>
        <w:numPr>
          <w:ilvl w:val="0"/>
          <w:numId w:val="10"/>
        </w:numPr>
      </w:pPr>
      <w:r>
        <w:rPr>
          <w:b/>
          <w:bCs/>
        </w:rPr>
        <w:t>Security</w:t>
      </w:r>
      <w:r>
        <w:t xml:space="preserve"> – Tenant isolation, least privilege, controlled access</w:t>
      </w:r>
    </w:p>
    <w:p w14:paraId="5DEA7388" w14:textId="1FB83153" w:rsidR="00681F15" w:rsidRDefault="00681F15">
      <w:pPr>
        <w:pStyle w:val="ListParagraph"/>
        <w:numPr>
          <w:ilvl w:val="0"/>
          <w:numId w:val="10"/>
        </w:numPr>
      </w:pPr>
      <w:r>
        <w:rPr>
          <w:b/>
          <w:bCs/>
        </w:rPr>
        <w:t>Operational Excellence</w:t>
      </w:r>
      <w:r>
        <w:t xml:space="preserve"> – Automated and able migration</w:t>
      </w:r>
    </w:p>
    <w:p w14:paraId="065F120F" w14:textId="77777777" w:rsidR="00681F15" w:rsidRDefault="00681F15">
      <w:pPr>
        <w:pStyle w:val="ListParagraph"/>
        <w:numPr>
          <w:ilvl w:val="0"/>
          <w:numId w:val="10"/>
        </w:numPr>
      </w:pPr>
      <w:r>
        <w:rPr>
          <w:b/>
          <w:bCs/>
        </w:rPr>
        <w:t>Reliability</w:t>
      </w:r>
      <w:r>
        <w:t xml:space="preserve"> – Staged migration with rollback capability</w:t>
      </w:r>
    </w:p>
    <w:p w14:paraId="08448146" w14:textId="77777777" w:rsidR="00681F15" w:rsidRDefault="00681F15" w:rsidP="00681F15">
      <w:r>
        <w:t>Governance and monitoring are enforced throughout the migration lifecycle.</w:t>
      </w:r>
    </w:p>
    <w:p w14:paraId="359C999E" w14:textId="77777777" w:rsidR="00681F15" w:rsidRDefault="00681F15" w:rsidP="00681F15">
      <w:pPr>
        <w:pStyle w:val="Heading2"/>
      </w:pPr>
      <w:bookmarkStart w:id="32" w:name="_Toc228529906"/>
      <w:r>
        <w:t>7. Cloud Center of Excellence (</w:t>
      </w:r>
      <w:proofErr w:type="spellStart"/>
      <w:r>
        <w:t>CCoE</w:t>
      </w:r>
      <w:proofErr w:type="spellEnd"/>
      <w:r>
        <w:t>) Enablement Model</w:t>
      </w:r>
      <w:bookmarkEnd w:id="32"/>
    </w:p>
    <w:p w14:paraId="53BDFFFD" w14:textId="77777777" w:rsidR="00681F15" w:rsidRDefault="00681F15" w:rsidP="00681F15">
      <w:r>
        <w:t xml:space="preserve">The </w:t>
      </w:r>
      <w:proofErr w:type="spellStart"/>
      <w:r>
        <w:t>CCoE</w:t>
      </w:r>
      <w:proofErr w:type="spellEnd"/>
      <w:r>
        <w:t xml:space="preserve"> leverages this architecture to:</w:t>
      </w:r>
    </w:p>
    <w:p w14:paraId="3B127297" w14:textId="77777777" w:rsidR="00681F15" w:rsidRDefault="00681F15">
      <w:pPr>
        <w:pStyle w:val="ListParagraph"/>
        <w:numPr>
          <w:ilvl w:val="0"/>
          <w:numId w:val="11"/>
        </w:numPr>
      </w:pPr>
      <w:r>
        <w:t>Define standardized cross-tenant migration patterns</w:t>
      </w:r>
    </w:p>
    <w:p w14:paraId="4DC2D0FD" w14:textId="77777777" w:rsidR="00681F15" w:rsidRDefault="00681F15">
      <w:pPr>
        <w:pStyle w:val="ListParagraph"/>
        <w:numPr>
          <w:ilvl w:val="0"/>
          <w:numId w:val="11"/>
        </w:numPr>
      </w:pPr>
      <w:r>
        <w:lastRenderedPageBreak/>
        <w:t>Enforce security and compliance standards</w:t>
      </w:r>
    </w:p>
    <w:p w14:paraId="1728BD64" w14:textId="4A55FEE0" w:rsidR="00681F15" w:rsidRDefault="00681F15" w:rsidP="002E5DAD">
      <w:pPr>
        <w:pStyle w:val="ListParagraph"/>
        <w:numPr>
          <w:ilvl w:val="0"/>
          <w:numId w:val="11"/>
        </w:numPr>
      </w:pPr>
      <w:r>
        <w:t xml:space="preserve">Provide reusable </w:t>
      </w:r>
      <w:proofErr w:type="spellStart"/>
      <w:r>
        <w:t>IaC</w:t>
      </w:r>
      <w:proofErr w:type="spellEnd"/>
      <w:r>
        <w:t xml:space="preserve"> templates and runbooks</w:t>
      </w:r>
    </w:p>
    <w:p w14:paraId="10F65DC1" w14:textId="77777777" w:rsidR="00681F15" w:rsidRDefault="00681F15" w:rsidP="00681F15">
      <w:r>
        <w:t>This enables consistent execution across business transformation programs.</w:t>
      </w:r>
    </w:p>
    <w:p w14:paraId="3CA9A966" w14:textId="77777777" w:rsidR="00681F15" w:rsidRDefault="00681F15" w:rsidP="00681F15">
      <w:pPr>
        <w:pStyle w:val="Heading2"/>
      </w:pPr>
      <w:bookmarkStart w:id="33" w:name="_Toc228529907"/>
      <w:r>
        <w:t>8. Reusability and Scalability</w:t>
      </w:r>
      <w:bookmarkEnd w:id="33"/>
    </w:p>
    <w:p w14:paraId="53D49501" w14:textId="77777777" w:rsidR="00681F15" w:rsidRDefault="00681F15">
      <w:pPr>
        <w:pStyle w:val="ListParagraph"/>
        <w:numPr>
          <w:ilvl w:val="0"/>
          <w:numId w:val="12"/>
        </w:numPr>
      </w:pPr>
      <w:r>
        <w:t>Reusable across multiple migration initiatives</w:t>
      </w:r>
    </w:p>
    <w:p w14:paraId="1D65373C" w14:textId="77777777" w:rsidR="00681F15" w:rsidRDefault="00681F15">
      <w:pPr>
        <w:pStyle w:val="ListParagraph"/>
        <w:numPr>
          <w:ilvl w:val="0"/>
          <w:numId w:val="12"/>
        </w:numPr>
      </w:pPr>
      <w:r>
        <w:t>Scales from single workloads to full tenant migrations</w:t>
      </w:r>
    </w:p>
    <w:p w14:paraId="4F04B38A" w14:textId="77777777" w:rsidR="00681F15" w:rsidRDefault="00681F15">
      <w:pPr>
        <w:pStyle w:val="ListParagraph"/>
        <w:numPr>
          <w:ilvl w:val="0"/>
          <w:numId w:val="12"/>
        </w:numPr>
      </w:pPr>
      <w:r>
        <w:t>Applicable across regions and regulated environments</w:t>
      </w:r>
    </w:p>
    <w:p w14:paraId="02979D3C" w14:textId="77777777" w:rsidR="00681F15" w:rsidRDefault="00681F15" w:rsidP="00681F15">
      <w:pPr>
        <w:pStyle w:val="Heading2"/>
      </w:pPr>
      <w:bookmarkStart w:id="34" w:name="_Toc228529908"/>
      <w:r>
        <w:t>9. Conclusion</w:t>
      </w:r>
      <w:bookmarkEnd w:id="34"/>
    </w:p>
    <w:p w14:paraId="0D77ACA4" w14:textId="77777777" w:rsidR="00681F15" w:rsidRDefault="00681F15" w:rsidP="00681F15">
      <w:r>
        <w:t xml:space="preserve">The </w:t>
      </w:r>
      <w:r>
        <w:rPr>
          <w:b/>
          <w:bCs/>
        </w:rPr>
        <w:t>Migrate Cloud Workloads Across Security Tenants Reference Architecture</w:t>
      </w:r>
      <w:r>
        <w:t xml:space="preserve"> provides a secure, Microsoft-aligned framework for executing complex cross-tenant migrations. It enables organizations to maintain security boundaries, governance, and operational continuity during critical business transformations.</w:t>
      </w:r>
    </w:p>
    <w:p w14:paraId="5A3CAACF" w14:textId="77777777" w:rsidR="00681F15" w:rsidRDefault="00681F15" w:rsidP="00B01D46">
      <w:pPr>
        <w:rPr>
          <w:b/>
          <w:bCs/>
          <w:noProof/>
        </w:rPr>
      </w:pPr>
    </w:p>
    <w:sectPr w:rsidR="00681F15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A134" w14:textId="77777777" w:rsidR="0071211C" w:rsidRDefault="0071211C" w:rsidP="006D7D5D">
      <w:pPr>
        <w:spacing w:after="0" w:line="240" w:lineRule="auto"/>
      </w:pPr>
      <w:r>
        <w:separator/>
      </w:r>
    </w:p>
  </w:endnote>
  <w:endnote w:type="continuationSeparator" w:id="0">
    <w:p w14:paraId="29A14687" w14:textId="77777777" w:rsidR="0071211C" w:rsidRDefault="0071211C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6CE51" w14:textId="77777777" w:rsidR="0071211C" w:rsidRDefault="0071211C" w:rsidP="006D7D5D">
      <w:pPr>
        <w:spacing w:after="0" w:line="240" w:lineRule="auto"/>
      </w:pPr>
      <w:r>
        <w:separator/>
      </w:r>
    </w:p>
  </w:footnote>
  <w:footnote w:type="continuationSeparator" w:id="0">
    <w:p w14:paraId="19F16604" w14:textId="77777777" w:rsidR="0071211C" w:rsidRDefault="0071211C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144A"/>
    <w:multiLevelType w:val="hybridMultilevel"/>
    <w:tmpl w:val="CCDA4906"/>
    <w:lvl w:ilvl="0" w:tplc="B84EF9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4CDD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4A02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227E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30FA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220B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D616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FCD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9E2D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51CBECD"/>
    <w:multiLevelType w:val="hybridMultilevel"/>
    <w:tmpl w:val="9FB0B816"/>
    <w:lvl w:ilvl="0" w:tplc="B08A3E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9A2C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E84F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A270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385A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0E34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F033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347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DECE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6689601"/>
    <w:multiLevelType w:val="hybridMultilevel"/>
    <w:tmpl w:val="111006E8"/>
    <w:lvl w:ilvl="0" w:tplc="6F56C2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92B9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FC48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63B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2616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0621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4817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FA60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9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DDB7291"/>
    <w:multiLevelType w:val="hybridMultilevel"/>
    <w:tmpl w:val="690A0FAC"/>
    <w:lvl w:ilvl="0" w:tplc="B9CA18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0AF3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74BA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4CEC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00E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74E6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42D4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CCF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026E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66D1F87"/>
    <w:multiLevelType w:val="hybridMultilevel"/>
    <w:tmpl w:val="490266B6"/>
    <w:lvl w:ilvl="0" w:tplc="D94A8B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CACC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ACCB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8C0C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2CCF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162E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9627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D8F2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AAD8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729761A"/>
    <w:multiLevelType w:val="hybridMultilevel"/>
    <w:tmpl w:val="4C4EA56C"/>
    <w:lvl w:ilvl="0" w:tplc="A87630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3C64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1E23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8B0A5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5E3B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F8A4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5AFF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76B7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9C65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04DE047"/>
    <w:multiLevelType w:val="hybridMultilevel"/>
    <w:tmpl w:val="F2925098"/>
    <w:lvl w:ilvl="0" w:tplc="510CB0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988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7EF4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B0DB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EE2D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F48D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307E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D4F1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7A5B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4CFD8CC"/>
    <w:multiLevelType w:val="hybridMultilevel"/>
    <w:tmpl w:val="D6FAF192"/>
    <w:lvl w:ilvl="0" w:tplc="3350FC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4428C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2608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9A1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1EC3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D0E5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BE8F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148B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7E7D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DC59396"/>
    <w:multiLevelType w:val="hybridMultilevel"/>
    <w:tmpl w:val="F78A30DA"/>
    <w:lvl w:ilvl="0" w:tplc="767E65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C2C8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3037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049D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C631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50F3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8A71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02C4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3A6A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C0764BF"/>
    <w:multiLevelType w:val="hybridMultilevel"/>
    <w:tmpl w:val="EC7A9E88"/>
    <w:lvl w:ilvl="0" w:tplc="6D50F7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D688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DC21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F8BF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2017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34DE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5EA0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B47D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643B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30925C0"/>
    <w:multiLevelType w:val="hybridMultilevel"/>
    <w:tmpl w:val="85BA9D30"/>
    <w:lvl w:ilvl="0" w:tplc="D54E9B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988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9ADF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AAFD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14FD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ECF7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6EE2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228A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66DA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AF5C5F4"/>
    <w:multiLevelType w:val="hybridMultilevel"/>
    <w:tmpl w:val="065A0AB4"/>
    <w:lvl w:ilvl="0" w:tplc="F7DEB3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0828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8EC8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162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E826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409E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FC32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06F2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321B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534072984">
    <w:abstractNumId w:val="2"/>
  </w:num>
  <w:num w:numId="2" w16cid:durableId="1458138361">
    <w:abstractNumId w:val="1"/>
  </w:num>
  <w:num w:numId="3" w16cid:durableId="2116751857">
    <w:abstractNumId w:val="6"/>
  </w:num>
  <w:num w:numId="4" w16cid:durableId="687102135">
    <w:abstractNumId w:val="11"/>
  </w:num>
  <w:num w:numId="5" w16cid:durableId="546331421">
    <w:abstractNumId w:val="0"/>
  </w:num>
  <w:num w:numId="6" w16cid:durableId="353506148">
    <w:abstractNumId w:val="8"/>
  </w:num>
  <w:num w:numId="7" w16cid:durableId="115834156">
    <w:abstractNumId w:val="5"/>
  </w:num>
  <w:num w:numId="8" w16cid:durableId="890114817">
    <w:abstractNumId w:val="10"/>
  </w:num>
  <w:num w:numId="9" w16cid:durableId="830098611">
    <w:abstractNumId w:val="3"/>
  </w:num>
  <w:num w:numId="10" w16cid:durableId="1671251274">
    <w:abstractNumId w:val="7"/>
  </w:num>
  <w:num w:numId="11" w16cid:durableId="1281957982">
    <w:abstractNumId w:val="9"/>
  </w:num>
  <w:num w:numId="12" w16cid:durableId="39971993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B5623"/>
    <w:rsid w:val="000D0CBF"/>
    <w:rsid w:val="000D2C6F"/>
    <w:rsid w:val="000F1399"/>
    <w:rsid w:val="000F3E6F"/>
    <w:rsid w:val="000F49AC"/>
    <w:rsid w:val="00106445"/>
    <w:rsid w:val="00124DB6"/>
    <w:rsid w:val="00147B9F"/>
    <w:rsid w:val="001620C7"/>
    <w:rsid w:val="00171ACC"/>
    <w:rsid w:val="00177197"/>
    <w:rsid w:val="00180AA2"/>
    <w:rsid w:val="001A0BEF"/>
    <w:rsid w:val="001A6053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2E5DAD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840C2"/>
    <w:rsid w:val="0049186D"/>
    <w:rsid w:val="004A3044"/>
    <w:rsid w:val="004A6CEC"/>
    <w:rsid w:val="004F1AE0"/>
    <w:rsid w:val="00505264"/>
    <w:rsid w:val="005053BA"/>
    <w:rsid w:val="00521CFB"/>
    <w:rsid w:val="00524A5B"/>
    <w:rsid w:val="00527772"/>
    <w:rsid w:val="00550FA0"/>
    <w:rsid w:val="00553269"/>
    <w:rsid w:val="00581786"/>
    <w:rsid w:val="005C45DD"/>
    <w:rsid w:val="005C6BF6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1F15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1211C"/>
    <w:rsid w:val="007349CA"/>
    <w:rsid w:val="00734A75"/>
    <w:rsid w:val="00762EDE"/>
    <w:rsid w:val="00767292"/>
    <w:rsid w:val="00777CB0"/>
    <w:rsid w:val="00781A92"/>
    <w:rsid w:val="00795FC8"/>
    <w:rsid w:val="007B10A0"/>
    <w:rsid w:val="007B6A6F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AF3203"/>
    <w:rsid w:val="00AF43A7"/>
    <w:rsid w:val="00B01D46"/>
    <w:rsid w:val="00B12C39"/>
    <w:rsid w:val="00B14ABF"/>
    <w:rsid w:val="00B22B24"/>
    <w:rsid w:val="00B33E62"/>
    <w:rsid w:val="00B366FB"/>
    <w:rsid w:val="00B50E08"/>
    <w:rsid w:val="00B553EE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1B7D"/>
    <w:rsid w:val="00CA51EC"/>
    <w:rsid w:val="00CC2607"/>
    <w:rsid w:val="00CC3CEE"/>
    <w:rsid w:val="00CD267A"/>
    <w:rsid w:val="00CF7D3C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655DA"/>
    <w:rsid w:val="00F705CC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A605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41F72-94A3-4652-9241-17CA18150BFA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130</cp:revision>
  <dcterms:created xsi:type="dcterms:W3CDTF">2026-04-21T10:59:00Z</dcterms:created>
  <dcterms:modified xsi:type="dcterms:W3CDTF">2026-05-07T23:50:00Z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