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5FDA" w14:textId="3C4367DE" w:rsidR="00C67C56" w:rsidRPr="000D263D" w:rsidRDefault="00C67C56" w:rsidP="00C67C56">
      <w:pPr>
        <w:jc w:val="center"/>
        <w:rPr>
          <w:b/>
          <w:bCs/>
        </w:rPr>
      </w:pPr>
      <w:r w:rsidRPr="000D263D">
        <w:rPr>
          <w:b/>
          <w:bCs/>
          <w:sz w:val="26"/>
          <w:szCs w:val="26"/>
        </w:rPr>
        <w:t>Cloud Center of Excellence (CoE): Strategic Operations Document</w:t>
      </w:r>
      <w:r w:rsidRPr="00FD60FA">
        <w:rPr>
          <w:b/>
          <w:bCs/>
          <w:sz w:val="26"/>
          <w:szCs w:val="26"/>
        </w:rPr>
        <w:t xml:space="preserve"> for </w:t>
      </w:r>
      <w:r w:rsidRPr="000D263D">
        <w:rPr>
          <w:b/>
          <w:bCs/>
          <w:sz w:val="26"/>
          <w:szCs w:val="26"/>
        </w:rPr>
        <w:t>AI Workforce</w:t>
      </w:r>
    </w:p>
    <w:p w14:paraId="1C483B3E" w14:textId="77777777" w:rsidR="00643697" w:rsidRDefault="00C67C56" w:rsidP="00643697">
      <w:r>
        <w:rPr>
          <w:b/>
          <w:bCs/>
        </w:rPr>
        <w:t xml:space="preserve">1. </w:t>
      </w:r>
      <w:r w:rsidRPr="000D263D">
        <w:rPr>
          <w:b/>
          <w:bCs/>
        </w:rPr>
        <w:t>Executive Charter</w:t>
      </w:r>
      <w:r w:rsidRPr="000D263D">
        <w:t xml:space="preserve">: </w:t>
      </w:r>
      <w:r w:rsidR="00643697">
        <w:t>The Cloud AI Platform CoE equips resellers to rapidly build, deploy, scale, and govern AI solutions using Microsoft Azure AI services. It accelerates sales cycles, reduces technical risk in deals, and ensures high-quality project delivery to maximize customer value and partner revenue growth in AI opportunities.</w:t>
      </w:r>
    </w:p>
    <w:p w14:paraId="1CF3BCE7" w14:textId="750A235E" w:rsidR="00C67C56" w:rsidRPr="000D263D" w:rsidRDefault="00C67C56" w:rsidP="00C67C56">
      <w:pPr>
        <w:rPr>
          <w:b/>
          <w:bCs/>
        </w:rPr>
      </w:pPr>
      <w:r w:rsidRPr="000D263D">
        <w:rPr>
          <w:b/>
          <w:bCs/>
        </w:rPr>
        <w:t xml:space="preserve">I. </w:t>
      </w:r>
      <w:r w:rsidR="00BA7C8A">
        <w:rPr>
          <w:b/>
          <w:bCs/>
        </w:rPr>
        <w:t>Key</w:t>
      </w:r>
      <w:r w:rsidRPr="000D263D">
        <w:rPr>
          <w:b/>
          <w:bCs/>
        </w:rPr>
        <w:t xml:space="preserve"> Focus Areas</w:t>
      </w:r>
    </w:p>
    <w:p w14:paraId="5A0F6E90" w14:textId="77777777" w:rsidR="00BA7C8A" w:rsidRPr="00BA7C8A" w:rsidRDefault="00BA7C8A" w:rsidP="00BA7C8A">
      <w:pPr>
        <w:numPr>
          <w:ilvl w:val="0"/>
          <w:numId w:val="1"/>
        </w:numPr>
      </w:pPr>
      <w:r w:rsidRPr="00BA7C8A">
        <w:t xml:space="preserve">Azure OpenAI Service and generative AI  </w:t>
      </w:r>
    </w:p>
    <w:p w14:paraId="1D117A8F" w14:textId="127B72D4" w:rsidR="00BA7C8A" w:rsidRPr="00BA7C8A" w:rsidRDefault="00BA7C8A" w:rsidP="00BA7C8A">
      <w:pPr>
        <w:numPr>
          <w:ilvl w:val="0"/>
          <w:numId w:val="1"/>
        </w:numPr>
      </w:pPr>
      <w:r w:rsidRPr="00BA7C8A">
        <w:t xml:space="preserve">Azure Machine Learning and model training/deploy  </w:t>
      </w:r>
    </w:p>
    <w:p w14:paraId="4297772C" w14:textId="3E6EBB40" w:rsidR="00BA7C8A" w:rsidRPr="00BA7C8A" w:rsidRDefault="00BA7C8A" w:rsidP="00BA7C8A">
      <w:pPr>
        <w:numPr>
          <w:ilvl w:val="0"/>
          <w:numId w:val="1"/>
        </w:numPr>
      </w:pPr>
      <w:r w:rsidRPr="00BA7C8A">
        <w:t xml:space="preserve">Azure AI services (Vision, Speech, Language, Document Intelligence)  </w:t>
      </w:r>
    </w:p>
    <w:p w14:paraId="47C3A7CE" w14:textId="595F9064" w:rsidR="00BA7C8A" w:rsidRPr="00BA7C8A" w:rsidRDefault="00BA7C8A" w:rsidP="00BA7C8A">
      <w:pPr>
        <w:numPr>
          <w:ilvl w:val="0"/>
          <w:numId w:val="1"/>
        </w:numPr>
      </w:pPr>
      <w:r w:rsidRPr="00BA7C8A">
        <w:t xml:space="preserve">Responsible AI principles, governance, and ethics  </w:t>
      </w:r>
    </w:p>
    <w:p w14:paraId="0AA5B5A3" w14:textId="192BFD65" w:rsidR="00C67C56" w:rsidRDefault="00BA7C8A" w:rsidP="00BA7C8A">
      <w:pPr>
        <w:numPr>
          <w:ilvl w:val="0"/>
          <w:numId w:val="1"/>
        </w:numPr>
      </w:pPr>
      <w:r w:rsidRPr="00BA7C8A">
        <w:t>End-to-end AI lifecycle management (data prep → inference → monitoring)</w:t>
      </w:r>
      <w:r w:rsidR="00C67C56" w:rsidRPr="00BA7C8A">
        <w:t>.</w:t>
      </w:r>
    </w:p>
    <w:p w14:paraId="1235E1B2" w14:textId="77777777" w:rsidR="00C67C56" w:rsidRPr="000D263D" w:rsidRDefault="00C67C56" w:rsidP="00C67C56">
      <w:pPr>
        <w:rPr>
          <w:b/>
          <w:bCs/>
        </w:rPr>
      </w:pPr>
      <w:r w:rsidRPr="000D263D">
        <w:rPr>
          <w:b/>
          <w:bCs/>
        </w:rPr>
        <w:t>II. Allocated Resources &amp; Services Bench</w:t>
      </w:r>
    </w:p>
    <w:p w14:paraId="382014F9" w14:textId="77777777" w:rsidR="00C67C56" w:rsidRPr="000D263D" w:rsidRDefault="00C67C56" w:rsidP="00C67C56">
      <w:pPr>
        <w:numPr>
          <w:ilvl w:val="0"/>
          <w:numId w:val="2"/>
        </w:numPr>
      </w:pPr>
      <w:r w:rsidRPr="000D263D">
        <w:rPr>
          <w:b/>
          <w:bCs/>
        </w:rPr>
        <w:t>Modern Work Strategic Consultant:</w:t>
      </w:r>
      <w:r w:rsidRPr="000D263D">
        <w:t xml:space="preserve"> A high-level advisor who aligns AI technology with the customer's business KPIs. This role leads executive briefings and helps partners build the "Business Case for AI" for C-suite stakeholders.</w:t>
      </w:r>
    </w:p>
    <w:p w14:paraId="41D16DD9" w14:textId="77777777" w:rsidR="00C67C56" w:rsidRPr="000D263D" w:rsidRDefault="00C67C56" w:rsidP="00C67C56">
      <w:pPr>
        <w:numPr>
          <w:ilvl w:val="0"/>
          <w:numId w:val="2"/>
        </w:numPr>
      </w:pPr>
      <w:r w:rsidRPr="000D263D">
        <w:rPr>
          <w:b/>
          <w:bCs/>
        </w:rPr>
        <w:t>Adoption &amp; Change Management (ACM) Specialists:</w:t>
      </w:r>
      <w:r w:rsidRPr="000D263D">
        <w:t xml:space="preserve"> A team focused on the "human side" of technology. They deliver white-labeled training, prompt engineering workshops, and communication kits that resellers can provide to end-customers to ensure high user-sentiment and tool retention.</w:t>
      </w:r>
    </w:p>
    <w:p w14:paraId="1A6FEC0F" w14:textId="77777777" w:rsidR="00C67C56" w:rsidRPr="000D263D" w:rsidRDefault="00C67C56" w:rsidP="00C67C56">
      <w:pPr>
        <w:numPr>
          <w:ilvl w:val="0"/>
          <w:numId w:val="2"/>
        </w:numPr>
      </w:pPr>
      <w:r w:rsidRPr="000D263D">
        <w:rPr>
          <w:b/>
          <w:bCs/>
        </w:rPr>
        <w:t>M365 Technical Configuration Bench:</w:t>
      </w:r>
      <w:r w:rsidRPr="000D263D">
        <w:t xml:space="preserve"> Our technical delivery team specializing in tenant-level optimizations. They handle the complex backend work, such as OneDrive migrations, SharePoint permission cleanup, and licensing audits, which are prerequisites for a successful AI rollout.</w:t>
      </w:r>
    </w:p>
    <w:p w14:paraId="52BFC733" w14:textId="77777777" w:rsidR="00C67C56" w:rsidRPr="000D263D" w:rsidRDefault="00C67C56" w:rsidP="00C67C56">
      <w:pPr>
        <w:rPr>
          <w:b/>
          <w:bCs/>
        </w:rPr>
      </w:pPr>
      <w:r w:rsidRPr="000D263D">
        <w:rPr>
          <w:b/>
          <w:bCs/>
        </w:rPr>
        <w:t>III. Service Offerings</w:t>
      </w:r>
    </w:p>
    <w:p w14:paraId="2249E1DF" w14:textId="77777777" w:rsidR="00C67C56" w:rsidRPr="000D263D" w:rsidRDefault="00C67C56" w:rsidP="00C67C56">
      <w:pPr>
        <w:numPr>
          <w:ilvl w:val="0"/>
          <w:numId w:val="3"/>
        </w:numPr>
      </w:pPr>
      <w:r w:rsidRPr="000D263D">
        <w:rPr>
          <w:b/>
          <w:bCs/>
        </w:rPr>
        <w:t>Copilot "Readiness to Value" Engagement:</w:t>
      </w:r>
      <w:r w:rsidRPr="000D263D">
        <w:t xml:space="preserve"> A tiered assessment that evaluates a customer's technical environment and organizational culture, providing a prioritized roadmap for a secure and impactful AI rollout.</w:t>
      </w:r>
    </w:p>
    <w:p w14:paraId="076AE289" w14:textId="77777777" w:rsidR="00C67C56" w:rsidRPr="000D263D" w:rsidRDefault="00C67C56" w:rsidP="00C67C56">
      <w:pPr>
        <w:numPr>
          <w:ilvl w:val="0"/>
          <w:numId w:val="3"/>
        </w:numPr>
      </w:pPr>
      <w:r w:rsidRPr="000D263D">
        <w:rPr>
          <w:b/>
          <w:bCs/>
        </w:rPr>
        <w:t>Industry-Specific Prompt Library:</w:t>
      </w:r>
      <w:r w:rsidRPr="000D263D">
        <w:t xml:space="preserve"> A curated, constantly updated repository of "Power Prompts" tailored for specific sectors (e.g., Retail, Banking, Healthcare), allowing partners to provide immediate value-add to their customers.</w:t>
      </w:r>
    </w:p>
    <w:p w14:paraId="2A814FED" w14:textId="77777777" w:rsidR="00C67C56" w:rsidRPr="000D263D" w:rsidRDefault="00C67C56" w:rsidP="00C67C56">
      <w:pPr>
        <w:numPr>
          <w:ilvl w:val="0"/>
          <w:numId w:val="3"/>
        </w:numPr>
      </w:pPr>
      <w:r w:rsidRPr="000D263D">
        <w:rPr>
          <w:b/>
          <w:bCs/>
        </w:rPr>
        <w:t>AI Adoption Dashboard &amp; Analytics:</w:t>
      </w:r>
      <w:r w:rsidRPr="000D263D">
        <w:t xml:space="preserve"> A service that uses Microsoft Viva Insights to provide partners with visual proof of AI impact, tracking metrics like "meeting hours reduced" and "email draft efficiency," which are vital for renewal and expansion conversations.</w:t>
      </w:r>
    </w:p>
    <w:p w14:paraId="4BC1A094" w14:textId="77777777" w:rsidR="003D37D8" w:rsidRDefault="003D37D8"/>
    <w:sectPr w:rsidR="003D37D8">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EDE40" w14:textId="77777777" w:rsidR="00D70387" w:rsidRDefault="00D70387" w:rsidP="00C67C56">
      <w:pPr>
        <w:spacing w:after="0" w:line="240" w:lineRule="auto"/>
      </w:pPr>
      <w:r>
        <w:separator/>
      </w:r>
    </w:p>
  </w:endnote>
  <w:endnote w:type="continuationSeparator" w:id="0">
    <w:p w14:paraId="62417BBC" w14:textId="77777777" w:rsidR="00D70387" w:rsidRDefault="00D70387" w:rsidP="00C67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325D" w14:textId="571F23DE" w:rsidR="00C67C56" w:rsidRDefault="00C67C56">
    <w:pPr>
      <w:pStyle w:val="Footer"/>
    </w:pPr>
    <w:r>
      <w:rPr>
        <w:noProof/>
      </w:rPr>
      <mc:AlternateContent>
        <mc:Choice Requires="wps">
          <w:drawing>
            <wp:anchor distT="0" distB="0" distL="0" distR="0" simplePos="0" relativeHeight="251659264" behindDoc="0" locked="0" layoutInCell="1" allowOverlap="1" wp14:anchorId="60AFD76F" wp14:editId="7B02EC84">
              <wp:simplePos x="635" y="635"/>
              <wp:positionH relativeFrom="page">
                <wp:align>left</wp:align>
              </wp:positionH>
              <wp:positionV relativeFrom="page">
                <wp:align>bottom</wp:align>
              </wp:positionV>
              <wp:extent cx="2252345" cy="357505"/>
              <wp:effectExtent l="0" t="0" r="14605" b="0"/>
              <wp:wrapNone/>
              <wp:docPr id="1228239833" name="Text Box 2"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402D3450" w14:textId="213CC47F" w:rsidR="00C67C56" w:rsidRPr="00C67C56" w:rsidRDefault="00C67C56" w:rsidP="00C67C56">
                          <w:pPr>
                            <w:spacing w:after="0"/>
                            <w:rPr>
                              <w:rFonts w:ascii="Aptos" w:eastAsia="Aptos" w:hAnsi="Aptos" w:cs="Aptos"/>
                              <w:noProof/>
                              <w:color w:val="008000"/>
                              <w:sz w:val="20"/>
                              <w:szCs w:val="20"/>
                            </w:rPr>
                          </w:pPr>
                          <w:r w:rsidRPr="00C67C56">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AFD76F" id="_x0000_t202" coordsize="21600,21600" o:spt="202" path="m,l,21600r21600,l21600,xe">
              <v:stroke joinstyle="miter"/>
              <v:path gradientshapeok="t" o:connecttype="rect"/>
            </v:shapetype>
            <v:shape id="Text Box 2" o:spid="_x0000_s1026" type="#_x0000_t202" alt="Information Classification: RL\Public " style="position:absolute;margin-left:0;margin-top:0;width:177.3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E95DwIAABsEAAAOAAAAZHJzL2Uyb0RvYy54bWysU8Fu2zAMvQ/YPwi6L3bceuuMOEXWIsOA&#10;oi2QDj0rshQbkERBUmJnXz9KdpKt22nYRaZI+pF8fFrcDlqRg3C+A1PT+SynRBgOTWd2Nf3+sv5w&#10;Q4kPzDRMgRE1PQpPb5fv3y16W4kCWlCNcARBjK96W9M2BFtlmeet0MzPwAqDQQlOs4BXt8sax3pE&#10;1yor8vxj1oNrrAMuvEfv/Riky4QvpeDhSUovAlE1xd5COl06t/HMlgtW7RyzbcenNtg/dKFZZ7Do&#10;GeqeBUb2rvsDSnfcgQcZZhx0BlJ2XKQZcJp5/maaTcusSLMgOd6eafL/D5Y/Hjb22ZEwfIEBFxgJ&#10;6a2vPDrjPIN0On6xU4JxpPB4pk0MgXB0FkVZXF2XlHCMXZWfyryMMNnlb+t8+CpAk2jU1OFaElvs&#10;8ODDmHpKicUMrDul0mqU+c2BmNGTXVqMVhi2w9T3FpojjuNg3LS3fN1hzQfmwzNzuFqcAOUanvCQ&#10;CvqawmRR0oL78Td/zEfGMUpJj1KpqUEtU6K+GdxEUV7neZRWuqHhTsY2GfPPeRnjZq/vAFU4xwdh&#10;eTJjclAnUzrQr6jmVayGIWY41qzp9mTehVG4+Bq4WK1SEqrIsvBgNpZH6EhWZPJleGXOTnQHXNQj&#10;nMTEqjesj7nxT29X+4Dcp5VEYkc2J75RgWmp02uJEv/1nrIub3r5EwAA//8DAFBLAwQUAAYACAAA&#10;ACEAyGHJEdsAAAAEAQAADwAAAGRycy9kb3ducmV2LnhtbEyPzU7DMBCE70i8g7WVuFGnLQ0oxKkq&#10;/sSVgNQenXgbR43XIeu26dvjcoHLSqMZzXybr0bXiSMO3HpSMJsmIJBqb1pqFHx9vt4+gOCgyejO&#10;Eyo4I8OquL7KdWb8iT7wWIZGxBLiTCuwIfSZlFxbdJqnvkeK3s4PTocoh0aaQZ9iuevkPElS6XRL&#10;ccHqHp8s1vvy4BSkz29r22/S7fduzu9c+X0o/YtSN5Nx/Qgi4Bj+wnDBj+hQRKbKH8iw6BTER8Lv&#10;jd5ieXcPolKwTBcgi1z+hy9+AAAA//8DAFBLAQItABQABgAIAAAAIQC2gziS/gAAAOEBAAATAAAA&#10;AAAAAAAAAAAAAAAAAABbQ29udGVudF9UeXBlc10ueG1sUEsBAi0AFAAGAAgAAAAhADj9If/WAAAA&#10;lAEAAAsAAAAAAAAAAAAAAAAALwEAAF9yZWxzLy5yZWxzUEsBAi0AFAAGAAgAAAAhADcoT3kPAgAA&#10;GwQAAA4AAAAAAAAAAAAAAAAALgIAAGRycy9lMm9Eb2MueG1sUEsBAi0AFAAGAAgAAAAhAMhhyRHb&#10;AAAABAEAAA8AAAAAAAAAAAAAAAAAaQQAAGRycy9kb3ducmV2LnhtbFBLBQYAAAAABAAEAPMAAABx&#10;BQAAAAA=&#10;" filled="f" stroked="f">
              <v:textbox style="mso-fit-shape-to-text:t" inset="20pt,0,0,15pt">
                <w:txbxContent>
                  <w:p w14:paraId="402D3450" w14:textId="213CC47F" w:rsidR="00C67C56" w:rsidRPr="00C67C56" w:rsidRDefault="00C67C56" w:rsidP="00C67C56">
                    <w:pPr>
                      <w:spacing w:after="0"/>
                      <w:rPr>
                        <w:rFonts w:ascii="Aptos" w:eastAsia="Aptos" w:hAnsi="Aptos" w:cs="Aptos"/>
                        <w:noProof/>
                        <w:color w:val="008000"/>
                        <w:sz w:val="20"/>
                        <w:szCs w:val="20"/>
                      </w:rPr>
                    </w:pPr>
                    <w:r w:rsidRPr="00C67C56">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259C" w14:textId="2643D812" w:rsidR="00C67C56" w:rsidRDefault="00C67C56">
    <w:pPr>
      <w:pStyle w:val="Footer"/>
    </w:pPr>
    <w:r>
      <w:rPr>
        <w:noProof/>
      </w:rPr>
      <mc:AlternateContent>
        <mc:Choice Requires="wps">
          <w:drawing>
            <wp:anchor distT="0" distB="0" distL="0" distR="0" simplePos="0" relativeHeight="251660288" behindDoc="0" locked="0" layoutInCell="1" allowOverlap="1" wp14:anchorId="13C4E3A3" wp14:editId="018B39F1">
              <wp:simplePos x="914400" y="10071100"/>
              <wp:positionH relativeFrom="page">
                <wp:align>left</wp:align>
              </wp:positionH>
              <wp:positionV relativeFrom="page">
                <wp:align>bottom</wp:align>
              </wp:positionV>
              <wp:extent cx="2252345" cy="357505"/>
              <wp:effectExtent l="0" t="0" r="14605" b="0"/>
              <wp:wrapNone/>
              <wp:docPr id="79830764" name="Text Box 3"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2B2030E3" w14:textId="0D0044A4" w:rsidR="00C67C56" w:rsidRPr="00C67C56" w:rsidRDefault="00C67C56" w:rsidP="00C67C56">
                          <w:pPr>
                            <w:spacing w:after="0"/>
                            <w:rPr>
                              <w:rFonts w:ascii="Aptos" w:eastAsia="Aptos" w:hAnsi="Aptos" w:cs="Aptos"/>
                              <w:noProof/>
                              <w:color w:val="008000"/>
                              <w:sz w:val="20"/>
                              <w:szCs w:val="20"/>
                            </w:rPr>
                          </w:pPr>
                          <w:r w:rsidRPr="00C67C56">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C4E3A3" id="_x0000_t202" coordsize="21600,21600" o:spt="202" path="m,l,21600r21600,l21600,xe">
              <v:stroke joinstyle="miter"/>
              <v:path gradientshapeok="t" o:connecttype="rect"/>
            </v:shapetype>
            <v:shape id="Text Box 3" o:spid="_x0000_s1027" type="#_x0000_t202" alt="Information Classification: RL\Public " style="position:absolute;margin-left:0;margin-top:0;width:177.3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VXEgIAACIEAAAOAAAAZHJzL2Uyb0RvYy54bWysU8lu2zAQvRfoPxC815KVqItgOXATuChg&#10;JAGcImeaIi0BJIcgaUvu13dIeUnTnIJeqOHMaJb3Hmc3g1ZkL5zvwNR0OskpEYZD05ltTX89LT99&#10;pcQHZhqmwIiaHoSnN/OPH2a9rUQBLahGOIJFjK96W9M2BFtlmeet0MxPwAqDQQlOs4BXt80ax3qs&#10;rlVW5PnnrAfXWAdceI/euzFI56m+lIKHBym9CETVFGcL6XTp3MQzm89YtXXMth0/jsHeMYVmncGm&#10;51J3LDCyc90/pXTHHXiQYcJBZyBlx0XaAbeZ5q+2WbfMirQLguPtGSb//8ry+/3aPjoShu8wIIER&#10;kN76yqMz7jNIp+MXJyUYRwgPZ9jEEAhHZ1GUxdV1SQnH2FX5pczLWCa7/G2dDz8EaBKNmjqkJaHF&#10;9isfxtRTSmxmYNkplahR5i8H1oye7DJitMKwGUjXvBh/A80Bt3IwEu4tX3bYesV8eGQOGcZFULXh&#10;AQ+poK8pHC1KWnC/3/LHfAQeo5T0qJiaGpQ0JeqnQUKK8jrPo8LSDQ13MjbJmH7Lyxg3O30LKMYp&#10;vgvLkxmTgzqZ0oF+RlEvYjcMMcOxZ003J/M2jPrFR8HFYpGSUEyWhZVZWx5LR8wioE/DM3P2iHpA&#10;vu7hpClWvQJ/zI1/ervYBaQgMRPxHdE8wo5CTNweH01U+st7yro87fkfAAAA//8DAFBLAwQUAAYA&#10;CAAAACEAyGHJEdsAAAAEAQAADwAAAGRycy9kb3ducmV2LnhtbEyPzU7DMBCE70i8g7WVuFGnLQ0o&#10;xKkq/sSVgNQenXgbR43XIeu26dvjcoHLSqMZzXybr0bXiSMO3HpSMJsmIJBqb1pqFHx9vt4+gOCg&#10;yejOEyo4I8OquL7KdWb8iT7wWIZGxBLiTCuwIfSZlFxbdJqnvkeK3s4PTocoh0aaQZ9iuevkPElS&#10;6XRLccHqHp8s1vvy4BSkz29r22/S7fduzu9c+X0o/YtSN5Nx/Qgi4Bj+wnDBj+hQRKbKH8iw6BTE&#10;R8Lvjd5ieXcPolKwTBcgi1z+hy9+AAAA//8DAFBLAQItABQABgAIAAAAIQC2gziS/gAAAOEBAAAT&#10;AAAAAAAAAAAAAAAAAAAAAABbQ29udGVudF9UeXBlc10ueG1sUEsBAi0AFAAGAAgAAAAhADj9If/W&#10;AAAAlAEAAAsAAAAAAAAAAAAAAAAALwEAAF9yZWxzLy5yZWxzUEsBAi0AFAAGAAgAAAAhAL/dRVcS&#10;AgAAIgQAAA4AAAAAAAAAAAAAAAAALgIAAGRycy9lMm9Eb2MueG1sUEsBAi0AFAAGAAgAAAAhAMhh&#10;yRHbAAAABAEAAA8AAAAAAAAAAAAAAAAAbAQAAGRycy9kb3ducmV2LnhtbFBLBQYAAAAABAAEAPMA&#10;AAB0BQAAAAA=&#10;" filled="f" stroked="f">
              <v:textbox style="mso-fit-shape-to-text:t" inset="20pt,0,0,15pt">
                <w:txbxContent>
                  <w:p w14:paraId="2B2030E3" w14:textId="0D0044A4" w:rsidR="00C67C56" w:rsidRPr="00C67C56" w:rsidRDefault="00C67C56" w:rsidP="00C67C56">
                    <w:pPr>
                      <w:spacing w:after="0"/>
                      <w:rPr>
                        <w:rFonts w:ascii="Aptos" w:eastAsia="Aptos" w:hAnsi="Aptos" w:cs="Aptos"/>
                        <w:noProof/>
                        <w:color w:val="008000"/>
                        <w:sz w:val="20"/>
                        <w:szCs w:val="20"/>
                      </w:rPr>
                    </w:pPr>
                    <w:r w:rsidRPr="00C67C56">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8253" w14:textId="1FFF57AD" w:rsidR="00C67C56" w:rsidRDefault="00C67C56">
    <w:pPr>
      <w:pStyle w:val="Footer"/>
    </w:pPr>
    <w:r>
      <w:rPr>
        <w:noProof/>
      </w:rPr>
      <mc:AlternateContent>
        <mc:Choice Requires="wps">
          <w:drawing>
            <wp:anchor distT="0" distB="0" distL="0" distR="0" simplePos="0" relativeHeight="251658240" behindDoc="0" locked="0" layoutInCell="1" allowOverlap="1" wp14:anchorId="21D350E8" wp14:editId="65A28AA6">
              <wp:simplePos x="635" y="635"/>
              <wp:positionH relativeFrom="page">
                <wp:align>left</wp:align>
              </wp:positionH>
              <wp:positionV relativeFrom="page">
                <wp:align>bottom</wp:align>
              </wp:positionV>
              <wp:extent cx="2252345" cy="357505"/>
              <wp:effectExtent l="0" t="0" r="14605" b="0"/>
              <wp:wrapNone/>
              <wp:docPr id="1465306704" name="Text Box 1"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04E9769F" w14:textId="0B786CBC" w:rsidR="00C67C56" w:rsidRPr="00C67C56" w:rsidRDefault="00C67C56" w:rsidP="00C67C56">
                          <w:pPr>
                            <w:spacing w:after="0"/>
                            <w:rPr>
                              <w:rFonts w:ascii="Aptos" w:eastAsia="Aptos" w:hAnsi="Aptos" w:cs="Aptos"/>
                              <w:noProof/>
                              <w:color w:val="008000"/>
                              <w:sz w:val="20"/>
                              <w:szCs w:val="20"/>
                            </w:rPr>
                          </w:pPr>
                          <w:r w:rsidRPr="00C67C56">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D350E8" id="_x0000_t202" coordsize="21600,21600" o:spt="202" path="m,l,21600r21600,l21600,xe">
              <v:stroke joinstyle="miter"/>
              <v:path gradientshapeok="t" o:connecttype="rect"/>
            </v:shapetype>
            <v:shape id="Text Box 1" o:spid="_x0000_s1028" type="#_x0000_t202" alt="Information Classification: RL\Public " style="position:absolute;margin-left:0;margin-top:0;width:177.3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7YVEwIAACIEAAAOAAAAZHJzL2Uyb0RvYy54bWysU01v2zAMvQ/YfxB0X+y49dYZcYqsRYYB&#10;RVsgHXpWZCk2IImCpMTOfv0oOU62bqdhF5kiaX6897S4HbQiB+F8B6am81lOiTAcms7savr9Zf3h&#10;hhIfmGmYAiNqehSe3i7fv1v0thIFtKAa4QgWMb7qbU3bEGyVZZ63QjM/AysMBiU4zQJe3S5rHOux&#10;ulZZkecfsx5cYx1w4T1678cgXab6UgoenqT0IhBVU5wtpNOlcxvPbLlg1c4x23b8NAb7hyk06ww2&#10;PZe6Z4GRvev+KKU77sCDDDMOOgMpOy7SDrjNPH+zzaZlVqRdEBxvzzD5/1eWPx429tmRMHyBAQmM&#10;gPTWVx6dcZ9BOh2/OCnBOEJ4PMMmhkA4OouiLK6uS0o4xq7KT2VexjLZ5W/rfPgqQJNo1NQhLQkt&#10;dnjwYUydUmIzA+tOqUSNMr85sGb0ZJcRoxWG7UC6BieZxt9Cc8StHIyEe8vXHbZ+YD48M4cM4yKo&#10;2vCEh1TQ1xROFiUtuB9/88d8BB6jlPSomJoalDQl6ptBQoryOs+jwtINDTcZ22TMP+dljJu9vgMU&#10;4xzfheXJjMlBTaZ0oF9R1KvYDUPMcOxZ0+1k3oVRv/gouFitUhKKybLwYDaWx9IRswjoy/DKnD2h&#10;HpCvR5g0xao34I+58U9vV/uAFCRmIr4jmifYUYiJ29OjiUr/9Z6yLk97+RMAAP//AwBQSwMEFAAG&#10;AAgAAAAhAMhhyRHbAAAABAEAAA8AAABkcnMvZG93bnJldi54bWxMj81OwzAQhO9IvIO1lbhRpy0N&#10;KMSpKv7ElYDUHp14G0eN1yHrtunb43KBy0qjGc18m69G14kjDtx6UjCbJiCQam9aahR8fb7ePoDg&#10;oMnozhMqOCPDqri+ynVm/Ik+8FiGRsQS4kwrsCH0mZRcW3Sap75Hit7OD06HKIdGmkGfYrnr5DxJ&#10;Uul0S3HB6h6fLNb78uAUpM9va9tv0u33bs7vXPl9KP2LUjeTcf0IIuAY/sJwwY/oUESmyh/IsOgU&#10;xEfC743eYnl3D6JSsEwXIItc/ocvfgAAAP//AwBQSwECLQAUAAYACAAAACEAtoM4kv4AAADhAQAA&#10;EwAAAAAAAAAAAAAAAAAAAAAAW0NvbnRlbnRfVHlwZXNdLnhtbFBLAQItABQABgAIAAAAIQA4/SH/&#10;1gAAAJQBAAALAAAAAAAAAAAAAAAAAC8BAABfcmVscy8ucmVsc1BLAQItABQABgAIAAAAIQDuS7YV&#10;EwIAACIEAAAOAAAAAAAAAAAAAAAAAC4CAABkcnMvZTJvRG9jLnhtbFBLAQItABQABgAIAAAAIQDI&#10;YckR2wAAAAQBAAAPAAAAAAAAAAAAAAAAAG0EAABkcnMvZG93bnJldi54bWxQSwUGAAAAAAQABADz&#10;AAAAdQUAAAAA&#10;" filled="f" stroked="f">
              <v:textbox style="mso-fit-shape-to-text:t" inset="20pt,0,0,15pt">
                <w:txbxContent>
                  <w:p w14:paraId="04E9769F" w14:textId="0B786CBC" w:rsidR="00C67C56" w:rsidRPr="00C67C56" w:rsidRDefault="00C67C56" w:rsidP="00C67C56">
                    <w:pPr>
                      <w:spacing w:after="0"/>
                      <w:rPr>
                        <w:rFonts w:ascii="Aptos" w:eastAsia="Aptos" w:hAnsi="Aptos" w:cs="Aptos"/>
                        <w:noProof/>
                        <w:color w:val="008000"/>
                        <w:sz w:val="20"/>
                        <w:szCs w:val="20"/>
                      </w:rPr>
                    </w:pPr>
                    <w:r w:rsidRPr="00C67C56">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5CDF6" w14:textId="77777777" w:rsidR="00D70387" w:rsidRDefault="00D70387" w:rsidP="00C67C56">
      <w:pPr>
        <w:spacing w:after="0" w:line="240" w:lineRule="auto"/>
      </w:pPr>
      <w:r>
        <w:separator/>
      </w:r>
    </w:p>
  </w:footnote>
  <w:footnote w:type="continuationSeparator" w:id="0">
    <w:p w14:paraId="0976F06F" w14:textId="77777777" w:rsidR="00D70387" w:rsidRDefault="00D70387" w:rsidP="00C67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91E8D"/>
    <w:multiLevelType w:val="multilevel"/>
    <w:tmpl w:val="824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E76E5B"/>
    <w:multiLevelType w:val="multilevel"/>
    <w:tmpl w:val="B5D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FE402D"/>
    <w:multiLevelType w:val="multilevel"/>
    <w:tmpl w:val="A55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34590">
    <w:abstractNumId w:val="2"/>
  </w:num>
  <w:num w:numId="2" w16cid:durableId="1584408240">
    <w:abstractNumId w:val="0"/>
  </w:num>
  <w:num w:numId="3" w16cid:durableId="1385986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56"/>
    <w:rsid w:val="000E1F0C"/>
    <w:rsid w:val="000F1658"/>
    <w:rsid w:val="00194101"/>
    <w:rsid w:val="00281506"/>
    <w:rsid w:val="00355AE8"/>
    <w:rsid w:val="003D37D8"/>
    <w:rsid w:val="005A4495"/>
    <w:rsid w:val="00643697"/>
    <w:rsid w:val="006F47DE"/>
    <w:rsid w:val="0088571C"/>
    <w:rsid w:val="009B3561"/>
    <w:rsid w:val="00BA7C8A"/>
    <w:rsid w:val="00C67C56"/>
    <w:rsid w:val="00CC66D1"/>
    <w:rsid w:val="00D70387"/>
    <w:rsid w:val="00FA060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8A84D"/>
  <w15:chartTrackingRefBased/>
  <w15:docId w15:val="{A83C1DE3-90BD-4D2A-8200-084A897E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56"/>
  </w:style>
  <w:style w:type="paragraph" w:styleId="Heading1">
    <w:name w:val="heading 1"/>
    <w:basedOn w:val="Normal"/>
    <w:next w:val="Normal"/>
    <w:link w:val="Heading1Char"/>
    <w:uiPriority w:val="9"/>
    <w:qFormat/>
    <w:rsid w:val="00C67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C56"/>
    <w:rPr>
      <w:rFonts w:eastAsiaTheme="majorEastAsia" w:cstheme="majorBidi"/>
      <w:color w:val="272727" w:themeColor="text1" w:themeTint="D8"/>
    </w:rPr>
  </w:style>
  <w:style w:type="paragraph" w:styleId="Title">
    <w:name w:val="Title"/>
    <w:basedOn w:val="Normal"/>
    <w:next w:val="Normal"/>
    <w:link w:val="TitleChar"/>
    <w:uiPriority w:val="10"/>
    <w:qFormat/>
    <w:rsid w:val="00C6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C56"/>
    <w:pPr>
      <w:spacing w:before="160"/>
      <w:jc w:val="center"/>
    </w:pPr>
    <w:rPr>
      <w:i/>
      <w:iCs/>
      <w:color w:val="404040" w:themeColor="text1" w:themeTint="BF"/>
    </w:rPr>
  </w:style>
  <w:style w:type="character" w:customStyle="1" w:styleId="QuoteChar">
    <w:name w:val="Quote Char"/>
    <w:basedOn w:val="DefaultParagraphFont"/>
    <w:link w:val="Quote"/>
    <w:uiPriority w:val="29"/>
    <w:rsid w:val="00C67C56"/>
    <w:rPr>
      <w:i/>
      <w:iCs/>
      <w:color w:val="404040" w:themeColor="text1" w:themeTint="BF"/>
    </w:rPr>
  </w:style>
  <w:style w:type="paragraph" w:styleId="ListParagraph">
    <w:name w:val="List Paragraph"/>
    <w:basedOn w:val="Normal"/>
    <w:uiPriority w:val="34"/>
    <w:qFormat/>
    <w:rsid w:val="00C67C56"/>
    <w:pPr>
      <w:ind w:left="720"/>
      <w:contextualSpacing/>
    </w:pPr>
  </w:style>
  <w:style w:type="character" w:styleId="IntenseEmphasis">
    <w:name w:val="Intense Emphasis"/>
    <w:basedOn w:val="DefaultParagraphFont"/>
    <w:uiPriority w:val="21"/>
    <w:qFormat/>
    <w:rsid w:val="00C67C56"/>
    <w:rPr>
      <w:i/>
      <w:iCs/>
      <w:color w:val="0F4761" w:themeColor="accent1" w:themeShade="BF"/>
    </w:rPr>
  </w:style>
  <w:style w:type="paragraph" w:styleId="IntenseQuote">
    <w:name w:val="Intense Quote"/>
    <w:basedOn w:val="Normal"/>
    <w:next w:val="Normal"/>
    <w:link w:val="IntenseQuoteChar"/>
    <w:uiPriority w:val="30"/>
    <w:qFormat/>
    <w:rsid w:val="00C6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C56"/>
    <w:rPr>
      <w:i/>
      <w:iCs/>
      <w:color w:val="0F4761" w:themeColor="accent1" w:themeShade="BF"/>
    </w:rPr>
  </w:style>
  <w:style w:type="character" w:styleId="IntenseReference">
    <w:name w:val="Intense Reference"/>
    <w:basedOn w:val="DefaultParagraphFont"/>
    <w:uiPriority w:val="32"/>
    <w:qFormat/>
    <w:rsid w:val="00C67C56"/>
    <w:rPr>
      <w:b/>
      <w:bCs/>
      <w:smallCaps/>
      <w:color w:val="0F4761" w:themeColor="accent1" w:themeShade="BF"/>
      <w:spacing w:val="5"/>
    </w:rPr>
  </w:style>
  <w:style w:type="paragraph" w:styleId="Footer">
    <w:name w:val="footer"/>
    <w:basedOn w:val="Normal"/>
    <w:link w:val="FooterChar"/>
    <w:uiPriority w:val="99"/>
    <w:unhideWhenUsed/>
    <w:rsid w:val="00C67C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ca5857-3bc9-420f-ae25-14221308947d}"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Ravishankar N</dc:creator>
  <cp:keywords/>
  <dc:description/>
  <cp:lastModifiedBy>Ravishankar N</cp:lastModifiedBy>
  <cp:revision>7</cp:revision>
  <dcterms:created xsi:type="dcterms:W3CDTF">2026-02-03T17:48:00Z</dcterms:created>
  <dcterms:modified xsi:type="dcterms:W3CDTF">2026-02-04T16:33:00Z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5756ce50,493573d9,4c21eec</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ies>
</file>