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rPr>
        <w:id w:val="742761949"/>
        <w:docPartObj>
          <w:docPartGallery w:val="Cover Pages"/>
          <w:docPartUnique/>
        </w:docPartObj>
      </w:sdtPr>
      <w:sdtEndPr>
        <w:rPr>
          <w:b/>
          <w:bCs/>
        </w:rPr>
      </w:sdtEndPr>
      <w:sdtContent>
        <w:p w14:paraId="04BB79C1" w14:textId="4CF2B552" w:rsidR="003C6A59" w:rsidRPr="003C6A59" w:rsidRDefault="003C6A59" w:rsidP="003C6A59">
          <w:pPr>
            <w:spacing w:line="480" w:lineRule="auto"/>
            <w:rPr>
              <w:rFonts w:asciiTheme="majorBidi" w:hAnsiTheme="majorBidi" w:cstheme="majorBidi"/>
            </w:rPr>
          </w:pPr>
        </w:p>
        <w:p w14:paraId="713B0EC9" w14:textId="017EF6A1" w:rsidR="003C6A59" w:rsidRPr="003C6A59" w:rsidRDefault="003C6A59" w:rsidP="003C6A59">
          <w:pPr>
            <w:spacing w:line="480" w:lineRule="auto"/>
            <w:rPr>
              <w:rFonts w:asciiTheme="majorBidi" w:hAnsiTheme="majorBidi" w:cstheme="majorBidi"/>
              <w:b/>
              <w:bCs/>
            </w:rPr>
          </w:pPr>
          <w:r w:rsidRPr="003C6A59">
            <w:rPr>
              <w:rFonts w:asciiTheme="majorBidi" w:hAnsiTheme="majorBidi" w:cstheme="majorBidi"/>
              <w:noProof/>
            </w:rPr>
            <mc:AlternateContent>
              <mc:Choice Requires="wps">
                <w:drawing>
                  <wp:anchor distT="0" distB="0" distL="182880" distR="182880" simplePos="0" relativeHeight="251660288" behindDoc="0" locked="0" layoutInCell="1" allowOverlap="1" wp14:anchorId="0C943FD8" wp14:editId="4B0FA049">
                    <wp:simplePos x="0" y="0"/>
                    <wp:positionH relativeFrom="margin">
                      <wp:posOffset>397048</wp:posOffset>
                    </wp:positionH>
                    <wp:positionV relativeFrom="margin">
                      <wp:posOffset>1994477</wp:posOffset>
                    </wp:positionV>
                    <wp:extent cx="4686300" cy="4146550"/>
                    <wp:effectExtent l="0" t="0" r="5715" b="635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4146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7518CC" w14:textId="16C09CCC" w:rsidR="003C6A59" w:rsidRDefault="003C6A5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3C6A59">
                                      <w:rPr>
                                        <w:color w:val="156082" w:themeColor="accent1"/>
                                        <w:sz w:val="72"/>
                                        <w:szCs w:val="72"/>
                                      </w:rPr>
                                      <w:t>Design Document: Attack–</w:t>
                                    </w:r>
                                    <w:proofErr w:type="spellStart"/>
                                    <w:r w:rsidRPr="003C6A59">
                                      <w:rPr>
                                        <w:color w:val="156082" w:themeColor="accent1"/>
                                        <w:sz w:val="72"/>
                                        <w:szCs w:val="72"/>
                                      </w:rPr>
                                      <w:t>Defence</w:t>
                                    </w:r>
                                    <w:proofErr w:type="spellEnd"/>
                                    <w:r w:rsidRPr="003C6A59">
                                      <w:rPr>
                                        <w:color w:val="156082" w:themeColor="accent1"/>
                                        <w:sz w:val="72"/>
                                        <w:szCs w:val="72"/>
                                      </w:rPr>
                                      <w:t xml:space="preserve"> Tree for an IoT-Based Smart Home System of Systems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E452F90" w14:textId="27F4B930" w:rsidR="003C6A59" w:rsidRDefault="003C6A59">
                                    <w:pPr>
                                      <w:pStyle w:val="NoSpacing"/>
                                      <w:spacing w:before="40" w:after="40"/>
                                      <w:rPr>
                                        <w:caps/>
                                        <w:color w:val="501549" w:themeColor="accent5" w:themeShade="80"/>
                                        <w:sz w:val="28"/>
                                        <w:szCs w:val="28"/>
                                      </w:rPr>
                                    </w:pPr>
                                    <w:r>
                                      <w:rPr>
                                        <w:caps/>
                                        <w:color w:val="501549" w:themeColor="accent5" w:themeShade="80"/>
                                        <w:sz w:val="28"/>
                                        <w:szCs w:val="28"/>
                                      </w:rPr>
                                      <w:t xml:space="preserve">Group </w:t>
                                    </w:r>
                                    <w:proofErr w:type="gramStart"/>
                                    <w:r>
                                      <w:rPr>
                                        <w:caps/>
                                        <w:color w:val="501549" w:themeColor="accent5" w:themeShade="80"/>
                                        <w:sz w:val="28"/>
                                        <w:szCs w:val="28"/>
                                      </w:rPr>
                                      <w:t>name :</w:t>
                                    </w:r>
                                    <w:proofErr w:type="gramEnd"/>
                                    <w:r>
                                      <w:rPr>
                                        <w:caps/>
                                        <w:color w:val="501549" w:themeColor="accent5" w:themeShade="80"/>
                                        <w:sz w:val="28"/>
                                        <w:szCs w:val="28"/>
                                      </w:rPr>
                                      <w:t xml:space="preserve"> Shamshir</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F3E95E8" w14:textId="57AF73EF" w:rsidR="003C6A59" w:rsidRDefault="003C6A59" w:rsidP="003C6A59">
                                    <w:pPr>
                                      <w:pStyle w:val="NoSpacing"/>
                                      <w:numPr>
                                        <w:ilvl w:val="0"/>
                                        <w:numId w:val="2"/>
                                      </w:numPr>
                                      <w:spacing w:before="80" w:after="40"/>
                                      <w:rPr>
                                        <w:caps/>
                                        <w:color w:val="A02B93" w:themeColor="accent5"/>
                                        <w:sz w:val="24"/>
                                        <w:szCs w:val="24"/>
                                      </w:rPr>
                                    </w:pPr>
                                    <w:r>
                                      <w:rPr>
                                        <w:caps/>
                                        <w:color w:val="A02B93" w:themeColor="accent5"/>
                                        <w:sz w:val="24"/>
                                        <w:szCs w:val="24"/>
                                      </w:rPr>
                                      <w:t>sultan alkaabi</w:t>
                                    </w:r>
                                  </w:p>
                                </w:sdtContent>
                              </w:sdt>
                              <w:p w14:paraId="2EAFCC5B" w14:textId="68EFFBC6" w:rsidR="003C6A59" w:rsidRDefault="003C6A59" w:rsidP="003C6A59">
                                <w:pPr>
                                  <w:pStyle w:val="NoSpacing"/>
                                  <w:numPr>
                                    <w:ilvl w:val="0"/>
                                    <w:numId w:val="2"/>
                                  </w:numPr>
                                  <w:spacing w:before="80" w:after="40"/>
                                  <w:rPr>
                                    <w:caps/>
                                    <w:color w:val="A02B93" w:themeColor="accent5"/>
                                    <w:sz w:val="24"/>
                                    <w:szCs w:val="24"/>
                                  </w:rPr>
                                </w:pPr>
                                <w:r>
                                  <w:rPr>
                                    <w:caps/>
                                    <w:color w:val="A02B93" w:themeColor="accent5"/>
                                    <w:sz w:val="24"/>
                                    <w:szCs w:val="24"/>
                                  </w:rPr>
                                  <w:t>Franz Stephan</w:t>
                                </w:r>
                              </w:p>
                              <w:p w14:paraId="207FEAF2" w14:textId="2C1B1154" w:rsidR="003C6A59" w:rsidRDefault="003C6A59" w:rsidP="003C6A59">
                                <w:pPr>
                                  <w:pStyle w:val="NoSpacing"/>
                                  <w:numPr>
                                    <w:ilvl w:val="0"/>
                                    <w:numId w:val="2"/>
                                  </w:numPr>
                                  <w:spacing w:before="80" w:after="40"/>
                                  <w:rPr>
                                    <w:caps/>
                                    <w:color w:val="A02B93" w:themeColor="accent5"/>
                                    <w:sz w:val="24"/>
                                    <w:szCs w:val="24"/>
                                  </w:rPr>
                                </w:pPr>
                                <w:r>
                                  <w:rPr>
                                    <w:caps/>
                                    <w:color w:val="A02B93" w:themeColor="accent5"/>
                                    <w:sz w:val="24"/>
                                    <w:szCs w:val="24"/>
                                  </w:rPr>
                                  <w:t>Suhail Almaskari</w:t>
                                </w:r>
                              </w:p>
                              <w:p w14:paraId="02E59ED8" w14:textId="19DC2646" w:rsidR="003C6A59" w:rsidRDefault="003C6A59" w:rsidP="003C6A59">
                                <w:pPr>
                                  <w:pStyle w:val="NoSpacing"/>
                                  <w:numPr>
                                    <w:ilvl w:val="0"/>
                                    <w:numId w:val="2"/>
                                  </w:numPr>
                                  <w:spacing w:before="80" w:after="40"/>
                                  <w:rPr>
                                    <w:caps/>
                                    <w:color w:val="A02B93" w:themeColor="accent5"/>
                                    <w:sz w:val="24"/>
                                    <w:szCs w:val="24"/>
                                  </w:rPr>
                                </w:pPr>
                                <w:r>
                                  <w:rPr>
                                    <w:caps/>
                                    <w:color w:val="A02B93" w:themeColor="accent5"/>
                                    <w:sz w:val="24"/>
                                    <w:szCs w:val="24"/>
                                  </w:rPr>
                                  <w:t>younis alhussaini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0C943FD8" id="_x0000_t202" coordsize="21600,21600" o:spt="202" path="m,l,21600r21600,l21600,xe">
                    <v:stroke joinstyle="miter"/>
                    <v:path gradientshapeok="t" o:connecttype="rect"/>
                  </v:shapetype>
                  <v:shape id="Text Box 131" o:spid="_x0000_s1026" type="#_x0000_t202" style="position:absolute;margin-left:31.25pt;margin-top:157.05pt;width:369pt;height:326.5pt;z-index:251660288;visibility:visible;mso-wrap-style:square;mso-width-percent:790;mso-height-percent:0;mso-wrap-distance-left:14.4pt;mso-wrap-distance-top:0;mso-wrap-distance-right:14.4pt;mso-wrap-distance-bottom:0;mso-position-horizontal:absolute;mso-position-horizontal-relative:margin;mso-position-vertical:absolute;mso-position-vertical-relative:margin;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" filled="f" stroked="f" strokeweight=".5pt">
                    <v:textbox inset="0,0,0,0">
                      <w:txbxContent>
                        <w:p w14:paraId="537518CC" w14:textId="16C09CCC" w:rsidR="003C6A59" w:rsidRDefault="003C6A59">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3C6A59">
                                <w:rPr>
                                  <w:color w:val="156082" w:themeColor="accent1"/>
                                  <w:sz w:val="72"/>
                                  <w:szCs w:val="72"/>
                                </w:rPr>
                                <w:t>Design Document: Attack–</w:t>
                              </w:r>
                              <w:proofErr w:type="spellStart"/>
                              <w:r w:rsidRPr="003C6A59">
                                <w:rPr>
                                  <w:color w:val="156082" w:themeColor="accent1"/>
                                  <w:sz w:val="72"/>
                                  <w:szCs w:val="72"/>
                                </w:rPr>
                                <w:t>Defence</w:t>
                              </w:r>
                              <w:proofErr w:type="spellEnd"/>
                              <w:r w:rsidRPr="003C6A59">
                                <w:rPr>
                                  <w:color w:val="156082" w:themeColor="accent1"/>
                                  <w:sz w:val="72"/>
                                  <w:szCs w:val="72"/>
                                </w:rPr>
                                <w:t xml:space="preserve"> Tree for an IoT-Based Smart Home System of Systems</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E452F90" w14:textId="27F4B930" w:rsidR="003C6A59" w:rsidRDefault="003C6A59">
                              <w:pPr>
                                <w:pStyle w:val="NoSpacing"/>
                                <w:spacing w:before="40" w:after="40"/>
                                <w:rPr>
                                  <w:caps/>
                                  <w:color w:val="501549" w:themeColor="accent5" w:themeShade="80"/>
                                  <w:sz w:val="28"/>
                                  <w:szCs w:val="28"/>
                                </w:rPr>
                              </w:pPr>
                              <w:r>
                                <w:rPr>
                                  <w:caps/>
                                  <w:color w:val="501549" w:themeColor="accent5" w:themeShade="80"/>
                                  <w:sz w:val="28"/>
                                  <w:szCs w:val="28"/>
                                </w:rPr>
                                <w:t xml:space="preserve">Group </w:t>
                              </w:r>
                              <w:proofErr w:type="gramStart"/>
                              <w:r>
                                <w:rPr>
                                  <w:caps/>
                                  <w:color w:val="501549" w:themeColor="accent5" w:themeShade="80"/>
                                  <w:sz w:val="28"/>
                                  <w:szCs w:val="28"/>
                                </w:rPr>
                                <w:t>name :</w:t>
                              </w:r>
                              <w:proofErr w:type="gramEnd"/>
                              <w:r>
                                <w:rPr>
                                  <w:caps/>
                                  <w:color w:val="501549" w:themeColor="accent5" w:themeShade="80"/>
                                  <w:sz w:val="28"/>
                                  <w:szCs w:val="28"/>
                                </w:rPr>
                                <w:t xml:space="preserve"> Shamshir</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4F3E95E8" w14:textId="57AF73EF" w:rsidR="003C6A59" w:rsidRDefault="003C6A59" w:rsidP="003C6A59">
                              <w:pPr>
                                <w:pStyle w:val="NoSpacing"/>
                                <w:numPr>
                                  <w:ilvl w:val="0"/>
                                  <w:numId w:val="2"/>
                                </w:numPr>
                                <w:spacing w:before="80" w:after="40"/>
                                <w:rPr>
                                  <w:caps/>
                                  <w:color w:val="A02B93" w:themeColor="accent5"/>
                                  <w:sz w:val="24"/>
                                  <w:szCs w:val="24"/>
                                </w:rPr>
                              </w:pPr>
                              <w:r>
                                <w:rPr>
                                  <w:caps/>
                                  <w:color w:val="A02B93" w:themeColor="accent5"/>
                                  <w:sz w:val="24"/>
                                  <w:szCs w:val="24"/>
                                </w:rPr>
                                <w:t>sultan alkaabi</w:t>
                              </w:r>
                            </w:p>
                          </w:sdtContent>
                        </w:sdt>
                        <w:p w14:paraId="2EAFCC5B" w14:textId="68EFFBC6" w:rsidR="003C6A59" w:rsidRDefault="003C6A59" w:rsidP="003C6A59">
                          <w:pPr>
                            <w:pStyle w:val="NoSpacing"/>
                            <w:numPr>
                              <w:ilvl w:val="0"/>
                              <w:numId w:val="2"/>
                            </w:numPr>
                            <w:spacing w:before="80" w:after="40"/>
                            <w:rPr>
                              <w:caps/>
                              <w:color w:val="A02B93" w:themeColor="accent5"/>
                              <w:sz w:val="24"/>
                              <w:szCs w:val="24"/>
                            </w:rPr>
                          </w:pPr>
                          <w:r>
                            <w:rPr>
                              <w:caps/>
                              <w:color w:val="A02B93" w:themeColor="accent5"/>
                              <w:sz w:val="24"/>
                              <w:szCs w:val="24"/>
                            </w:rPr>
                            <w:t>Franz Stephan</w:t>
                          </w:r>
                        </w:p>
                        <w:p w14:paraId="207FEAF2" w14:textId="2C1B1154" w:rsidR="003C6A59" w:rsidRDefault="003C6A59" w:rsidP="003C6A59">
                          <w:pPr>
                            <w:pStyle w:val="NoSpacing"/>
                            <w:numPr>
                              <w:ilvl w:val="0"/>
                              <w:numId w:val="2"/>
                            </w:numPr>
                            <w:spacing w:before="80" w:after="40"/>
                            <w:rPr>
                              <w:caps/>
                              <w:color w:val="A02B93" w:themeColor="accent5"/>
                              <w:sz w:val="24"/>
                              <w:szCs w:val="24"/>
                            </w:rPr>
                          </w:pPr>
                          <w:r>
                            <w:rPr>
                              <w:caps/>
                              <w:color w:val="A02B93" w:themeColor="accent5"/>
                              <w:sz w:val="24"/>
                              <w:szCs w:val="24"/>
                            </w:rPr>
                            <w:t>Suhail Almaskari</w:t>
                          </w:r>
                        </w:p>
                        <w:p w14:paraId="02E59ED8" w14:textId="19DC2646" w:rsidR="003C6A59" w:rsidRDefault="003C6A59" w:rsidP="003C6A59">
                          <w:pPr>
                            <w:pStyle w:val="NoSpacing"/>
                            <w:numPr>
                              <w:ilvl w:val="0"/>
                              <w:numId w:val="2"/>
                            </w:numPr>
                            <w:spacing w:before="80" w:after="40"/>
                            <w:rPr>
                              <w:caps/>
                              <w:color w:val="A02B93" w:themeColor="accent5"/>
                              <w:sz w:val="24"/>
                              <w:szCs w:val="24"/>
                            </w:rPr>
                          </w:pPr>
                          <w:r>
                            <w:rPr>
                              <w:caps/>
                              <w:color w:val="A02B93" w:themeColor="accent5"/>
                              <w:sz w:val="24"/>
                              <w:szCs w:val="24"/>
                            </w:rPr>
                            <w:t>younis alhussaini</w:t>
                          </w:r>
                        </w:p>
                      </w:txbxContent>
                    </v:textbox>
                    <w10:wrap type="square" anchorx="margin" anchory="margin"/>
                  </v:shape>
                </w:pict>
              </mc:Fallback>
            </mc:AlternateContent>
          </w:r>
          <w:r w:rsidRPr="003C6A59">
            <w:rPr>
              <w:rFonts w:asciiTheme="majorBidi" w:hAnsiTheme="majorBidi" w:cstheme="majorBidi"/>
              <w:noProof/>
            </w:rPr>
            <mc:AlternateContent>
              <mc:Choice Requires="wps">
                <w:drawing>
                  <wp:anchor distT="0" distB="0" distL="114300" distR="114300" simplePos="0" relativeHeight="251659264" behindDoc="0" locked="0" layoutInCell="1" allowOverlap="1" wp14:anchorId="7D668BF2" wp14:editId="6213CC68">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48B5336" w14:textId="6C48195A" w:rsidR="003C6A59" w:rsidRDefault="003C6A59">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D668BF2" id="Rectangle 132" o:spid="_x0000_s1027"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248B5336" w14:textId="6C48195A" w:rsidR="003C6A59" w:rsidRDefault="003C6A59">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Pr="003C6A59">
            <w:rPr>
              <w:rFonts w:asciiTheme="majorBidi" w:hAnsiTheme="majorBidi" w:cstheme="majorBidi"/>
              <w:b/>
              <w:bCs/>
            </w:rPr>
            <w:br w:type="page"/>
          </w:r>
        </w:p>
      </w:sdtContent>
    </w:sdt>
    <w:p w14:paraId="34947538" w14:textId="77777777" w:rsidR="003C6A59" w:rsidRPr="003C6A59" w:rsidRDefault="003C6A59" w:rsidP="003C6A59">
      <w:pPr>
        <w:pStyle w:val="Heading1"/>
        <w:spacing w:line="480" w:lineRule="auto"/>
        <w:rPr>
          <w:rFonts w:asciiTheme="majorBidi" w:eastAsia="Play" w:hAnsiTheme="majorBidi"/>
          <w:color w:val="0F4761"/>
          <w:kern w:val="0"/>
          <w:lang w:eastAsia="en-AE"/>
          <w14:ligatures w14:val="none"/>
        </w:rPr>
      </w:pPr>
      <w:r w:rsidRPr="003C6A59">
        <w:rPr>
          <w:rFonts w:asciiTheme="majorBidi" w:eastAsia="Play" w:hAnsiTheme="majorBidi"/>
          <w:color w:val="0F4761"/>
          <w:kern w:val="0"/>
          <w:lang w:eastAsia="en-AE"/>
          <w14:ligatures w14:val="none"/>
        </w:rPr>
        <w:lastRenderedPageBreak/>
        <w:t>1. Introduction and Case Study Selection</w:t>
      </w:r>
    </w:p>
    <w:p w14:paraId="5B37E6BD"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 xml:space="preserve">This project models the security risks of an Internet of Things (IoT)–based smart home using an Attack–Defence Tree (AD-Tree). A smart home represents a clear </w:t>
      </w:r>
      <w:r w:rsidRPr="00916542">
        <w:rPr>
          <w:rFonts w:asciiTheme="majorBidi" w:hAnsiTheme="majorBidi" w:cstheme="majorBidi"/>
          <w:b/>
          <w:bCs/>
        </w:rPr>
        <w:t>System of Systems (SoS)</w:t>
      </w:r>
      <w:r w:rsidRPr="00916542">
        <w:rPr>
          <w:rFonts w:asciiTheme="majorBidi" w:hAnsiTheme="majorBidi" w:cstheme="majorBidi"/>
        </w:rPr>
        <w:t>, comprising multiple autonomous yet interoperating subsystems, including sensors, actuators, gateways, mobile interfaces, and cloud services. In accordance with the SoS characteristics defined by Boardman and Sauser, these systems demonstrate autonomy, belonging, connectivity, diversity, and emergent behaviour. While each component operates independently, their interactions enable higher-level functionality such as automation, safety, and energy management.</w:t>
      </w:r>
    </w:p>
    <w:p w14:paraId="0A9BBC00"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 xml:space="preserve">Smart homes rely heavily on continuous machine-to-machine (M2M) and peer-to-peer (P2P) communication, which increases exposure to cyber threats. Academic research and industry standards consistently indicate that IoT-based cyber-physical systems (CPS) are vulnerable to attacks that threaten the </w:t>
      </w:r>
      <w:r w:rsidRPr="00916542">
        <w:rPr>
          <w:rFonts w:asciiTheme="majorBidi" w:hAnsiTheme="majorBidi" w:cstheme="majorBidi"/>
          <w:b/>
          <w:bCs/>
        </w:rPr>
        <w:t>Confidentiality, Integrity, and Availability (CIA) triad</w:t>
      </w:r>
      <w:r w:rsidRPr="00916542">
        <w:rPr>
          <w:rFonts w:asciiTheme="majorBidi" w:hAnsiTheme="majorBidi" w:cstheme="majorBidi"/>
        </w:rPr>
        <w:t>, particularly where centralised coordination mechanisms are employed. These characteristics make the smart home an appropriate and realistic case study for AD-Tree-based security modelling.</w:t>
      </w:r>
    </w:p>
    <w:p w14:paraId="0C368627" w14:textId="77777777"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rPr>
        <w:pict w14:anchorId="0F3230BB">
          <v:rect id="_x0000_i1055" style="width:0;height:1.5pt" o:hralign="center" o:hrstd="t" o:hr="t" fillcolor="#a0a0a0" stroked="f"/>
        </w:pict>
      </w:r>
    </w:p>
    <w:p w14:paraId="22C545EF" w14:textId="77777777" w:rsidR="003C6A59" w:rsidRPr="003C6A59" w:rsidRDefault="003C6A59" w:rsidP="003C6A59">
      <w:pPr>
        <w:pStyle w:val="Heading1"/>
        <w:spacing w:line="480" w:lineRule="auto"/>
        <w:rPr>
          <w:rFonts w:asciiTheme="majorBidi" w:eastAsia="Play" w:hAnsiTheme="majorBidi"/>
          <w:color w:val="0F4761"/>
          <w:kern w:val="0"/>
          <w:lang w:eastAsia="en-AE"/>
          <w14:ligatures w14:val="none"/>
        </w:rPr>
      </w:pPr>
      <w:r w:rsidRPr="003C6A59">
        <w:rPr>
          <w:rFonts w:asciiTheme="majorBidi" w:eastAsia="Play" w:hAnsiTheme="majorBidi"/>
          <w:color w:val="0F4761"/>
          <w:kern w:val="0"/>
          <w:lang w:eastAsia="en-AE"/>
          <w14:ligatures w14:val="none"/>
        </w:rPr>
        <w:t>2. Identification of Security Vulnerabilities</w:t>
      </w:r>
    </w:p>
    <w:p w14:paraId="72CE271E"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Potential vulnerabilities were identified through a review of peer-reviewed academic literature and recognised IoT security standards. Vulnerabilities are categorised across three layers: client devices, hub/controller, and the overall system.</w:t>
      </w:r>
    </w:p>
    <w:p w14:paraId="69BF8BFA"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lastRenderedPageBreak/>
        <w:t xml:space="preserve">At the </w:t>
      </w:r>
      <w:r w:rsidRPr="00916542">
        <w:rPr>
          <w:rFonts w:asciiTheme="majorBidi" w:hAnsiTheme="majorBidi" w:cstheme="majorBidi"/>
          <w:b/>
          <w:bCs/>
        </w:rPr>
        <w:t>client (IoT device) level</w:t>
      </w:r>
      <w:r w:rsidRPr="00916542">
        <w:rPr>
          <w:rFonts w:asciiTheme="majorBidi" w:hAnsiTheme="majorBidi" w:cstheme="majorBidi"/>
        </w:rPr>
        <w:t>, vulnerabilities primarily arise from limited computational resources and constrained security capabilities. Common issues include weak or default authentication credentials, susceptibility to physical tampering and device impersonation, and exposure to denial-of-sleep attacks that exhaust battery and processing resources. These vulnerabilities are widely documented in CPS and IoT literature and are reinforced by standards that identify inadequate authentication and device lifecycle management as persistent risks.</w:t>
      </w:r>
    </w:p>
    <w:p w14:paraId="4BB2EDE5" w14:textId="77777777" w:rsidR="00D53F62" w:rsidRDefault="00CB17DF" w:rsidP="003C6A59">
      <w:pPr>
        <w:spacing w:line="480" w:lineRule="auto"/>
        <w:rPr>
          <w:rFonts w:asciiTheme="majorBidi" w:hAnsiTheme="majorBidi" w:cstheme="majorBidi"/>
        </w:rPr>
      </w:pPr>
      <w:r w:rsidRPr="00CB17DF">
        <w:rPr>
          <w:rFonts w:asciiTheme="majorBidi" w:hAnsiTheme="majorBidi" w:cstheme="majorBidi"/>
        </w:rPr>
        <w:drawing>
          <wp:inline distT="0" distB="0" distL="0" distR="0" wp14:anchorId="3810F844" wp14:editId="1AF41A7B">
            <wp:extent cx="5731510" cy="3771900"/>
            <wp:effectExtent l="0" t="0" r="2540" b="0"/>
            <wp:docPr id="180571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13431" name=""/>
                    <pic:cNvPicPr/>
                  </pic:nvPicPr>
                  <pic:blipFill>
                    <a:blip r:embed="rId6"/>
                    <a:stretch>
                      <a:fillRect/>
                    </a:stretch>
                  </pic:blipFill>
                  <pic:spPr>
                    <a:xfrm>
                      <a:off x="0" y="0"/>
                      <a:ext cx="5731510" cy="3771900"/>
                    </a:xfrm>
                    <a:prstGeom prst="rect">
                      <a:avLst/>
                    </a:prstGeom>
                  </pic:spPr>
                </pic:pic>
              </a:graphicData>
            </a:graphic>
          </wp:inline>
        </w:drawing>
      </w:r>
    </w:p>
    <w:p w14:paraId="56F95939" w14:textId="77777777" w:rsidR="00D53F62" w:rsidRDefault="00D53F62" w:rsidP="003C6A59">
      <w:pPr>
        <w:spacing w:line="480" w:lineRule="auto"/>
        <w:rPr>
          <w:rFonts w:asciiTheme="majorBidi" w:hAnsiTheme="majorBidi" w:cstheme="majorBidi"/>
        </w:rPr>
      </w:pPr>
    </w:p>
    <w:p w14:paraId="54B90438" w14:textId="2A5D43A8"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rPr>
        <w:pict w14:anchorId="1384389F">
          <v:rect id="_x0000_i1056" style="width:0;height:1.5pt" o:hralign="center" o:hrstd="t" o:hr="t" fillcolor="#a0a0a0" stroked="f"/>
        </w:pict>
      </w:r>
    </w:p>
    <w:p w14:paraId="58E3C43D" w14:textId="77777777" w:rsidR="003C6A59" w:rsidRPr="003C6A59" w:rsidRDefault="003C6A59" w:rsidP="003C6A59">
      <w:pPr>
        <w:pStyle w:val="Heading1"/>
        <w:spacing w:line="480" w:lineRule="auto"/>
        <w:rPr>
          <w:rFonts w:asciiTheme="majorBidi" w:eastAsia="Play" w:hAnsiTheme="majorBidi"/>
          <w:color w:val="0F4761"/>
          <w:kern w:val="0"/>
          <w:lang w:eastAsia="en-AE"/>
          <w14:ligatures w14:val="none"/>
        </w:rPr>
      </w:pPr>
      <w:r w:rsidRPr="003C6A59">
        <w:rPr>
          <w:rFonts w:asciiTheme="majorBidi" w:eastAsia="Play" w:hAnsiTheme="majorBidi"/>
          <w:color w:val="0F4761"/>
          <w:kern w:val="0"/>
          <w:lang w:eastAsia="en-AE"/>
          <w14:ligatures w14:val="none"/>
        </w:rPr>
        <w:t>3. Attack–Defence Tree Modelling</w:t>
      </w:r>
    </w:p>
    <w:p w14:paraId="441D218B"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 xml:space="preserve">An Attack–Defence Tree was constructed using </w:t>
      </w:r>
      <w:r w:rsidRPr="00916542">
        <w:rPr>
          <w:rFonts w:asciiTheme="majorBidi" w:hAnsiTheme="majorBidi" w:cstheme="majorBidi"/>
          <w:b/>
          <w:bCs/>
        </w:rPr>
        <w:t>Luxembourg ADTree software</w:t>
      </w:r>
      <w:r w:rsidRPr="00916542">
        <w:rPr>
          <w:rFonts w:asciiTheme="majorBidi" w:hAnsiTheme="majorBidi" w:cstheme="majorBidi"/>
        </w:rPr>
        <w:t xml:space="preserve"> to model the identified vulnerabilities. The root attack node represents the attacker’s primary objective: </w:t>
      </w:r>
      <w:r w:rsidRPr="00916542">
        <w:rPr>
          <w:rFonts w:asciiTheme="majorBidi" w:hAnsiTheme="majorBidi" w:cstheme="majorBidi"/>
          <w:b/>
          <w:bCs/>
        </w:rPr>
        <w:lastRenderedPageBreak/>
        <w:t>“Compromise the Smart Home System of Systems.”</w:t>
      </w:r>
      <w:r w:rsidRPr="00916542">
        <w:rPr>
          <w:rFonts w:asciiTheme="majorBidi" w:hAnsiTheme="majorBidi" w:cstheme="majorBidi"/>
        </w:rPr>
        <w:t xml:space="preserve"> This node is refined using </w:t>
      </w:r>
      <w:r w:rsidRPr="00916542">
        <w:rPr>
          <w:rFonts w:asciiTheme="majorBidi" w:hAnsiTheme="majorBidi" w:cstheme="majorBidi"/>
          <w:b/>
          <w:bCs/>
        </w:rPr>
        <w:t>OR-refinement</w:t>
      </w:r>
      <w:r w:rsidRPr="00916542">
        <w:rPr>
          <w:rFonts w:asciiTheme="majorBidi" w:hAnsiTheme="majorBidi" w:cstheme="majorBidi"/>
        </w:rPr>
        <w:t>, reflecting the fact that compromise of any major subsystem can result in overall system compromise.</w:t>
      </w:r>
    </w:p>
    <w:p w14:paraId="2C9CB394"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Three primary attack branches are defined:</w:t>
      </w:r>
    </w:p>
    <w:p w14:paraId="12A205B1" w14:textId="77777777" w:rsidR="00916542" w:rsidRPr="00916542" w:rsidRDefault="00916542" w:rsidP="00916542">
      <w:pPr>
        <w:numPr>
          <w:ilvl w:val="0"/>
          <w:numId w:val="4"/>
        </w:numPr>
        <w:spacing w:line="480" w:lineRule="auto"/>
        <w:rPr>
          <w:rFonts w:asciiTheme="majorBidi" w:hAnsiTheme="majorBidi" w:cstheme="majorBidi"/>
        </w:rPr>
      </w:pPr>
      <w:r w:rsidRPr="00916542">
        <w:rPr>
          <w:rFonts w:asciiTheme="majorBidi" w:hAnsiTheme="majorBidi" w:cstheme="majorBidi"/>
        </w:rPr>
        <w:t>Compromise IoT client devices</w:t>
      </w:r>
    </w:p>
    <w:p w14:paraId="6CC1115E" w14:textId="77777777" w:rsidR="00916542" w:rsidRPr="00916542" w:rsidRDefault="00916542" w:rsidP="00916542">
      <w:pPr>
        <w:numPr>
          <w:ilvl w:val="0"/>
          <w:numId w:val="4"/>
        </w:numPr>
        <w:spacing w:line="480" w:lineRule="auto"/>
        <w:rPr>
          <w:rFonts w:asciiTheme="majorBidi" w:hAnsiTheme="majorBidi" w:cstheme="majorBidi"/>
        </w:rPr>
      </w:pPr>
      <w:r w:rsidRPr="00916542">
        <w:rPr>
          <w:rFonts w:asciiTheme="majorBidi" w:hAnsiTheme="majorBidi" w:cstheme="majorBidi"/>
        </w:rPr>
        <w:t>Compromise the hub/controller</w:t>
      </w:r>
    </w:p>
    <w:p w14:paraId="45C43A96" w14:textId="77777777" w:rsidR="00916542" w:rsidRPr="00916542" w:rsidRDefault="00916542" w:rsidP="00916542">
      <w:pPr>
        <w:numPr>
          <w:ilvl w:val="0"/>
          <w:numId w:val="4"/>
        </w:numPr>
        <w:spacing w:line="480" w:lineRule="auto"/>
        <w:rPr>
          <w:rFonts w:asciiTheme="majorBidi" w:hAnsiTheme="majorBidi" w:cstheme="majorBidi"/>
        </w:rPr>
      </w:pPr>
      <w:r w:rsidRPr="00916542">
        <w:rPr>
          <w:rFonts w:asciiTheme="majorBidi" w:hAnsiTheme="majorBidi" w:cstheme="majorBidi"/>
        </w:rPr>
        <w:t>Compromise the networked SoS infrastructure</w:t>
      </w:r>
    </w:p>
    <w:p w14:paraId="7E4F3F4F" w14:textId="3C3C81D8" w:rsidR="003C6A59" w:rsidRPr="003C6A59" w:rsidRDefault="00CB17DF" w:rsidP="003C6A59">
      <w:pPr>
        <w:spacing w:line="480" w:lineRule="auto"/>
        <w:rPr>
          <w:rFonts w:asciiTheme="majorBidi" w:hAnsiTheme="majorBidi" w:cstheme="majorBidi"/>
          <w:b/>
          <w:bCs/>
          <w:u w:val="single"/>
        </w:rPr>
      </w:pPr>
      <w:r w:rsidRPr="00CB17DF">
        <w:rPr>
          <w:rFonts w:asciiTheme="majorBidi" w:hAnsiTheme="majorBidi" w:cstheme="majorBidi"/>
        </w:rPr>
        <w:drawing>
          <wp:inline distT="0" distB="0" distL="0" distR="0" wp14:anchorId="784E021F" wp14:editId="40536B80">
            <wp:extent cx="5731510" cy="2350135"/>
            <wp:effectExtent l="0" t="0" r="2540" b="0"/>
            <wp:docPr id="96403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37861" name=""/>
                    <pic:cNvPicPr/>
                  </pic:nvPicPr>
                  <pic:blipFill>
                    <a:blip r:embed="rId7"/>
                    <a:stretch>
                      <a:fillRect/>
                    </a:stretch>
                  </pic:blipFill>
                  <pic:spPr>
                    <a:xfrm>
                      <a:off x="0" y="0"/>
                      <a:ext cx="5731510" cy="2350135"/>
                    </a:xfrm>
                    <a:prstGeom prst="rect">
                      <a:avLst/>
                    </a:prstGeom>
                  </pic:spPr>
                </pic:pic>
              </a:graphicData>
            </a:graphic>
          </wp:inline>
        </w:drawing>
      </w:r>
      <w:r w:rsidR="003C6A59" w:rsidRPr="003C6A59">
        <w:rPr>
          <w:rFonts w:asciiTheme="majorBidi" w:hAnsiTheme="majorBidi" w:cstheme="majorBidi"/>
          <w:b/>
          <w:bCs/>
          <w:u w:val="single"/>
        </w:rPr>
        <w:t xml:space="preserve">Attack </w:t>
      </w:r>
    </w:p>
    <w:p w14:paraId="413CBE06" w14:textId="77777777"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noProof/>
        </w:rPr>
        <w:drawing>
          <wp:inline distT="0" distB="0" distL="0" distR="0" wp14:anchorId="7855C273" wp14:editId="0D11AE1E">
            <wp:extent cx="5731510" cy="1143635"/>
            <wp:effectExtent l="0" t="0" r="0" b="0"/>
            <wp:docPr id="209947644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510" cy="1143635"/>
                    </a:xfrm>
                    <a:prstGeom prst="rect">
                      <a:avLst/>
                    </a:prstGeom>
                    <a:ln/>
                  </pic:spPr>
                </pic:pic>
              </a:graphicData>
            </a:graphic>
          </wp:inline>
        </w:drawing>
      </w:r>
    </w:p>
    <w:p w14:paraId="5252BDA0" w14:textId="77777777"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noProof/>
        </w:rPr>
        <w:drawing>
          <wp:inline distT="0" distB="0" distL="0" distR="0" wp14:anchorId="7A515D95" wp14:editId="1E800F2C">
            <wp:extent cx="5731510" cy="1339215"/>
            <wp:effectExtent l="0" t="0" r="0" b="0"/>
            <wp:docPr id="209947645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731510" cy="1339215"/>
                    </a:xfrm>
                    <a:prstGeom prst="rect">
                      <a:avLst/>
                    </a:prstGeom>
                    <a:ln/>
                  </pic:spPr>
                </pic:pic>
              </a:graphicData>
            </a:graphic>
          </wp:inline>
        </w:drawing>
      </w:r>
    </w:p>
    <w:p w14:paraId="54B17225" w14:textId="77777777" w:rsidR="003C6A59" w:rsidRDefault="003C6A59" w:rsidP="003C6A59">
      <w:pPr>
        <w:spacing w:line="480" w:lineRule="auto"/>
        <w:rPr>
          <w:rFonts w:asciiTheme="majorBidi" w:hAnsiTheme="majorBidi" w:cstheme="majorBidi"/>
          <w:b/>
          <w:bCs/>
          <w:u w:val="single"/>
        </w:rPr>
      </w:pPr>
    </w:p>
    <w:p w14:paraId="3CECF00D" w14:textId="77777777" w:rsidR="003C6A59" w:rsidRDefault="003C6A59" w:rsidP="003C6A59">
      <w:pPr>
        <w:spacing w:line="480" w:lineRule="auto"/>
        <w:rPr>
          <w:rFonts w:asciiTheme="majorBidi" w:hAnsiTheme="majorBidi" w:cstheme="majorBidi"/>
          <w:b/>
          <w:bCs/>
          <w:u w:val="single"/>
        </w:rPr>
      </w:pPr>
    </w:p>
    <w:p w14:paraId="71B01843" w14:textId="77777777" w:rsidR="003C6A59" w:rsidRDefault="003C6A59" w:rsidP="003C6A59">
      <w:pPr>
        <w:spacing w:line="480" w:lineRule="auto"/>
        <w:rPr>
          <w:rFonts w:asciiTheme="majorBidi" w:hAnsiTheme="majorBidi" w:cstheme="majorBidi"/>
          <w:b/>
          <w:bCs/>
          <w:u w:val="single"/>
        </w:rPr>
      </w:pPr>
    </w:p>
    <w:p w14:paraId="4B418DF9" w14:textId="68C1E661" w:rsidR="003C6A59" w:rsidRPr="003C6A59" w:rsidRDefault="003C6A59" w:rsidP="003C6A59">
      <w:pPr>
        <w:spacing w:line="480" w:lineRule="auto"/>
        <w:rPr>
          <w:rFonts w:asciiTheme="majorBidi" w:hAnsiTheme="majorBidi" w:cstheme="majorBidi"/>
          <w:b/>
          <w:bCs/>
          <w:u w:val="single"/>
        </w:rPr>
      </w:pPr>
      <w:r w:rsidRPr="003C6A59">
        <w:rPr>
          <w:rFonts w:asciiTheme="majorBidi" w:hAnsiTheme="majorBidi" w:cstheme="majorBidi"/>
          <w:b/>
          <w:bCs/>
          <w:u w:val="single"/>
        </w:rPr>
        <w:t>Defence</w:t>
      </w:r>
    </w:p>
    <w:p w14:paraId="2CF0640C" w14:textId="77777777"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noProof/>
        </w:rPr>
        <w:drawing>
          <wp:inline distT="0" distB="0" distL="0" distR="0" wp14:anchorId="31D2D025" wp14:editId="7F87E804">
            <wp:extent cx="5731510" cy="1299845"/>
            <wp:effectExtent l="0" t="0" r="0" b="0"/>
            <wp:docPr id="209947645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510" cy="1299845"/>
                    </a:xfrm>
                    <a:prstGeom prst="rect">
                      <a:avLst/>
                    </a:prstGeom>
                    <a:ln/>
                  </pic:spPr>
                </pic:pic>
              </a:graphicData>
            </a:graphic>
          </wp:inline>
        </w:drawing>
      </w:r>
    </w:p>
    <w:p w14:paraId="1D3AEAFE" w14:textId="77777777"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noProof/>
        </w:rPr>
        <w:drawing>
          <wp:inline distT="0" distB="0" distL="0" distR="0" wp14:anchorId="1BDCD3B9" wp14:editId="01B313D6">
            <wp:extent cx="5731510" cy="1282065"/>
            <wp:effectExtent l="0" t="0" r="0" b="0"/>
            <wp:docPr id="20994764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510" cy="1282065"/>
                    </a:xfrm>
                    <a:prstGeom prst="rect">
                      <a:avLst/>
                    </a:prstGeom>
                    <a:ln/>
                  </pic:spPr>
                </pic:pic>
              </a:graphicData>
            </a:graphic>
          </wp:inline>
        </w:drawing>
      </w:r>
    </w:p>
    <w:p w14:paraId="415BEAE6" w14:textId="27280293"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noProof/>
        </w:rPr>
        <w:lastRenderedPageBreak/>
        <w:drawing>
          <wp:inline distT="0" distB="0" distL="0" distR="0" wp14:anchorId="44F79792" wp14:editId="52488E97">
            <wp:extent cx="5731510" cy="6369050"/>
            <wp:effectExtent l="0" t="0" r="2540" b="0"/>
            <wp:docPr id="209947645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510" cy="6369050"/>
                    </a:xfrm>
                    <a:prstGeom prst="rect">
                      <a:avLst/>
                    </a:prstGeom>
                    <a:ln/>
                  </pic:spPr>
                </pic:pic>
              </a:graphicData>
            </a:graphic>
          </wp:inline>
        </w:drawing>
      </w:r>
    </w:p>
    <w:p w14:paraId="30DC16BB" w14:textId="77777777"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rPr>
        <w:pict w14:anchorId="527CF890">
          <v:rect id="_x0000_i1057" style="width:0;height:1.5pt" o:hralign="center" o:hrstd="t" o:hr="t" fillcolor="#a0a0a0" stroked="f"/>
        </w:pict>
      </w:r>
    </w:p>
    <w:p w14:paraId="7FEF693A" w14:textId="77777777" w:rsidR="003C6A59" w:rsidRDefault="003C6A59" w:rsidP="003C6A59">
      <w:pPr>
        <w:pStyle w:val="Heading1"/>
        <w:spacing w:line="480" w:lineRule="auto"/>
        <w:rPr>
          <w:rFonts w:asciiTheme="majorBidi" w:eastAsia="Play" w:hAnsiTheme="majorBidi"/>
          <w:color w:val="0F4761"/>
          <w:kern w:val="0"/>
          <w:lang w:eastAsia="en-AE"/>
          <w14:ligatures w14:val="none"/>
        </w:rPr>
      </w:pPr>
    </w:p>
    <w:p w14:paraId="0660D143" w14:textId="5D00BA14" w:rsidR="003C6A59" w:rsidRPr="003C6A59" w:rsidRDefault="003C6A59" w:rsidP="003C6A59">
      <w:pPr>
        <w:pStyle w:val="Heading1"/>
        <w:spacing w:line="480" w:lineRule="auto"/>
        <w:rPr>
          <w:rFonts w:asciiTheme="majorBidi" w:eastAsia="Play" w:hAnsiTheme="majorBidi"/>
          <w:color w:val="0F4761"/>
          <w:kern w:val="0"/>
          <w:lang w:eastAsia="en-AE"/>
          <w14:ligatures w14:val="none"/>
        </w:rPr>
      </w:pPr>
      <w:r w:rsidRPr="003C6A59">
        <w:rPr>
          <w:rFonts w:asciiTheme="majorBidi" w:eastAsia="Play" w:hAnsiTheme="majorBidi"/>
          <w:color w:val="0F4761"/>
          <w:kern w:val="0"/>
          <w:lang w:eastAsia="en-AE"/>
          <w14:ligatures w14:val="none"/>
        </w:rPr>
        <w:t>4. Quantitative Evaluation Domain</w:t>
      </w:r>
    </w:p>
    <w:p w14:paraId="208C7B72"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 xml:space="preserve">To enable quantitative analysis, a </w:t>
      </w:r>
      <w:r w:rsidRPr="00916542">
        <w:rPr>
          <w:rFonts w:asciiTheme="majorBidi" w:hAnsiTheme="majorBidi" w:cstheme="majorBidi"/>
          <w:b/>
          <w:bCs/>
        </w:rPr>
        <w:t>probability-based risk domain aligned with the CIA triad</w:t>
      </w:r>
      <w:r w:rsidRPr="00916542">
        <w:rPr>
          <w:rFonts w:asciiTheme="majorBidi" w:hAnsiTheme="majorBidi" w:cstheme="majorBidi"/>
        </w:rPr>
        <w:t xml:space="preserve"> was selected. Each leaf attack node is assigned a likelihood value in the range </w:t>
      </w:r>
      <w:r w:rsidRPr="00916542">
        <w:rPr>
          <w:rFonts w:asciiTheme="majorBidi" w:hAnsiTheme="majorBidi" w:cstheme="majorBidi"/>
          <w:b/>
          <w:bCs/>
        </w:rPr>
        <w:t>[0,1]</w:t>
      </w:r>
      <w:r w:rsidRPr="00916542">
        <w:rPr>
          <w:rFonts w:asciiTheme="majorBidi" w:hAnsiTheme="majorBidi" w:cstheme="majorBidi"/>
        </w:rPr>
        <w:t>, representing the estimated probability of successful exploitation. Risk is computed as a function of likelihood and impact on confidentiality, integrity, and availability.</w:t>
      </w:r>
    </w:p>
    <w:p w14:paraId="6618AA7D" w14:textId="5154FD90" w:rsidR="003C6A59" w:rsidRPr="003C6A59" w:rsidRDefault="00916542" w:rsidP="003C6A59">
      <w:pPr>
        <w:spacing w:line="480" w:lineRule="auto"/>
        <w:rPr>
          <w:rFonts w:asciiTheme="majorBidi" w:hAnsiTheme="majorBidi" w:cstheme="majorBidi"/>
        </w:rPr>
      </w:pPr>
      <w:r w:rsidRPr="00916542">
        <w:rPr>
          <w:rFonts w:asciiTheme="majorBidi" w:hAnsiTheme="majorBidi" w:cstheme="majorBidi"/>
        </w:rPr>
        <w:drawing>
          <wp:inline distT="0" distB="0" distL="0" distR="0" wp14:anchorId="44905700" wp14:editId="57F92C30">
            <wp:extent cx="5731510" cy="2274570"/>
            <wp:effectExtent l="0" t="0" r="2540" b="0"/>
            <wp:docPr id="172739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94571" name=""/>
                    <pic:cNvPicPr/>
                  </pic:nvPicPr>
                  <pic:blipFill>
                    <a:blip r:embed="rId13"/>
                    <a:stretch>
                      <a:fillRect/>
                    </a:stretch>
                  </pic:blipFill>
                  <pic:spPr>
                    <a:xfrm>
                      <a:off x="0" y="0"/>
                      <a:ext cx="5731510" cy="2274570"/>
                    </a:xfrm>
                    <a:prstGeom prst="rect">
                      <a:avLst/>
                    </a:prstGeom>
                  </pic:spPr>
                </pic:pic>
              </a:graphicData>
            </a:graphic>
          </wp:inline>
        </w:drawing>
      </w:r>
      <w:r w:rsidR="003C6A59" w:rsidRPr="003C6A59">
        <w:rPr>
          <w:rFonts w:asciiTheme="majorBidi" w:hAnsiTheme="majorBidi" w:cstheme="majorBidi"/>
        </w:rPr>
        <w:pict w14:anchorId="1F588D1F">
          <v:rect id="_x0000_i1058" style="width:0;height:1.5pt" o:hralign="center" o:hrstd="t" o:hr="t" fillcolor="#a0a0a0" stroked="f"/>
        </w:pict>
      </w:r>
    </w:p>
    <w:p w14:paraId="5B5165B6" w14:textId="77777777" w:rsidR="003C6A59" w:rsidRPr="003C6A59" w:rsidRDefault="003C6A59" w:rsidP="003C6A59">
      <w:pPr>
        <w:pStyle w:val="Heading1"/>
        <w:spacing w:line="480" w:lineRule="auto"/>
        <w:rPr>
          <w:rFonts w:asciiTheme="majorBidi" w:eastAsia="Play" w:hAnsiTheme="majorBidi"/>
          <w:color w:val="0F4761"/>
          <w:kern w:val="0"/>
          <w:lang w:eastAsia="en-AE"/>
          <w14:ligatures w14:val="none"/>
        </w:rPr>
      </w:pPr>
      <w:r w:rsidRPr="003C6A59">
        <w:rPr>
          <w:rFonts w:asciiTheme="majorBidi" w:eastAsia="Play" w:hAnsiTheme="majorBidi"/>
          <w:color w:val="0F4761"/>
          <w:kern w:val="0"/>
          <w:lang w:eastAsia="en-AE"/>
          <w14:ligatures w14:val="none"/>
        </w:rPr>
        <w:t>5. Mitigation Strategies</w:t>
      </w:r>
    </w:p>
    <w:p w14:paraId="61E8197D"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Mitigation strategies are derived directly from the AD-Tree and mapped explicitly to identified attack paths.</w:t>
      </w:r>
    </w:p>
    <w:p w14:paraId="2026B93D"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 xml:space="preserve">At the </w:t>
      </w:r>
      <w:r w:rsidRPr="00916542">
        <w:rPr>
          <w:rFonts w:asciiTheme="majorBidi" w:hAnsiTheme="majorBidi" w:cstheme="majorBidi"/>
          <w:b/>
          <w:bCs/>
        </w:rPr>
        <w:t>device level</w:t>
      </w:r>
      <w:r w:rsidRPr="00916542">
        <w:rPr>
          <w:rFonts w:asciiTheme="majorBidi" w:hAnsiTheme="majorBidi" w:cstheme="majorBidi"/>
        </w:rPr>
        <w:t>, mitigations include strong cryptographic identity management, secure boot mechanisms, tamper-resistant hardware, and lightweight authentication protocols suitable for constrained devices.</w:t>
      </w:r>
    </w:p>
    <w:p w14:paraId="30DE3164" w14:textId="03EFE61D" w:rsidR="003C6A59" w:rsidRPr="003C6A59" w:rsidRDefault="00916542" w:rsidP="003C6A59">
      <w:pPr>
        <w:spacing w:line="480" w:lineRule="auto"/>
        <w:rPr>
          <w:rFonts w:asciiTheme="majorBidi" w:hAnsiTheme="majorBidi" w:cstheme="majorBidi"/>
          <w:b/>
          <w:bCs/>
        </w:rPr>
      </w:pPr>
      <w:r w:rsidRPr="00916542">
        <w:rPr>
          <w:rFonts w:asciiTheme="majorBidi" w:hAnsiTheme="majorBidi" w:cstheme="majorBidi"/>
        </w:rPr>
        <w:lastRenderedPageBreak/>
        <w:drawing>
          <wp:inline distT="0" distB="0" distL="0" distR="0" wp14:anchorId="255B8DF3" wp14:editId="20FDA9D9">
            <wp:extent cx="5731510" cy="3222625"/>
            <wp:effectExtent l="0" t="0" r="2540" b="0"/>
            <wp:docPr id="107374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0583" name=""/>
                    <pic:cNvPicPr/>
                  </pic:nvPicPr>
                  <pic:blipFill>
                    <a:blip r:embed="rId14"/>
                    <a:stretch>
                      <a:fillRect/>
                    </a:stretch>
                  </pic:blipFill>
                  <pic:spPr>
                    <a:xfrm>
                      <a:off x="0" y="0"/>
                      <a:ext cx="5731510" cy="3222625"/>
                    </a:xfrm>
                    <a:prstGeom prst="rect">
                      <a:avLst/>
                    </a:prstGeom>
                  </pic:spPr>
                </pic:pic>
              </a:graphicData>
            </a:graphic>
          </wp:inline>
        </w:drawing>
      </w:r>
      <w:r w:rsidR="003C6A59" w:rsidRPr="003C6A59">
        <w:rPr>
          <w:rFonts w:asciiTheme="majorBidi" w:hAnsiTheme="majorBidi" w:cstheme="majorBidi"/>
          <w:b/>
          <w:bCs/>
        </w:rPr>
        <w:t>Table 1: Attack–Defence Traceability</w:t>
      </w:r>
    </w:p>
    <w:p w14:paraId="57199E85" w14:textId="77777777" w:rsidR="003C6A59" w:rsidRPr="003C6A59" w:rsidRDefault="003C6A59" w:rsidP="003C6A59">
      <w:pPr>
        <w:spacing w:line="480" w:lineRule="auto"/>
        <w:rPr>
          <w:rFonts w:asciiTheme="majorBidi" w:hAnsiTheme="majorBidi" w:cstheme="majorBidi"/>
          <w:b/>
          <w:bCs/>
        </w:rPr>
      </w:pPr>
      <w:r w:rsidRPr="003C6A59">
        <w:rPr>
          <w:rFonts w:asciiTheme="majorBidi" w:hAnsiTheme="majorBidi" w:cstheme="majorBidi"/>
          <w:b/>
          <w:bCs/>
          <w:noProof/>
        </w:rPr>
        <w:drawing>
          <wp:inline distT="0" distB="0" distL="0" distR="0" wp14:anchorId="0CE34251" wp14:editId="0573C36B">
            <wp:extent cx="5731510" cy="2727960"/>
            <wp:effectExtent l="0" t="0" r="0" b="0"/>
            <wp:docPr id="20994764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510" cy="2727960"/>
                    </a:xfrm>
                    <a:prstGeom prst="rect">
                      <a:avLst/>
                    </a:prstGeom>
                    <a:ln/>
                  </pic:spPr>
                </pic:pic>
              </a:graphicData>
            </a:graphic>
          </wp:inline>
        </w:drawing>
      </w:r>
    </w:p>
    <w:p w14:paraId="582B1763" w14:textId="77777777" w:rsidR="003C6A59" w:rsidRPr="003C6A59" w:rsidRDefault="003C6A59" w:rsidP="003C6A59">
      <w:pPr>
        <w:spacing w:line="480" w:lineRule="auto"/>
        <w:rPr>
          <w:rFonts w:asciiTheme="majorBidi" w:hAnsiTheme="majorBidi" w:cstheme="majorBidi"/>
        </w:rPr>
      </w:pPr>
    </w:p>
    <w:p w14:paraId="46552C33" w14:textId="77777777"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rPr>
        <w:pict w14:anchorId="232AABD1">
          <v:rect id="_x0000_i1059" style="width:0;height:1.5pt" o:hralign="center" o:hrstd="t" o:hr="t" fillcolor="#a0a0a0" stroked="f"/>
        </w:pict>
      </w:r>
    </w:p>
    <w:p w14:paraId="4C8D6B61" w14:textId="21F7754F" w:rsidR="003C6A59" w:rsidRPr="003C6A59" w:rsidRDefault="003C6A59" w:rsidP="003C6A59">
      <w:pPr>
        <w:pStyle w:val="Heading1"/>
        <w:spacing w:line="480" w:lineRule="auto"/>
        <w:rPr>
          <w:rFonts w:asciiTheme="majorBidi" w:eastAsia="Play" w:hAnsiTheme="majorBidi"/>
          <w:color w:val="0F4761"/>
          <w:kern w:val="0"/>
          <w:lang w:eastAsia="en-AE"/>
          <w14:ligatures w14:val="none"/>
        </w:rPr>
      </w:pPr>
      <w:r w:rsidRPr="003C6A59">
        <w:rPr>
          <w:rFonts w:asciiTheme="majorBidi" w:eastAsia="Play" w:hAnsiTheme="majorBidi"/>
          <w:color w:val="0F4761"/>
          <w:kern w:val="0"/>
          <w:lang w:eastAsia="en-AE"/>
          <w14:ligatures w14:val="none"/>
        </w:rPr>
        <w:lastRenderedPageBreak/>
        <w:t>6. Conclusion</w:t>
      </w:r>
      <w:r w:rsidRPr="003C6A59">
        <w:rPr>
          <w:rFonts w:asciiTheme="majorBidi" w:eastAsia="Play" w:hAnsiTheme="majorBidi"/>
          <w:color w:val="0F4761"/>
          <w:kern w:val="0"/>
          <w:lang w:eastAsia="en-AE"/>
          <w14:ligatures w14:val="none"/>
        </w:rPr>
        <w:t xml:space="preserve"> and learning Outcomes</w:t>
      </w:r>
    </w:p>
    <w:p w14:paraId="1A541EAF" w14:textId="77777777" w:rsidR="00916542" w:rsidRPr="00916542" w:rsidRDefault="00916542" w:rsidP="00916542">
      <w:pPr>
        <w:spacing w:line="480" w:lineRule="auto"/>
        <w:rPr>
          <w:rFonts w:asciiTheme="majorBidi" w:hAnsiTheme="majorBidi" w:cstheme="majorBidi"/>
        </w:rPr>
      </w:pPr>
      <w:r w:rsidRPr="00916542">
        <w:rPr>
          <w:rFonts w:asciiTheme="majorBidi" w:hAnsiTheme="majorBidi" w:cstheme="majorBidi"/>
        </w:rPr>
        <w:t>This design document demonstrates the effective use of an Attack–Defence Tree to analyse security risks in an IoT-based smart home System of Systems. By identifying vulnerabilities across device, hub, and system layers, applying Luxembourg ADTree modelling, selecting a justified quantitative domain, and deriving targeted mitigations, the work provides a structured approach to CPS security analysis. The model supports both qualitative reasoning and quantitative evaluation, addressing key challenges in secure distributed system design.</w:t>
      </w:r>
    </w:p>
    <w:p w14:paraId="6A04601C" w14:textId="77777777" w:rsidR="003C6A59" w:rsidRPr="003C6A59" w:rsidRDefault="003C6A59" w:rsidP="003C6A59">
      <w:pPr>
        <w:spacing w:line="480" w:lineRule="auto"/>
        <w:rPr>
          <w:rFonts w:asciiTheme="majorBidi" w:hAnsiTheme="majorBidi" w:cstheme="majorBidi"/>
        </w:rPr>
      </w:pPr>
      <w:r w:rsidRPr="003C6A59">
        <w:rPr>
          <w:rFonts w:asciiTheme="majorBidi" w:hAnsiTheme="majorBidi" w:cstheme="majorBidi"/>
        </w:rPr>
        <w:t>The assignment fulfils the learning outcomes by:</w:t>
      </w:r>
    </w:p>
    <w:p w14:paraId="44E7EFC2" w14:textId="77777777" w:rsidR="003C6A59" w:rsidRPr="003C6A59" w:rsidRDefault="003C6A59" w:rsidP="003C6A59">
      <w:pPr>
        <w:numPr>
          <w:ilvl w:val="0"/>
          <w:numId w:val="3"/>
        </w:numPr>
        <w:spacing w:line="480" w:lineRule="auto"/>
        <w:rPr>
          <w:rFonts w:asciiTheme="majorBidi" w:hAnsiTheme="majorBidi" w:cstheme="majorBidi"/>
        </w:rPr>
      </w:pPr>
      <w:r w:rsidRPr="003C6A59">
        <w:rPr>
          <w:rFonts w:asciiTheme="majorBidi" w:hAnsiTheme="majorBidi" w:cstheme="majorBidi"/>
        </w:rPr>
        <w:t>Critically analysing operating system and network risks in distributed CPS environments</w:t>
      </w:r>
    </w:p>
    <w:p w14:paraId="10E5BA4C" w14:textId="77777777" w:rsidR="003C6A59" w:rsidRPr="003C6A59" w:rsidRDefault="003C6A59" w:rsidP="003C6A59">
      <w:pPr>
        <w:numPr>
          <w:ilvl w:val="0"/>
          <w:numId w:val="3"/>
        </w:numPr>
        <w:spacing w:line="480" w:lineRule="auto"/>
        <w:rPr>
          <w:rFonts w:asciiTheme="majorBidi" w:hAnsiTheme="majorBidi" w:cstheme="majorBidi"/>
        </w:rPr>
      </w:pPr>
      <w:r w:rsidRPr="003C6A59">
        <w:rPr>
          <w:rFonts w:asciiTheme="majorBidi" w:hAnsiTheme="majorBidi" w:cstheme="majorBidi"/>
        </w:rPr>
        <w:t>Evaluating secure architectural adaptations for IoT-based systems</w:t>
      </w:r>
    </w:p>
    <w:p w14:paraId="5828C0C3" w14:textId="77777777" w:rsidR="003C6A59" w:rsidRDefault="003C6A59" w:rsidP="003C6A59">
      <w:pPr>
        <w:numPr>
          <w:ilvl w:val="0"/>
          <w:numId w:val="3"/>
        </w:numPr>
        <w:spacing w:line="480" w:lineRule="auto"/>
        <w:rPr>
          <w:rFonts w:asciiTheme="majorBidi" w:hAnsiTheme="majorBidi" w:cstheme="majorBidi"/>
        </w:rPr>
      </w:pPr>
      <w:r w:rsidRPr="003C6A59">
        <w:rPr>
          <w:rFonts w:asciiTheme="majorBidi" w:hAnsiTheme="majorBidi" w:cstheme="majorBidi"/>
        </w:rPr>
        <w:t>Demonstrating structured, team-based security modelling aligned with professional practice</w:t>
      </w:r>
    </w:p>
    <w:p w14:paraId="5FC686D6" w14:textId="77777777" w:rsidR="00CB17DF" w:rsidRDefault="00CB17DF" w:rsidP="00CB17DF">
      <w:pPr>
        <w:spacing w:line="480" w:lineRule="auto"/>
        <w:rPr>
          <w:rFonts w:asciiTheme="majorBidi" w:hAnsiTheme="majorBidi" w:cstheme="majorBidi"/>
        </w:rPr>
      </w:pPr>
    </w:p>
    <w:p w14:paraId="36FE0D1C" w14:textId="77777777" w:rsidR="00CB17DF" w:rsidRDefault="00CB17DF" w:rsidP="00CB17DF">
      <w:pPr>
        <w:pStyle w:val="Heading2"/>
        <w:rPr>
          <w:i/>
          <w:iCs/>
        </w:rPr>
      </w:pPr>
      <w:r>
        <w:rPr>
          <w:i/>
          <w:iCs/>
        </w:rPr>
        <w:t>References</w:t>
      </w:r>
    </w:p>
    <w:p w14:paraId="4B49C72F" w14:textId="77777777" w:rsidR="00CB17DF" w:rsidRDefault="00CB17DF" w:rsidP="00CB17DF">
      <w:pPr>
        <w:rPr>
          <w:color w:val="1155CC"/>
          <w:u w:val="single"/>
        </w:rPr>
      </w:pPr>
      <w:proofErr w:type="spellStart"/>
      <w:r>
        <w:rPr>
          <w:b/>
          <w:bCs/>
        </w:rPr>
        <w:t>Bhattacharjya</w:t>
      </w:r>
      <w:proofErr w:type="spellEnd"/>
      <w:r>
        <w:rPr>
          <w:b/>
          <w:bCs/>
        </w:rPr>
        <w:t>, A.</w:t>
      </w:r>
      <w:r>
        <w:t xml:space="preserve"> (2022). A holistic study on the use of blockchain technology in CPS and IoT architectures maintaining the CIA triad. </w:t>
      </w:r>
      <w:r>
        <w:rPr>
          <w:i/>
          <w:iCs/>
        </w:rPr>
        <w:t>International Journal of Applied Mathematics and Computer Science</w:t>
      </w:r>
      <w:r>
        <w:t>, 32(3), 403–413.</w:t>
      </w:r>
      <w:hyperlink r:id="rId16">
        <w:r>
          <w:t xml:space="preserve"> </w:t>
        </w:r>
      </w:hyperlink>
      <w:hyperlink r:id="rId17">
        <w:r>
          <w:rPr>
            <w:color w:val="1155CC"/>
            <w:u w:val="single"/>
          </w:rPr>
          <w:t>https://doi.org/10.34768/amcs-2022-0029</w:t>
        </w:r>
      </w:hyperlink>
    </w:p>
    <w:p w14:paraId="686B3202" w14:textId="77777777" w:rsidR="00CB17DF" w:rsidRDefault="00CB17DF" w:rsidP="00CB17DF">
      <w:pPr>
        <w:rPr>
          <w:color w:val="1155CC"/>
          <w:u w:val="single"/>
        </w:rPr>
      </w:pPr>
      <w:r>
        <w:rPr>
          <w:b/>
          <w:bCs/>
        </w:rPr>
        <w:t>ETSI.</w:t>
      </w:r>
      <w:r>
        <w:t xml:space="preserve"> EN 303 645: Cyber Security for Consumer Internet of Things.</w:t>
      </w:r>
      <w:hyperlink r:id="rId18">
        <w:r>
          <w:t xml:space="preserve"> </w:t>
        </w:r>
      </w:hyperlink>
      <w:hyperlink r:id="rId19">
        <w:r>
          <w:rPr>
            <w:color w:val="1155CC"/>
            <w:u w:val="single"/>
          </w:rPr>
          <w:t>https://www.etsi.org/deliver/etsi_en/303600_303699/303645/03.01.03_60/en_303645v030103p.pdf</w:t>
        </w:r>
      </w:hyperlink>
    </w:p>
    <w:p w14:paraId="736A720E" w14:textId="77777777" w:rsidR="00CB17DF" w:rsidRDefault="00CB17DF" w:rsidP="00CB17DF">
      <w:pPr>
        <w:rPr>
          <w:color w:val="1155CC"/>
          <w:u w:val="single"/>
        </w:rPr>
      </w:pPr>
      <w:r>
        <w:rPr>
          <w:b/>
          <w:bCs/>
        </w:rPr>
        <w:t>NIST.</w:t>
      </w:r>
      <w:r>
        <w:t xml:space="preserve"> NISTIR 8259A: IoT Device Cybersecurity Capability Core Baseline.</w:t>
      </w:r>
      <w:hyperlink r:id="rId20">
        <w:r>
          <w:t xml:space="preserve"> </w:t>
        </w:r>
      </w:hyperlink>
      <w:hyperlink r:id="rId21">
        <w:r>
          <w:rPr>
            <w:color w:val="1155CC"/>
            <w:u w:val="single"/>
          </w:rPr>
          <w:t>https://nvlpubs.nist.gov/nistpubs/ir/2020/NIST.IR.8259a.pdf</w:t>
        </w:r>
      </w:hyperlink>
    </w:p>
    <w:p w14:paraId="4F32C6E0" w14:textId="6658BA41" w:rsidR="003C6A59" w:rsidRPr="003C6A59" w:rsidRDefault="00CB17DF" w:rsidP="00CB17DF">
      <w:pPr>
        <w:rPr>
          <w:color w:val="1155CC"/>
          <w:u w:val="single"/>
        </w:rPr>
      </w:pPr>
      <w:r>
        <w:rPr>
          <w:b/>
          <w:bCs/>
        </w:rPr>
        <w:t>OWASP Foundation.</w:t>
      </w:r>
      <w:r>
        <w:t xml:space="preserve"> OWASP Internet of Things Project.</w:t>
      </w:r>
      <w:hyperlink r:id="rId22">
        <w:r>
          <w:t xml:space="preserve"> </w:t>
        </w:r>
      </w:hyperlink>
      <w:hyperlink r:id="rId23">
        <w:r>
          <w:rPr>
            <w:color w:val="1155CC"/>
            <w:u w:val="single"/>
          </w:rPr>
          <w:t>https://owasp.org/www-project-internet-of-things/</w:t>
        </w:r>
      </w:hyperlink>
    </w:p>
    <w:sectPr w:rsidR="003C6A59" w:rsidRPr="003C6A59" w:rsidSect="003C6A59">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lay">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01040"/>
    <w:multiLevelType w:val="hybridMultilevel"/>
    <w:tmpl w:val="7E5AE4AC"/>
    <w:lvl w:ilvl="0" w:tplc="C52EFA1A">
      <w:numFmt w:val="bullet"/>
      <w:lvlText w:val="-"/>
      <w:lvlJc w:val="left"/>
      <w:pPr>
        <w:ind w:left="720" w:hanging="360"/>
      </w:pPr>
      <w:rPr>
        <w:rFonts w:ascii="Aptos" w:eastAsiaTheme="minorEastAsia"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CE853F3"/>
    <w:multiLevelType w:val="multilevel"/>
    <w:tmpl w:val="B44C72D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DC75C03"/>
    <w:multiLevelType w:val="multilevel"/>
    <w:tmpl w:val="5450F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43311E"/>
    <w:multiLevelType w:val="multilevel"/>
    <w:tmpl w:val="133E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9065257">
    <w:abstractNumId w:val="3"/>
  </w:num>
  <w:num w:numId="2" w16cid:durableId="1911191265">
    <w:abstractNumId w:val="0"/>
  </w:num>
  <w:num w:numId="3" w16cid:durableId="966197873">
    <w:abstractNumId w:val="1"/>
  </w:num>
  <w:num w:numId="4" w16cid:durableId="10322645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59"/>
    <w:rsid w:val="003C6A59"/>
    <w:rsid w:val="00837441"/>
    <w:rsid w:val="00916542"/>
    <w:rsid w:val="00A10B96"/>
    <w:rsid w:val="00A35B6F"/>
    <w:rsid w:val="00CB17DF"/>
    <w:rsid w:val="00D53F62"/>
    <w:rsid w:val="00E44DF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241FC"/>
  <w15:chartTrackingRefBased/>
  <w15:docId w15:val="{D7A5BB78-1A3D-4116-951E-B32E43E4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A59"/>
    <w:rPr>
      <w:rFonts w:eastAsiaTheme="majorEastAsia" w:cstheme="majorBidi"/>
      <w:color w:val="272727" w:themeColor="text1" w:themeTint="D8"/>
    </w:rPr>
  </w:style>
  <w:style w:type="paragraph" w:styleId="Title">
    <w:name w:val="Title"/>
    <w:basedOn w:val="Normal"/>
    <w:next w:val="Normal"/>
    <w:link w:val="TitleChar"/>
    <w:uiPriority w:val="10"/>
    <w:qFormat/>
    <w:rsid w:val="003C6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A59"/>
    <w:pPr>
      <w:spacing w:before="160"/>
      <w:jc w:val="center"/>
    </w:pPr>
    <w:rPr>
      <w:i/>
      <w:iCs/>
      <w:color w:val="404040" w:themeColor="text1" w:themeTint="BF"/>
    </w:rPr>
  </w:style>
  <w:style w:type="character" w:customStyle="1" w:styleId="QuoteChar">
    <w:name w:val="Quote Char"/>
    <w:basedOn w:val="DefaultParagraphFont"/>
    <w:link w:val="Quote"/>
    <w:uiPriority w:val="29"/>
    <w:rsid w:val="003C6A59"/>
    <w:rPr>
      <w:i/>
      <w:iCs/>
      <w:color w:val="404040" w:themeColor="text1" w:themeTint="BF"/>
    </w:rPr>
  </w:style>
  <w:style w:type="paragraph" w:styleId="ListParagraph">
    <w:name w:val="List Paragraph"/>
    <w:basedOn w:val="Normal"/>
    <w:uiPriority w:val="34"/>
    <w:qFormat/>
    <w:rsid w:val="003C6A59"/>
    <w:pPr>
      <w:ind w:left="720"/>
      <w:contextualSpacing/>
    </w:pPr>
  </w:style>
  <w:style w:type="character" w:styleId="IntenseEmphasis">
    <w:name w:val="Intense Emphasis"/>
    <w:basedOn w:val="DefaultParagraphFont"/>
    <w:uiPriority w:val="21"/>
    <w:qFormat/>
    <w:rsid w:val="003C6A59"/>
    <w:rPr>
      <w:i/>
      <w:iCs/>
      <w:color w:val="0F4761" w:themeColor="accent1" w:themeShade="BF"/>
    </w:rPr>
  </w:style>
  <w:style w:type="paragraph" w:styleId="IntenseQuote">
    <w:name w:val="Intense Quote"/>
    <w:basedOn w:val="Normal"/>
    <w:next w:val="Normal"/>
    <w:link w:val="IntenseQuoteChar"/>
    <w:uiPriority w:val="30"/>
    <w:qFormat/>
    <w:rsid w:val="003C6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A59"/>
    <w:rPr>
      <w:i/>
      <w:iCs/>
      <w:color w:val="0F4761" w:themeColor="accent1" w:themeShade="BF"/>
    </w:rPr>
  </w:style>
  <w:style w:type="character" w:styleId="IntenseReference">
    <w:name w:val="Intense Reference"/>
    <w:basedOn w:val="DefaultParagraphFont"/>
    <w:uiPriority w:val="32"/>
    <w:qFormat/>
    <w:rsid w:val="003C6A59"/>
    <w:rPr>
      <w:b/>
      <w:bCs/>
      <w:smallCaps/>
      <w:color w:val="0F4761" w:themeColor="accent1" w:themeShade="BF"/>
      <w:spacing w:val="5"/>
    </w:rPr>
  </w:style>
  <w:style w:type="paragraph" w:styleId="NoSpacing">
    <w:name w:val="No Spacing"/>
    <w:link w:val="NoSpacingChar"/>
    <w:uiPriority w:val="1"/>
    <w:qFormat/>
    <w:rsid w:val="003C6A5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C6A59"/>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etsi.org/deliver/etsi_en/303600_303699/303645/03.01.03_60/en_303645v030103p.pdf" TargetMode="External"/><Relationship Id="rId3" Type="http://schemas.openxmlformats.org/officeDocument/2006/relationships/styles" Target="styles.xml"/><Relationship Id="rId21" Type="http://schemas.openxmlformats.org/officeDocument/2006/relationships/hyperlink" Target="https://nvlpubs.nist.gov/nistpubs/ir/2020/NIST.IR.8259a.pd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34768/amcs-2022-002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34768/amcs-2022-0029" TargetMode="External"/><Relationship Id="rId20" Type="http://schemas.openxmlformats.org/officeDocument/2006/relationships/hyperlink" Target="https://nvlpubs.nist.gov/nistpubs/ir/2020/NIST.IR.8259a.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owasp.org/www-project-internet-of-things/" TargetMode="External"/><Relationship Id="rId10" Type="http://schemas.openxmlformats.org/officeDocument/2006/relationships/image" Target="media/image5.png"/><Relationship Id="rId19" Type="http://schemas.openxmlformats.org/officeDocument/2006/relationships/hyperlink" Target="https://www.etsi.org/deliver/etsi_en/303600_303699/303645/03.01.03_60/en_303645v030103p.pdf"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owasp.org/www-project-internet-of-th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722</Words>
  <Characters>4879</Characters>
  <Application>Microsoft Office Word</Application>
  <DocSecurity>0</DocSecurity>
  <Lines>113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Document: Attack–Defence Tree for an IoT-Based Smart Home System of Systems</dc:title>
  <dc:subject>Group name : Shamshir</dc:subject>
  <dc:creator>sultan alkaabi</dc:creator>
  <cp:keywords/>
  <dc:description/>
  <cp:lastModifiedBy>sultan alkaabi</cp:lastModifiedBy>
  <cp:revision>9</cp:revision>
  <dcterms:created xsi:type="dcterms:W3CDTF">2026-02-15T13:22:00Z</dcterms:created>
  <dcterms:modified xsi:type="dcterms:W3CDTF">2026-02-15T13:47:00Z</dcterms:modified>
</cp:coreProperties>
</file>