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4C21E" w14:textId="77777777" w:rsidR="003F2C5A" w:rsidRPr="003F2C5A" w:rsidRDefault="003F2C5A" w:rsidP="003F2C5A">
      <w:pPr>
        <w:rPr>
          <w:b/>
          <w:bCs/>
        </w:rPr>
      </w:pPr>
      <w:r w:rsidRPr="003F2C5A">
        <w:rPr>
          <w:b/>
          <w:bCs/>
        </w:rPr>
        <w:t>What?</w:t>
      </w:r>
    </w:p>
    <w:p w14:paraId="6C47FF18" w14:textId="77777777" w:rsidR="003F2C5A" w:rsidRPr="003F2C5A" w:rsidRDefault="003F2C5A" w:rsidP="003F2C5A">
      <w:r w:rsidRPr="003F2C5A">
        <w:t xml:space="preserve">Unit 1 introduced the foundations of security and risk management, including key definitions of risk, threats and vulnerabilities, and the distinction between qualitative and quantitative risk assessment. Through the core texts by Aven and Thekdi on risk science and NIST SP 800-30 on IT risk assessment, I gained an initial sense of risk as the combination of possible consequences and the uncertainty around them, rather than just “the chance that something bad happens”. </w:t>
      </w:r>
      <w:hyperlink r:id="rId5" w:tgtFrame="_blank" w:history="1">
        <w:r w:rsidRPr="003F2C5A">
          <w:rPr>
            <w:rStyle w:val="Hyperlink"/>
          </w:rPr>
          <w:t>NIST Computer Security Resource Center+3Taylor &amp; Francis+3Scribd+3</w:t>
        </w:r>
      </w:hyperlink>
    </w:p>
    <w:p w14:paraId="211221D9" w14:textId="77777777" w:rsidR="003F2C5A" w:rsidRPr="003F2C5A" w:rsidRDefault="003F2C5A" w:rsidP="003F2C5A">
      <w:r w:rsidRPr="003F2C5A">
        <w:t>At the same time, I participated in the Unit 1 discussion forum, where my initial post focused on Industry 4.0 risks using Kovaitė and Stankevičienė and Dos Santos Filho as key references. I analysed risks such as technical failure, data security, and staff acceptance in highly digitalised environments. In my peer response, I engaged with another student’s view and brought in work by Abels on private digital infrastructure, which helped me think about dependency on cloud and platform providers.</w:t>
      </w:r>
    </w:p>
    <w:p w14:paraId="4FA94B7C" w14:textId="77777777" w:rsidR="003F2C5A" w:rsidRPr="003F2C5A" w:rsidRDefault="003F2C5A" w:rsidP="003F2C5A">
      <w:r w:rsidRPr="003F2C5A">
        <w:t>Finally, the introductory seminar and group-contract activity required me to clarify roles and expectations within my team, which marked the start of the collaborative dimension of the module.</w:t>
      </w:r>
    </w:p>
    <w:p w14:paraId="2CC1C318" w14:textId="77777777" w:rsidR="003F2C5A" w:rsidRPr="003F2C5A" w:rsidRDefault="003F2C5A" w:rsidP="003F2C5A">
      <w:pPr>
        <w:rPr>
          <w:b/>
          <w:bCs/>
        </w:rPr>
      </w:pPr>
      <w:r w:rsidRPr="003F2C5A">
        <w:rPr>
          <w:b/>
          <w:bCs/>
        </w:rPr>
        <w:t>So what?</w:t>
      </w:r>
    </w:p>
    <w:p w14:paraId="20662A8A" w14:textId="77777777" w:rsidR="003F2C5A" w:rsidRPr="003F2C5A" w:rsidRDefault="003F2C5A" w:rsidP="003F2C5A">
      <w:r w:rsidRPr="003F2C5A">
        <w:t xml:space="preserve">The readings and activities in Unit 1 shifted my understanding of risk from something purely technical to something </w:t>
      </w:r>
      <w:r w:rsidRPr="003F2C5A">
        <w:rPr>
          <w:b/>
          <w:bCs/>
        </w:rPr>
        <w:t>socio-technical and organisational</w:t>
      </w:r>
      <w:r w:rsidRPr="003F2C5A">
        <w:t xml:space="preserve">. Aven and Thekdi’s framing of risk as “consequences and associated uncertainties” showed me that risk is deeply linked to how decisions are made under incomplete information. </w:t>
      </w:r>
      <w:hyperlink r:id="rId6" w:tgtFrame="_blank" w:history="1">
        <w:r w:rsidRPr="003F2C5A">
          <w:rPr>
            <w:rStyle w:val="Hyperlink"/>
          </w:rPr>
          <w:t>Taylor &amp; Francis+1</w:t>
        </w:r>
      </w:hyperlink>
      <w:r w:rsidRPr="003F2C5A">
        <w:t xml:space="preserve"> NIST SP 800-30 then grounded this concept in a structured risk assessment process, emphasising that identifying and prioritising risks is part of a broader, ongoing risk management cycle. </w:t>
      </w:r>
      <w:hyperlink r:id="rId7" w:tgtFrame="_blank" w:history="1">
        <w:r w:rsidRPr="003F2C5A">
          <w:rPr>
            <w:rStyle w:val="Hyperlink"/>
          </w:rPr>
          <w:t>NIST+1</w:t>
        </w:r>
      </w:hyperlink>
    </w:p>
    <w:p w14:paraId="0A7ABA2A" w14:textId="77777777" w:rsidR="003F2C5A" w:rsidRPr="003F2C5A" w:rsidRDefault="003F2C5A" w:rsidP="003F2C5A">
      <w:r w:rsidRPr="003F2C5A">
        <w:t xml:space="preserve">Emotionally, I felt slightly overwhelmed at first by the number of standards and frameworks, but the structured nature of the risk management process reassured me: there is a systematic way to move from uncertainty to informed action. Hubbard’s critique of “failed” risk management practices made me more critical of superficial or purely qualitative approaches that lack empirical grounding. </w:t>
      </w:r>
      <w:hyperlink r:id="rId8" w:tgtFrame="_blank" w:history="1">
        <w:r w:rsidRPr="003F2C5A">
          <w:rPr>
            <w:rStyle w:val="Hyperlink"/>
          </w:rPr>
          <w:t>ScienceDirect</w:t>
        </w:r>
      </w:hyperlink>
    </w:p>
    <w:p w14:paraId="2144A26B" w14:textId="77777777" w:rsidR="003F2C5A" w:rsidRPr="003F2C5A" w:rsidRDefault="003F2C5A" w:rsidP="003F2C5A">
      <w:r w:rsidRPr="003F2C5A">
        <w:t xml:space="preserve">Looking back at the discussion brief, I can also see that my posts focused more on Industry 4.0 and business digitalisation than on the specific human-rights context of Hancock et al.’s maritime case study. Hancock et al. highlight how data and digital tools can introduce bias, obscure power relations and reduce accountability in human-rights investigations at sea. </w:t>
      </w:r>
      <w:hyperlink r:id="rId9" w:tgtFrame="_blank" w:history="1">
        <w:r w:rsidRPr="003F2C5A">
          <w:rPr>
            <w:rStyle w:val="Hyperlink"/>
          </w:rPr>
          <w:t>ACM Digital Library+1</w:t>
        </w:r>
      </w:hyperlink>
      <w:r w:rsidRPr="003F2C5A">
        <w:t xml:space="preserve"> This made me realise that I need to connect technical risk discussions more explicitly to fairness, accountability and affected communities, not just to business models.</w:t>
      </w:r>
    </w:p>
    <w:p w14:paraId="6117AF72" w14:textId="77777777" w:rsidR="003F2C5A" w:rsidRPr="003F2C5A" w:rsidRDefault="003F2C5A" w:rsidP="003F2C5A">
      <w:pPr>
        <w:rPr>
          <w:b/>
          <w:bCs/>
        </w:rPr>
      </w:pPr>
      <w:r w:rsidRPr="003F2C5A">
        <w:rPr>
          <w:b/>
          <w:bCs/>
        </w:rPr>
        <w:lastRenderedPageBreak/>
        <w:t>Now what?</w:t>
      </w:r>
    </w:p>
    <w:p w14:paraId="64B29AAE" w14:textId="77777777" w:rsidR="003F2C5A" w:rsidRPr="003F2C5A" w:rsidRDefault="003F2C5A" w:rsidP="003F2C5A">
      <w:r w:rsidRPr="003F2C5A">
        <w:t xml:space="preserve">For the rest of the module, I want to apply a more </w:t>
      </w:r>
      <w:r w:rsidRPr="003F2C5A">
        <w:rPr>
          <w:b/>
          <w:bCs/>
        </w:rPr>
        <w:t>integrated</w:t>
      </w:r>
      <w:r w:rsidRPr="003F2C5A">
        <w:t xml:space="preserve"> view of risk that combines:</w:t>
      </w:r>
    </w:p>
    <w:p w14:paraId="32E4DF20" w14:textId="77777777" w:rsidR="003F2C5A" w:rsidRPr="003F2C5A" w:rsidRDefault="003F2C5A" w:rsidP="003F2C5A">
      <w:pPr>
        <w:numPr>
          <w:ilvl w:val="0"/>
          <w:numId w:val="1"/>
        </w:numPr>
      </w:pPr>
      <w:r w:rsidRPr="003F2C5A">
        <w:t xml:space="preserve">conceptual clarity from risk science (risk as consequences + uncertainty), </w:t>
      </w:r>
      <w:hyperlink r:id="rId10" w:tgtFrame="_blank" w:history="1">
        <w:r w:rsidRPr="003F2C5A">
          <w:rPr>
            <w:rStyle w:val="Hyperlink"/>
          </w:rPr>
          <w:t>Taylor &amp; Francis+1</w:t>
        </w:r>
      </w:hyperlink>
    </w:p>
    <w:p w14:paraId="1150A745" w14:textId="77777777" w:rsidR="003F2C5A" w:rsidRPr="003F2C5A" w:rsidRDefault="003F2C5A" w:rsidP="003F2C5A">
      <w:pPr>
        <w:numPr>
          <w:ilvl w:val="0"/>
          <w:numId w:val="1"/>
        </w:numPr>
      </w:pPr>
      <w:r w:rsidRPr="003F2C5A">
        <w:t xml:space="preserve">practical structure from standards such as NIST SP 800-30, </w:t>
      </w:r>
      <w:hyperlink r:id="rId11" w:tgtFrame="_blank" w:history="1">
        <w:r w:rsidRPr="003F2C5A">
          <w:rPr>
            <w:rStyle w:val="Hyperlink"/>
          </w:rPr>
          <w:t>NIST+1</w:t>
        </w:r>
      </w:hyperlink>
    </w:p>
    <w:p w14:paraId="5E2DB0F8" w14:textId="77777777" w:rsidR="003F2C5A" w:rsidRPr="003F2C5A" w:rsidRDefault="003F2C5A" w:rsidP="003F2C5A">
      <w:pPr>
        <w:numPr>
          <w:ilvl w:val="0"/>
          <w:numId w:val="1"/>
        </w:numPr>
      </w:pPr>
      <w:r w:rsidRPr="003F2C5A">
        <w:t xml:space="preserve">and critical reflection on fairness, accountability and governance from cases like Hancock et al. </w:t>
      </w:r>
      <w:hyperlink r:id="rId12" w:tgtFrame="_blank" w:history="1">
        <w:r w:rsidRPr="003F2C5A">
          <w:rPr>
            <w:rStyle w:val="Hyperlink"/>
          </w:rPr>
          <w:t>ACM Digital Library+1</w:t>
        </w:r>
      </w:hyperlink>
    </w:p>
    <w:p w14:paraId="19EB0F0F" w14:textId="77777777" w:rsidR="003F2C5A" w:rsidRPr="003F2C5A" w:rsidRDefault="003F2C5A" w:rsidP="003F2C5A">
      <w:r w:rsidRPr="003F2C5A">
        <w:t>In future discussion posts and project work, I intend to:</w:t>
      </w:r>
    </w:p>
    <w:p w14:paraId="69AD7AAE" w14:textId="77777777" w:rsidR="003F2C5A" w:rsidRPr="003F2C5A" w:rsidRDefault="003F2C5A" w:rsidP="003F2C5A">
      <w:pPr>
        <w:numPr>
          <w:ilvl w:val="0"/>
          <w:numId w:val="2"/>
        </w:numPr>
      </w:pPr>
      <w:r w:rsidRPr="003F2C5A">
        <w:t xml:space="preserve">explicitly map risks not only to assets and systems but also to </w:t>
      </w:r>
      <w:r w:rsidRPr="003F2C5A">
        <w:rPr>
          <w:b/>
          <w:bCs/>
        </w:rPr>
        <w:t>stakeholders and rights</w:t>
      </w:r>
      <w:r w:rsidRPr="003F2C5A">
        <w:t xml:space="preserve"> (who benefits, who is exposed, who is excluded);</w:t>
      </w:r>
    </w:p>
    <w:p w14:paraId="3F4842F2" w14:textId="77777777" w:rsidR="003F2C5A" w:rsidRPr="003F2C5A" w:rsidRDefault="003F2C5A" w:rsidP="003F2C5A">
      <w:pPr>
        <w:numPr>
          <w:ilvl w:val="0"/>
          <w:numId w:val="2"/>
        </w:numPr>
      </w:pPr>
      <w:r w:rsidRPr="003F2C5A">
        <w:t>check that my examples match the given brief more closely, ensuring better alignment between the required reading and my chosen case;</w:t>
      </w:r>
    </w:p>
    <w:p w14:paraId="523D20AB" w14:textId="77777777" w:rsidR="003F2C5A" w:rsidRPr="003F2C5A" w:rsidRDefault="003F2C5A" w:rsidP="003F2C5A">
      <w:pPr>
        <w:numPr>
          <w:ilvl w:val="0"/>
          <w:numId w:val="2"/>
        </w:numPr>
      </w:pPr>
      <w:r w:rsidRPr="003F2C5A">
        <w:t>document my individual contributions to team tasks (e.g. who drafted which section, who analysed which risks) so that I have clear evidence for the e-portfolio.</w:t>
      </w:r>
    </w:p>
    <w:p w14:paraId="0E1B2966" w14:textId="77777777" w:rsidR="003F2C5A" w:rsidRPr="003F2C5A" w:rsidRDefault="003F2C5A" w:rsidP="003F2C5A">
      <w:r w:rsidRPr="003F2C5A">
        <w:t>Finally, I will continue to use structured reflection models such as “What? So what? Now what?” to review key incidents during the module, as suggested in university reflection toolkits, because this gives me a simple but powerful way to turn experiences into concrete learning and action</w:t>
      </w:r>
    </w:p>
    <w:p w14:paraId="0DB4269E" w14:textId="77777777" w:rsidR="00A35B6F" w:rsidRDefault="00A35B6F"/>
    <w:sectPr w:rsidR="00A35B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6E04BD"/>
    <w:multiLevelType w:val="multilevel"/>
    <w:tmpl w:val="E3C4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750412"/>
    <w:multiLevelType w:val="multilevel"/>
    <w:tmpl w:val="C5FC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906981">
    <w:abstractNumId w:val="1"/>
  </w:num>
  <w:num w:numId="2" w16cid:durableId="1535461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C5A"/>
    <w:rsid w:val="003F2C5A"/>
    <w:rsid w:val="00621D09"/>
    <w:rsid w:val="00A10B96"/>
    <w:rsid w:val="00A35B6F"/>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743ED"/>
  <w15:chartTrackingRefBased/>
  <w15:docId w15:val="{FDB4A158-3B08-4722-A089-E5AB49EA7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C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2C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2C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C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2C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2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C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2C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2C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2C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2C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2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C5A"/>
    <w:rPr>
      <w:rFonts w:eastAsiaTheme="majorEastAsia" w:cstheme="majorBidi"/>
      <w:color w:val="272727" w:themeColor="text1" w:themeTint="D8"/>
    </w:rPr>
  </w:style>
  <w:style w:type="paragraph" w:styleId="Title">
    <w:name w:val="Title"/>
    <w:basedOn w:val="Normal"/>
    <w:next w:val="Normal"/>
    <w:link w:val="TitleChar"/>
    <w:uiPriority w:val="10"/>
    <w:qFormat/>
    <w:rsid w:val="003F2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C5A"/>
    <w:pPr>
      <w:spacing w:before="160"/>
      <w:jc w:val="center"/>
    </w:pPr>
    <w:rPr>
      <w:i/>
      <w:iCs/>
      <w:color w:val="404040" w:themeColor="text1" w:themeTint="BF"/>
    </w:rPr>
  </w:style>
  <w:style w:type="character" w:customStyle="1" w:styleId="QuoteChar">
    <w:name w:val="Quote Char"/>
    <w:basedOn w:val="DefaultParagraphFont"/>
    <w:link w:val="Quote"/>
    <w:uiPriority w:val="29"/>
    <w:rsid w:val="003F2C5A"/>
    <w:rPr>
      <w:i/>
      <w:iCs/>
      <w:color w:val="404040" w:themeColor="text1" w:themeTint="BF"/>
    </w:rPr>
  </w:style>
  <w:style w:type="paragraph" w:styleId="ListParagraph">
    <w:name w:val="List Paragraph"/>
    <w:basedOn w:val="Normal"/>
    <w:uiPriority w:val="34"/>
    <w:qFormat/>
    <w:rsid w:val="003F2C5A"/>
    <w:pPr>
      <w:ind w:left="720"/>
      <w:contextualSpacing/>
    </w:pPr>
  </w:style>
  <w:style w:type="character" w:styleId="IntenseEmphasis">
    <w:name w:val="Intense Emphasis"/>
    <w:basedOn w:val="DefaultParagraphFont"/>
    <w:uiPriority w:val="21"/>
    <w:qFormat/>
    <w:rsid w:val="003F2C5A"/>
    <w:rPr>
      <w:i/>
      <w:iCs/>
      <w:color w:val="0F4761" w:themeColor="accent1" w:themeShade="BF"/>
    </w:rPr>
  </w:style>
  <w:style w:type="paragraph" w:styleId="IntenseQuote">
    <w:name w:val="Intense Quote"/>
    <w:basedOn w:val="Normal"/>
    <w:next w:val="Normal"/>
    <w:link w:val="IntenseQuoteChar"/>
    <w:uiPriority w:val="30"/>
    <w:qFormat/>
    <w:rsid w:val="003F2C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C5A"/>
    <w:rPr>
      <w:i/>
      <w:iCs/>
      <w:color w:val="0F4761" w:themeColor="accent1" w:themeShade="BF"/>
    </w:rPr>
  </w:style>
  <w:style w:type="character" w:styleId="IntenseReference">
    <w:name w:val="Intense Reference"/>
    <w:basedOn w:val="DefaultParagraphFont"/>
    <w:uiPriority w:val="32"/>
    <w:qFormat/>
    <w:rsid w:val="003F2C5A"/>
    <w:rPr>
      <w:b/>
      <w:bCs/>
      <w:smallCaps/>
      <w:color w:val="0F4761" w:themeColor="accent1" w:themeShade="BF"/>
      <w:spacing w:val="5"/>
    </w:rPr>
  </w:style>
  <w:style w:type="character" w:styleId="Hyperlink">
    <w:name w:val="Hyperlink"/>
    <w:basedOn w:val="DefaultParagraphFont"/>
    <w:uiPriority w:val="99"/>
    <w:unhideWhenUsed/>
    <w:rsid w:val="003F2C5A"/>
    <w:rPr>
      <w:color w:val="467886" w:themeColor="hyperlink"/>
      <w:u w:val="single"/>
    </w:rPr>
  </w:style>
  <w:style w:type="character" w:styleId="UnresolvedMention">
    <w:name w:val="Unresolved Mention"/>
    <w:basedOn w:val="DefaultParagraphFont"/>
    <w:uiPriority w:val="99"/>
    <w:semiHidden/>
    <w:unhideWhenUsed/>
    <w:rsid w:val="003F2C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1877050919319453?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ist.gov/publications/risk-management-guide-information-technology-systems?utm_source=chatgpt.com" TargetMode="External"/><Relationship Id="rId12" Type="http://schemas.openxmlformats.org/officeDocument/2006/relationships/hyperlink" Target="https://dl.acm.org/doi/pdf/10.1145/3630106.3658950?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aylorfrancis.com/books/mono/10.4324/9781003494317/risk-science-terje-aven-shital-thekdi?utm_source=chatgpt.com" TargetMode="External"/><Relationship Id="rId11" Type="http://schemas.openxmlformats.org/officeDocument/2006/relationships/hyperlink" Target="https://www.nist.gov/publications/risk-management-guide-information-technology-systems?utm_source=chatgpt.com" TargetMode="External"/><Relationship Id="rId5" Type="http://schemas.openxmlformats.org/officeDocument/2006/relationships/hyperlink" Target="https://www.taylorfrancis.com/books/mono/10.4324/9781003494317/risk-science-terje-aven-shital-thekdi?utm_source=chatgpt.com" TargetMode="External"/><Relationship Id="rId10" Type="http://schemas.openxmlformats.org/officeDocument/2006/relationships/hyperlink" Target="https://www.taylorfrancis.com/books/mono/10.4324/9781003494317/risk-science-terje-aven-shital-thekdi?utm_source=chatgpt.com" TargetMode="External"/><Relationship Id="rId4" Type="http://schemas.openxmlformats.org/officeDocument/2006/relationships/webSettings" Target="webSettings.xml"/><Relationship Id="rId9" Type="http://schemas.openxmlformats.org/officeDocument/2006/relationships/hyperlink" Target="https://dl.acm.org/doi/pdf/10.1145/3630106.3658950?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740</Words>
  <Characters>4223</Characters>
  <Application>Microsoft Office Word</Application>
  <DocSecurity>0</DocSecurity>
  <Lines>35</Lines>
  <Paragraphs>9</Paragraphs>
  <ScaleCrop>false</ScaleCrop>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sultan alkaabi</dc:creator>
  <cp:keywords/>
  <dc:description/>
  <cp:lastModifiedBy>sultan alkaabi</cp:lastModifiedBy>
  <cp:revision>1</cp:revision>
  <dcterms:created xsi:type="dcterms:W3CDTF">2025-11-23T13:07:00Z</dcterms:created>
  <dcterms:modified xsi:type="dcterms:W3CDTF">2025-11-23T13:07:00Z</dcterms:modified>
</cp:coreProperties>
</file>