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240" w:lineRule="auto" w:before="0"/>
      </w:pPr>
      <w:r>
        <w:rPr>
          <w:sz w:val="2"/>
        </w:rPr>
      </w:r>
    </w:p>
    <w:p>
      <w:pPr>
        <w:spacing w:line="240" w:lineRule="auto" w:after="280"/>
        <w:jc w:val="center"/>
      </w:pPr>
      <w:r>
        <w:rPr>
          <w:rFonts w:ascii="Times New Roman" w:hAnsi="Times New Roman" w:cs="Times New Roman" w:eastAsia="Times New Roman"/>
          <w:b/>
          <w:color w:val="000000"/>
          <w:sz w:val="28"/>
        </w:rPr>
        <w:t>A REPORT</w:t>
      </w:r>
    </w:p>
    <w:p>
      <w:pPr>
        <w:spacing w:line="240" w:lineRule="auto" w:after="280"/>
        <w:jc w:val="center"/>
      </w:pPr>
      <w:r>
        <w:rPr>
          <w:rFonts w:ascii="Times New Roman" w:hAnsi="Times New Roman" w:cs="Times New Roman" w:eastAsia="Times New Roman"/>
          <w:b/>
          <w:color w:val="000000"/>
          <w:sz w:val="24"/>
        </w:rPr>
        <w:t>ON</w:t>
      </w:r>
    </w:p>
    <w:p>
      <w:pPr>
        <w:pStyle w:val="Title"/>
        <w:spacing w:line="336" w:lineRule="auto" w:after="360"/>
        <w:jc w:val="center"/>
      </w:pPr>
      <w:r>
        <w:rPr>
          <w:rFonts w:ascii="Times New Roman" w:hAnsi="Times New Roman" w:cs="Times New Roman" w:eastAsia="Times New Roman"/>
          <w:b/>
          <w:color w:val="000000"/>
          <w:sz w:val="28"/>
        </w:rPr>
        <w:t>BRIDGING THE CHASM: A TRI-PHASE FRAMEWORK FOR ENTERPRISE AI (CORPORATE DATA TRANSFORMATION, TUNING FOR COMPLIANCE, AND ROBUSTNESS AUDITING)</w:t>
      </w:r>
    </w:p>
    <w:p>
      <w:pPr>
        <w:spacing w:line="240" w:lineRule="auto" w:after="240"/>
        <w:jc w:val="center"/>
      </w:pPr>
      <w:r>
        <w:rPr>
          <w:rFonts w:ascii="Times New Roman" w:hAnsi="Times New Roman" w:cs="Times New Roman" w:eastAsia="Times New Roman"/>
          <w:b/>
          <w:color w:val="000000"/>
          <w:sz w:val="24"/>
        </w:rPr>
        <w:t>BY</w:t>
      </w:r>
    </w:p>
    <w:p>
      <w:pPr>
        <w:spacing w:line="288" w:lineRule="auto" w:after="60"/>
        <w:jc w:val="center"/>
      </w:pPr>
      <w:r>
        <w:rPr>
          <w:rFonts w:ascii="Times New Roman" w:hAnsi="Times New Roman" w:cs="Times New Roman" w:eastAsia="Times New Roman"/>
          <w:b w:val="0"/>
          <w:color w:val="000000"/>
          <w:sz w:val="24"/>
        </w:rPr>
        <w:t>Mohammed Alaa Marzouq Sallout</w:t>
      </w:r>
    </w:p>
    <w:p>
      <w:pPr>
        <w:spacing w:line="288" w:lineRule="auto" w:after="60"/>
        <w:jc w:val="center"/>
      </w:pPr>
      <w:r>
        <w:rPr>
          <w:rFonts w:ascii="Times New Roman" w:hAnsi="Times New Roman" w:cs="Times New Roman" w:eastAsia="Times New Roman"/>
          <w:b w:val="0"/>
          <w:color w:val="000000"/>
          <w:sz w:val="24"/>
        </w:rPr>
        <w:t>ID No. 2024tm93522</w:t>
      </w:r>
    </w:p>
    <w:p>
      <w:pPr>
        <w:spacing w:after="260" w:line="240" w:lineRule="auto" w:before="0"/>
      </w:pPr>
      <w:r>
        <w:rPr>
          <w:sz w:val="2"/>
        </w:rPr>
      </w:r>
    </w:p>
    <w:p>
      <w:pPr>
        <w:spacing w:line="240" w:lineRule="auto" w:after="240"/>
        <w:jc w:val="center"/>
      </w:pPr>
      <w:r>
        <w:rPr>
          <w:rFonts w:ascii="Times New Roman" w:hAnsi="Times New Roman" w:cs="Times New Roman" w:eastAsia="Times New Roman"/>
          <w:b/>
          <w:color w:val="000000"/>
          <w:sz w:val="24"/>
        </w:rPr>
        <w:t>AT</w:t>
      </w:r>
    </w:p>
    <w:p>
      <w:pPr>
        <w:spacing w:line="336" w:lineRule="auto" w:after="360"/>
        <w:jc w:val="center"/>
      </w:pPr>
      <w:r>
        <w:rPr>
          <w:rFonts w:ascii="Times New Roman" w:hAnsi="Times New Roman" w:cs="Times New Roman" w:eastAsia="Times New Roman"/>
          <w:b w:val="0"/>
          <w:color w:val="000000"/>
          <w:sz w:val="24"/>
        </w:rPr>
        <w:t>Seer Solutions DMCC</w:t>
        <w:br/>
        <w:t>Dubai, United Arab Emirates</w:t>
      </w:r>
    </w:p>
    <w:p>
      <w:pPr>
        <w:spacing w:after="200" w:line="240" w:lineRule="auto" w:before="0"/>
      </w:pPr>
      <w:r>
        <w:rPr>
          <w:sz w:val="2"/>
        </w:rPr>
      </w:r>
    </w:p>
    <w:p>
      <w:pPr>
        <w:spacing w:line="288" w:lineRule="auto" w:after="160"/>
        <w:jc w:val="center"/>
      </w:pPr>
      <w:r>
        <w:rPr>
          <w:rFonts w:ascii="Times New Roman" w:hAnsi="Times New Roman" w:cs="Times New Roman" w:eastAsia="Times New Roman"/>
          <w:b/>
          <w:color w:val="000000"/>
          <w:sz w:val="24"/>
        </w:rPr>
        <w:t>BIRLA INSTITUTE OF TECHNOLOGY &amp; SCIENCE, PILANI</w:t>
      </w:r>
    </w:p>
    <w:p>
      <w:pPr>
        <w:spacing w:line="240" w:lineRule="auto" w:after="0"/>
        <w:jc w:val="center"/>
      </w:pPr>
      <w:r>
        <w:rPr>
          <w:rFonts w:ascii="Times New Roman" w:hAnsi="Times New Roman" w:cs="Times New Roman" w:eastAsia="Times New Roman"/>
          <w:b w:val="0"/>
          <w:color w:val="000000"/>
          <w:sz w:val="22"/>
        </w:rPr>
        <w:t>Month and year: ____________________</w:t>
      </w:r>
    </w:p>
    <w:p>
      <w:pPr>
        <w:sectPr>
          <w:footerReference w:type="default" r:id="rId9"/>
          <w:pgSz w:w="12960" w:h="15840"/>
          <w:pgMar w:top="1440" w:right="1440" w:bottom="1440" w:left="1440" w:header="648" w:footer="648" w:gutter="0"/>
          <w:cols w:space="720"/>
          <w:docGrid w:linePitch="360"/>
        </w:sectPr>
      </w:pPr>
    </w:p>
    <w:p>
      <w:pPr>
        <w:spacing w:after="280" w:line="240" w:lineRule="auto" w:before="0"/>
      </w:pPr>
      <w:r>
        <w:rPr>
          <w:sz w:val="2"/>
        </w:rPr>
      </w:r>
    </w:p>
    <w:p>
      <w:pPr>
        <w:spacing w:line="240" w:lineRule="auto" w:after="280"/>
        <w:jc w:val="center"/>
      </w:pPr>
      <w:r>
        <w:rPr>
          <w:rFonts w:ascii="Times New Roman" w:hAnsi="Times New Roman" w:cs="Times New Roman" w:eastAsia="Times New Roman"/>
          <w:b/>
          <w:color w:val="000000"/>
          <w:sz w:val="28"/>
        </w:rPr>
        <w:t>A REPORT</w:t>
      </w:r>
    </w:p>
    <w:p>
      <w:pPr>
        <w:spacing w:line="240" w:lineRule="auto" w:after="280"/>
        <w:jc w:val="center"/>
      </w:pPr>
      <w:r>
        <w:rPr>
          <w:rFonts w:ascii="Times New Roman" w:hAnsi="Times New Roman" w:cs="Times New Roman" w:eastAsia="Times New Roman"/>
          <w:b/>
          <w:color w:val="000000"/>
          <w:sz w:val="24"/>
        </w:rPr>
        <w:t>ON</w:t>
      </w:r>
    </w:p>
    <w:p>
      <w:pPr>
        <w:pStyle w:val="Title"/>
        <w:spacing w:line="336" w:lineRule="auto" w:after="360"/>
        <w:jc w:val="center"/>
      </w:pPr>
      <w:r>
        <w:rPr>
          <w:rFonts w:ascii="Times New Roman" w:hAnsi="Times New Roman" w:cs="Times New Roman" w:eastAsia="Times New Roman"/>
          <w:b/>
          <w:color w:val="000000"/>
          <w:sz w:val="28"/>
        </w:rPr>
        <w:t>BRIDGING THE CHASM: A TRI-PHASE FRAMEWORK FOR ENTERPRISE AI (CORPORATE DATA TRANSFORMATION, TUNING FOR COMPLIANCE, AND ROBUSTNESS AUDITING)</w:t>
      </w:r>
    </w:p>
    <w:p>
      <w:pPr>
        <w:spacing w:line="240" w:lineRule="auto" w:after="240"/>
        <w:jc w:val="center"/>
      </w:pPr>
      <w:r>
        <w:rPr>
          <w:rFonts w:ascii="Times New Roman" w:hAnsi="Times New Roman" w:cs="Times New Roman" w:eastAsia="Times New Roman"/>
          <w:b/>
          <w:color w:val="000000"/>
          <w:sz w:val="24"/>
        </w:rPr>
        <w:t>BY</w:t>
      </w:r>
    </w:p>
    <w:p>
      <w:pPr>
        <w:spacing w:line="288" w:lineRule="auto" w:after="60"/>
        <w:jc w:val="center"/>
      </w:pPr>
      <w:r>
        <w:rPr>
          <w:rFonts w:ascii="Times New Roman" w:hAnsi="Times New Roman" w:cs="Times New Roman" w:eastAsia="Times New Roman"/>
          <w:b w:val="0"/>
          <w:color w:val="000000"/>
          <w:sz w:val="24"/>
        </w:rPr>
        <w:t>Mohammed Alaa Marzouq Sallout</w:t>
      </w:r>
    </w:p>
    <w:p>
      <w:pPr>
        <w:spacing w:line="288" w:lineRule="auto" w:after="60"/>
        <w:jc w:val="center"/>
      </w:pPr>
      <w:r>
        <w:rPr>
          <w:rFonts w:ascii="Times New Roman" w:hAnsi="Times New Roman" w:cs="Times New Roman" w:eastAsia="Times New Roman"/>
          <w:b w:val="0"/>
          <w:color w:val="000000"/>
          <w:sz w:val="24"/>
        </w:rPr>
        <w:t>ID No. 2024tm93522</w:t>
      </w:r>
    </w:p>
    <w:p>
      <w:pPr>
        <w:spacing w:line="288" w:lineRule="auto" w:after="320"/>
        <w:jc w:val="center"/>
      </w:pPr>
      <w:r>
        <w:rPr>
          <w:rFonts w:ascii="Times New Roman" w:hAnsi="Times New Roman" w:cs="Times New Roman" w:eastAsia="Times New Roman"/>
          <w:b w:val="0"/>
          <w:color w:val="000000"/>
          <w:sz w:val="24"/>
        </w:rPr>
        <w:t>M. Tech Software Engineering - Full Stack Engineering</w:t>
      </w:r>
    </w:p>
    <w:p>
      <w:pPr>
        <w:spacing w:line="336" w:lineRule="auto" w:after="240"/>
        <w:jc w:val="center"/>
      </w:pPr>
      <w:r>
        <w:rPr>
          <w:rFonts w:ascii="Times New Roman" w:hAnsi="Times New Roman" w:cs="Times New Roman" w:eastAsia="Times New Roman"/>
          <w:b w:val="0"/>
          <w:color w:val="000000"/>
          <w:sz w:val="24"/>
        </w:rPr>
        <w:t>Prepared in partial fulfilment of the WILP Dissertation Course</w:t>
        <w:br/>
        <w:t>SE-ZG628T</w:t>
      </w:r>
    </w:p>
    <w:p>
      <w:pPr>
        <w:spacing w:line="240" w:lineRule="auto" w:after="240"/>
        <w:jc w:val="center"/>
      </w:pPr>
      <w:r>
        <w:rPr>
          <w:rFonts w:ascii="Times New Roman" w:hAnsi="Times New Roman" w:cs="Times New Roman" w:eastAsia="Times New Roman"/>
          <w:b/>
          <w:color w:val="000000"/>
          <w:sz w:val="24"/>
        </w:rPr>
        <w:t>AT</w:t>
      </w:r>
    </w:p>
    <w:p>
      <w:pPr>
        <w:spacing w:line="336" w:lineRule="auto" w:after="360"/>
        <w:jc w:val="center"/>
      </w:pPr>
      <w:r>
        <w:rPr>
          <w:rFonts w:ascii="Times New Roman" w:hAnsi="Times New Roman" w:cs="Times New Roman" w:eastAsia="Times New Roman"/>
          <w:b w:val="0"/>
          <w:color w:val="000000"/>
          <w:sz w:val="24"/>
        </w:rPr>
        <w:t>Seer Solutions DMCC</w:t>
        <w:br/>
        <w:t>Dubai, United Arab Emirates</w:t>
      </w:r>
    </w:p>
    <w:p>
      <w:pPr>
        <w:spacing w:line="312" w:lineRule="auto" w:after="320"/>
        <w:jc w:val="center"/>
      </w:pPr>
      <w:r>
        <w:rPr>
          <w:rFonts w:ascii="Times New Roman" w:hAnsi="Times New Roman" w:cs="Times New Roman" w:eastAsia="Times New Roman"/>
          <w:b w:val="0"/>
          <w:color w:val="000000"/>
          <w:sz w:val="24"/>
        </w:rPr>
        <w:t>Under the supervision of</w:t>
        <w:br/>
        <w:t>Saad Rauf Ghauri</w:t>
      </w:r>
    </w:p>
    <w:p>
      <w:pPr>
        <w:spacing w:after="200" w:line="240" w:lineRule="auto" w:before="0"/>
      </w:pPr>
      <w:r>
        <w:rPr>
          <w:sz w:val="2"/>
        </w:rPr>
      </w:r>
    </w:p>
    <w:p>
      <w:pPr>
        <w:spacing w:line="288" w:lineRule="auto" w:after="160"/>
        <w:jc w:val="center"/>
      </w:pPr>
      <w:r>
        <w:rPr>
          <w:rFonts w:ascii="Times New Roman" w:hAnsi="Times New Roman" w:cs="Times New Roman" w:eastAsia="Times New Roman"/>
          <w:b/>
          <w:color w:val="000000"/>
          <w:sz w:val="24"/>
        </w:rPr>
        <w:t>BIRLA INSTITUTE OF TECHNOLOGY &amp; SCIENCE, PILANI</w:t>
      </w:r>
    </w:p>
    <w:p>
      <w:pPr>
        <w:spacing w:line="240" w:lineRule="auto" w:after="0"/>
        <w:jc w:val="center"/>
      </w:pPr>
      <w:r>
        <w:rPr>
          <w:rFonts w:ascii="Times New Roman" w:hAnsi="Times New Roman" w:cs="Times New Roman" w:eastAsia="Times New Roman"/>
          <w:b w:val="0"/>
          <w:color w:val="000000"/>
          <w:sz w:val="22"/>
        </w:rPr>
        <w:t>Month and year: ____________________</w:t>
      </w:r>
    </w:p>
    <w:p>
      <w:r>
        <w:br w:type="page"/>
      </w:r>
    </w:p>
    <w:p>
      <w:bookmarkStart w:id="1" w:name="bb0ebcfe59f276beb7f62"/>
      <w:pPr>
        <w:spacing w:line="288" w:lineRule="auto" w:after="280"/>
        <w:jc w:val="center"/>
      </w:pPr>
      <w:r>
        <w:rPr>
          <w:rFonts w:ascii="Times New Roman" w:hAnsi="Times New Roman" w:cs="Times New Roman" w:eastAsia="Times New Roman"/>
          <w:b/>
          <w:color w:val="000000"/>
          <w:sz w:val="28"/>
        </w:rPr>
        <w:t>Acknowledgements</w:t>
      </w:r>
      <w:bookmarkEnd w:id="1"/>
    </w:p>
    <w:p>
      <w:r>
        <w:rPr>
          <w:rFonts w:ascii="Times New Roman" w:hAnsi="Times New Roman" w:cs="Times New Roman" w:eastAsia="Times New Roman"/>
          <w:b w:val="0"/>
          <w:color w:val="000000"/>
        </w:rPr>
        <w:t>I thank Saad Rauf Ghauri for supervising this dissertation at Seer Solutions DMCC. I also acknowledge Hasan Buttar in his role as Additional Examiner.</w:t>
      </w:r>
    </w:p>
    <w:p>
      <w:r>
        <w:rPr>
          <w:rFonts w:ascii="Times New Roman" w:hAnsi="Times New Roman" w:cs="Times New Roman" w:eastAsia="Times New Roman"/>
          <w:b w:val="0"/>
          <w:color w:val="000000"/>
        </w:rPr>
        <w:t>The implementation uses open-source software and published research from the Qwen team, NVIDIA, Hugging Face and other contributors. The references identify the methods and datasets used. Responsibility for the implementation, interpretation of its evidence and remaining experimental work rests with the author.</w:t>
      </w:r>
    </w:p>
    <w:p>
      <w:pPr>
        <w:spacing w:line="360" w:lineRule="auto" w:after="360"/>
      </w:pPr>
      <w:r>
        <w:rPr>
          <w:rFonts w:ascii="Times New Roman" w:hAnsi="Times New Roman" w:cs="Times New Roman" w:eastAsia="Times New Roman"/>
          <w:b w:val="0"/>
          <w:color w:val="000000"/>
        </w:rPr>
        <w:t>Faculty Mentor: ______________________________</w:t>
      </w:r>
    </w:p>
    <w:p>
      <w:pPr>
        <w:spacing w:line="336" w:lineRule="auto"/>
        <w:jc w:val="right"/>
      </w:pPr>
      <w:r>
        <w:rPr>
          <w:rFonts w:ascii="Times New Roman" w:hAnsi="Times New Roman" w:cs="Times New Roman" w:eastAsia="Times New Roman"/>
          <w:b w:val="0"/>
          <w:color w:val="000000"/>
        </w:rPr>
        <w:t>Mohammed Alaa Marzouq Sallout</w:t>
        <w:br/>
        <w:t>2024tm93522</w:t>
      </w:r>
    </w:p>
    <w:p>
      <w:r>
        <w:br w:type="page"/>
      </w:r>
    </w:p>
    <w:p>
      <w:bookmarkStart w:id="2" w:name="b7708b60a150c5fd83a1d"/>
      <w:pPr>
        <w:spacing w:line="288" w:lineRule="auto" w:after="280"/>
        <w:jc w:val="center"/>
      </w:pPr>
      <w:r>
        <w:rPr>
          <w:rFonts w:ascii="Times New Roman" w:hAnsi="Times New Roman" w:cs="Times New Roman" w:eastAsia="Times New Roman"/>
          <w:b/>
          <w:color w:val="000000"/>
          <w:sz w:val="28"/>
        </w:rPr>
        <w:t>Abstract sheet</w:t>
      </w:r>
      <w:bookmarkEnd w:id="2"/>
    </w:p>
    <w:p>
      <w:pPr>
        <w:spacing w:line="252" w:lineRule="auto" w:after="60"/>
        <w:jc w:val="left"/>
      </w:pPr>
      <w:r>
        <w:rPr>
          <w:rFonts w:ascii="Times New Roman" w:hAnsi="Times New Roman" w:cs="Times New Roman" w:eastAsia="Times New Roman"/>
          <w:b w:val="0"/>
          <w:color w:val="000000"/>
          <w:sz w:val="21"/>
        </w:rPr>
        <w:t>BIRLA INSTITUTE OF TECHNOLOGY &amp; SCIENCE, PILANI (RAJASTHAN) | WILP Division</w:t>
      </w:r>
    </w:p>
    <w:p>
      <w:pPr>
        <w:spacing w:line="252" w:lineRule="auto" w:after="60"/>
        <w:jc w:val="left"/>
      </w:pPr>
      <w:r>
        <w:rPr>
          <w:rFonts w:ascii="Times New Roman" w:hAnsi="Times New Roman" w:cs="Times New Roman" w:eastAsia="Times New Roman"/>
          <w:b w:val="0"/>
          <w:color w:val="000000"/>
          <w:sz w:val="21"/>
        </w:rPr>
        <w:t>Organisation: Seer Solutions DMCC    Location: Dubai, UAE</w:t>
      </w:r>
    </w:p>
    <w:p>
      <w:pPr>
        <w:spacing w:line="252" w:lineRule="auto" w:after="60"/>
        <w:jc w:val="left"/>
      </w:pPr>
      <w:r>
        <w:rPr>
          <w:rFonts w:ascii="Times New Roman" w:hAnsi="Times New Roman" w:cs="Times New Roman" w:eastAsia="Times New Roman"/>
          <w:b w:val="0"/>
          <w:color w:val="000000"/>
          <w:sz w:val="21"/>
        </w:rPr>
        <w:t>Duration: ____________________    Date of start: ____________________</w:t>
      </w:r>
    </w:p>
    <w:p>
      <w:pPr>
        <w:spacing w:line="252" w:lineRule="auto" w:after="60"/>
        <w:jc w:val="left"/>
      </w:pPr>
      <w:r>
        <w:rPr>
          <w:rFonts w:ascii="Times New Roman" w:hAnsi="Times New Roman" w:cs="Times New Roman" w:eastAsia="Times New Roman"/>
          <w:b w:val="0"/>
          <w:color w:val="000000"/>
          <w:sz w:val="21"/>
        </w:rPr>
        <w:t>Date of submission: ____________________</w:t>
      </w:r>
    </w:p>
    <w:p>
      <w:pPr>
        <w:spacing w:line="252" w:lineRule="auto" w:after="60"/>
        <w:jc w:val="left"/>
      </w:pPr>
      <w:r>
        <w:rPr>
          <w:rFonts w:ascii="Times New Roman" w:hAnsi="Times New Roman" w:cs="Times New Roman" w:eastAsia="Times New Roman"/>
          <w:b w:val="0"/>
          <w:color w:val="000000"/>
          <w:sz w:val="21"/>
        </w:rPr>
        <w:t>Project: Bridging the Chasm: A Tri-Phase Framework for Enterprise AI (Corporate Data Transformation, Tuning for Compliance, and Robustness Auditing)</w:t>
      </w:r>
    </w:p>
    <w:p>
      <w:pPr>
        <w:spacing w:line="252" w:lineRule="auto" w:after="60"/>
        <w:jc w:val="left"/>
      </w:pPr>
      <w:r>
        <w:rPr>
          <w:rFonts w:ascii="Times New Roman" w:hAnsi="Times New Roman" w:cs="Times New Roman" w:eastAsia="Times New Roman"/>
          <w:b w:val="0"/>
          <w:color w:val="000000"/>
          <w:sz w:val="21"/>
        </w:rPr>
        <w:t>Student: Mohammed Alaa Marzouq Sallout    ID: 2024tm93522</w:t>
      </w:r>
    </w:p>
    <w:p>
      <w:pPr>
        <w:spacing w:line="252" w:lineRule="auto" w:after="60"/>
        <w:jc w:val="left"/>
      </w:pPr>
      <w:r>
        <w:rPr>
          <w:rFonts w:ascii="Times New Roman" w:hAnsi="Times New Roman" w:cs="Times New Roman" w:eastAsia="Times New Roman"/>
          <w:b w:val="0"/>
          <w:color w:val="000000"/>
          <w:sz w:val="21"/>
        </w:rPr>
        <w:t>Supervisor: Saad Rauf Ghauri, Director - Solution Engineering Development</w:t>
      </w:r>
    </w:p>
    <w:p>
      <w:pPr>
        <w:spacing w:line="252" w:lineRule="auto" w:after="60"/>
        <w:jc w:val="left"/>
      </w:pPr>
      <w:r>
        <w:rPr>
          <w:rFonts w:ascii="Times New Roman" w:hAnsi="Times New Roman" w:cs="Times New Roman" w:eastAsia="Times New Roman"/>
          <w:b w:val="0"/>
          <w:color w:val="000000"/>
          <w:sz w:val="21"/>
        </w:rPr>
        <w:t>Additional Examiner: Hasan Buttar, Principal Solution Architect Development</w:t>
      </w:r>
    </w:p>
    <w:p>
      <w:pPr>
        <w:spacing w:line="252" w:lineRule="auto" w:after="60"/>
        <w:jc w:val="left"/>
      </w:pPr>
      <w:r>
        <w:rPr>
          <w:rFonts w:ascii="Times New Roman" w:hAnsi="Times New Roman" w:cs="Times New Roman" w:eastAsia="Times New Roman"/>
          <w:b w:val="0"/>
          <w:color w:val="000000"/>
          <w:sz w:val="21"/>
        </w:rPr>
        <w:t>Faculty Mentor: ______________________________</w:t>
      </w:r>
    </w:p>
    <w:p>
      <w:pPr>
        <w:spacing w:line="252" w:lineRule="auto" w:after="60"/>
        <w:jc w:val="left"/>
      </w:pPr>
      <w:r>
        <w:rPr>
          <w:rFonts w:ascii="Times New Roman" w:hAnsi="Times New Roman" w:cs="Times New Roman" w:eastAsia="Times New Roman"/>
          <w:b w:val="0"/>
          <w:color w:val="000000"/>
          <w:sz w:val="21"/>
        </w:rPr>
        <w:t>Project areas: Software engineering; machine learning; LLM operations</w:t>
      </w:r>
    </w:p>
    <w:p>
      <w:pPr>
        <w:spacing w:line="252" w:lineRule="auto" w:after="60"/>
        <w:jc w:val="left"/>
      </w:pPr>
      <w:r>
        <w:rPr>
          <w:rFonts w:ascii="Times New Roman" w:hAnsi="Times New Roman" w:cs="Times New Roman" w:eastAsia="Times New Roman"/>
          <w:b w:val="0"/>
          <w:color w:val="000000"/>
          <w:sz w:val="21"/>
        </w:rPr>
        <w:t>Keywords: Enterprise data; coding; Qwen3; pruning; LoRA; quantization</w:t>
      </w:r>
    </w:p>
    <w:p>
      <w:pPr>
        <w:spacing w:line="240" w:lineRule="auto" w:after="100"/>
      </w:pPr>
      <w:r>
        <w:rPr>
          <w:rFonts w:ascii="Times New Roman" w:hAnsi="Times New Roman" w:cs="Times New Roman" w:eastAsia="Times New Roman"/>
          <w:b/>
          <w:color w:val="000000"/>
          <w:sz w:val="24"/>
        </w:rPr>
        <w:t>Abstract</w:t>
      </w:r>
    </w:p>
    <w:p>
      <w:pPr>
        <w:spacing w:line="480" w:lineRule="auto" w:after="160"/>
      </w:pPr>
      <w:r>
        <w:rPr>
          <w:rFonts w:ascii="Times New Roman" w:hAnsi="Times New Roman" w:cs="Times New Roman" w:eastAsia="Times New Roman"/>
          <w:b w:val="0"/>
          <w:color w:val="000000"/>
          <w:sz w:val="24"/>
        </w:rPr>
        <w:t>This dissertation develops an application framework for preparing corporate policy and repository data and adapting Qwen3-14B for coding and a limited set of enterprise questions. The implementation combines traceable conversational records with a pinned native NVIDIA selection, validates source and split boundaries, and applies limited gated-MLP channel pruning followed by BF16 LoRA recovery and NF4 export. The prepared enterprise dataset contains 206 records. A completed ten-step RunPod experiment reduced the reported parameter count from 14,768,307,200 to 14,296,448,000 and produced a reloadable 9,696,947,260-byte export. A coding-focused selection of 10,000 OpenCodeInstruct records passed approved-selection validation; its larger recovery run is still represented by progress logs. Independent coding, enterprise-policy, efficiency and robustness comparisons are pending. The demonstrated result is a functioning data-to-compressed-model workflow; claims of improved coding or reliable policy behaviour require those measurements.</w:t>
      </w:r>
    </w:p>
    <w:p>
      <w:pPr>
        <w:spacing w:line="264" w:lineRule="auto" w:after="60"/>
      </w:pPr>
      <w:r>
        <w:rPr>
          <w:rFonts w:ascii="Times New Roman" w:hAnsi="Times New Roman" w:cs="Times New Roman" w:eastAsia="Times New Roman"/>
          <w:b w:val="0"/>
          <w:color w:val="000000"/>
          <w:sz w:val="21"/>
        </w:rPr>
        <w:t>Student signature: __________________    Supervisor signature: __________________</w:t>
      </w:r>
    </w:p>
    <w:p>
      <w:pPr>
        <w:spacing w:line="264" w:lineRule="auto" w:after="0"/>
      </w:pPr>
      <w:r>
        <w:rPr>
          <w:rFonts w:ascii="Times New Roman" w:hAnsi="Times New Roman" w:cs="Times New Roman" w:eastAsia="Times New Roman"/>
          <w:b w:val="0"/>
          <w:color w:val="000000"/>
          <w:sz w:val="21"/>
        </w:rPr>
        <w:t>Date: __________________                  Date: __________________</w:t>
      </w:r>
    </w:p>
    <w:p>
      <w:r>
        <w:br w:type="page"/>
      </w:r>
    </w:p>
    <w:p>
      <w:bookmarkStart w:id="3" w:name="be9cfd477b02efaa697be"/>
      <w:pPr>
        <w:spacing w:line="288" w:lineRule="auto" w:after="280"/>
        <w:jc w:val="center"/>
      </w:pPr>
      <w:r>
        <w:rPr>
          <w:rFonts w:ascii="Times New Roman" w:hAnsi="Times New Roman" w:cs="Times New Roman" w:eastAsia="Times New Roman"/>
          <w:b/>
          <w:color w:val="000000"/>
          <w:sz w:val="28"/>
        </w:rPr>
        <w:t>Supervisor certificate</w:t>
      </w:r>
      <w:bookmarkEnd w:id="3"/>
    </w:p>
    <w:p>
      <w:r>
        <w:rPr>
          <w:rFonts w:ascii="Times New Roman" w:hAnsi="Times New Roman" w:cs="Times New Roman" w:eastAsia="Times New Roman"/>
          <w:b w:val="0"/>
          <w:color w:val="000000"/>
        </w:rPr>
        <w:t>Dissertation title: Bridging the Chasm: A Tri-Phase Framework for Enterprise AI (Corporate Data Transformation, Tuning for Compliance, and Robustness Auditing)</w:t>
      </w:r>
    </w:p>
    <w:p>
      <w:r>
        <w:rPr>
          <w:rFonts w:ascii="Times New Roman" w:hAnsi="Times New Roman" w:cs="Times New Roman" w:eastAsia="Times New Roman"/>
          <w:b w:val="0"/>
          <w:color w:val="000000"/>
        </w:rPr>
        <w:t>Student: Mohammed Alaa Marzouq Sallout (2024tm93522)</w:t>
        <w:br/>
        <w:t>Course: SE-ZG628T, Dissertation</w:t>
      </w:r>
    </w:p>
    <w:p>
      <w:r>
        <w:rPr>
          <w:rFonts w:ascii="Times New Roman" w:hAnsi="Times New Roman" w:cs="Times New Roman" w:eastAsia="Times New Roman"/>
          <w:b w:val="0"/>
          <w:color w:val="000000"/>
        </w:rPr>
        <w:t>The dissertation has been prepared at Seer Solutions DMCC under the supervision of Saad Rauf Ghauri. The completed report is to be reviewed for the WILP dissertation requirements before the supervisor records approval for submission.</w:t>
      </w:r>
    </w:p>
    <w:p>
      <w:r>
        <w:rPr>
          <w:rFonts w:ascii="Times New Roman" w:hAnsi="Times New Roman" w:cs="Times New Roman" w:eastAsia="Times New Roman"/>
          <w:b w:val="0"/>
          <w:color w:val="000000"/>
          <w:sz w:val="22"/>
        </w:rPr>
        <w:t>Completion note F1: supervisor endorsement and signature remain pending. Final certification should follow completion and review of the outstanding evaluation work.</w:t>
      </w:r>
    </w:p>
    <w:p>
      <w:pPr>
        <w:spacing w:after="560" w:line="240" w:lineRule="auto" w:before="0"/>
      </w:pPr>
      <w:r>
        <w:rPr>
          <w:sz w:val="2"/>
        </w:rPr>
      </w:r>
    </w:p>
    <w:p>
      <w:pPr>
        <w:spacing w:line="360" w:lineRule="auto" w:after="160"/>
      </w:pPr>
      <w:r>
        <w:rPr>
          <w:rFonts w:ascii="Times New Roman" w:hAnsi="Times New Roman" w:cs="Times New Roman" w:eastAsia="Times New Roman"/>
          <w:b w:val="0"/>
          <w:color w:val="000000"/>
        </w:rPr>
        <w:t>Supervisor: Saad Rauf Ghauri</w:t>
      </w:r>
    </w:p>
    <w:p>
      <w:pPr>
        <w:spacing w:line="360" w:lineRule="auto" w:after="160"/>
      </w:pPr>
      <w:r>
        <w:rPr>
          <w:rFonts w:ascii="Times New Roman" w:hAnsi="Times New Roman" w:cs="Times New Roman" w:eastAsia="Times New Roman"/>
          <w:b w:val="0"/>
          <w:color w:val="000000"/>
        </w:rPr>
        <w:t>Designation: Director - Solution Engineering Development</w:t>
      </w:r>
    </w:p>
    <w:p>
      <w:pPr>
        <w:spacing w:line="360" w:lineRule="auto" w:after="160"/>
      </w:pPr>
      <w:r>
        <w:rPr>
          <w:rFonts w:ascii="Times New Roman" w:hAnsi="Times New Roman" w:cs="Times New Roman" w:eastAsia="Times New Roman"/>
          <w:b w:val="0"/>
          <w:color w:val="000000"/>
        </w:rPr>
        <w:t>Organisation: Seer Solutions DMCC, Dubai, UAE</w:t>
      </w:r>
    </w:p>
    <w:p>
      <w:pPr>
        <w:spacing w:line="360" w:lineRule="auto" w:after="160"/>
      </w:pPr>
      <w:r>
        <w:rPr>
          <w:rFonts w:ascii="Times New Roman" w:hAnsi="Times New Roman" w:cs="Times New Roman" w:eastAsia="Times New Roman"/>
          <w:b w:val="0"/>
          <w:color w:val="000000"/>
        </w:rPr>
        <w:t>Signature: ______________________________</w:t>
      </w:r>
    </w:p>
    <w:p>
      <w:pPr>
        <w:spacing w:line="360" w:lineRule="auto" w:after="160"/>
      </w:pPr>
      <w:r>
        <w:rPr>
          <w:rFonts w:ascii="Times New Roman" w:hAnsi="Times New Roman" w:cs="Times New Roman" w:eastAsia="Times New Roman"/>
          <w:b w:val="0"/>
          <w:color w:val="000000"/>
        </w:rPr>
        <w:t>Date: ____________________    Place: ____________________</w:t>
      </w:r>
    </w:p>
    <w:p>
      <w:r>
        <w:br w:type="page"/>
      </w:r>
    </w:p>
    <w:p>
      <w:bookmarkStart w:id="4" w:name="bf5cbdf6bfb51439be085"/>
      <w:pPr>
        <w:spacing w:line="288" w:lineRule="auto" w:after="280"/>
        <w:jc w:val="center"/>
      </w:pPr>
      <w:r>
        <w:rPr>
          <w:rFonts w:ascii="Times New Roman" w:hAnsi="Times New Roman" w:cs="Times New Roman" w:eastAsia="Times New Roman"/>
          <w:b/>
          <w:color w:val="000000"/>
          <w:sz w:val="28"/>
        </w:rPr>
        <w:t>Contents</w:t>
      </w:r>
      <w:bookmarkEnd w:id="4"/>
    </w:p>
    <w:p>
      <w:pPr>
        <w:tabs>
          <w:tab w:pos="10008" w:val="right" w:leader="dot"/>
        </w:tabs>
        <w:spacing w:line="264" w:lineRule="auto" w:after="80"/>
        <w:ind w:left="0"/>
      </w:pPr>
      <w:hyperlink w:anchor="bb0ebcfe59f276beb7f62">
        <w:r>
          <w:rPr>
            <w:rFonts w:ascii="Times New Roman" w:hAnsi="Times New Roman"/>
            <w:sz w:val="22"/>
          </w:rPr>
          <w:t>Acknowledgements</w:t>
        </w:r>
      </w:hyperlink>
      <w:r>
        <w:rPr>
          <w:rFonts w:ascii="Times New Roman" w:hAnsi="Times New Roman" w:cs="Times New Roman" w:eastAsia="Times New Roman"/>
          <w:color w:val="000000"/>
          <w:sz w:val="22"/>
        </w:rPr>
        <w:tab/>
        <w:t>ii</w:t>
      </w:r>
    </w:p>
    <w:p>
      <w:pPr>
        <w:tabs>
          <w:tab w:pos="10008" w:val="right" w:leader="dot"/>
        </w:tabs>
        <w:spacing w:line="264" w:lineRule="auto" w:after="80"/>
        <w:ind w:left="0"/>
      </w:pPr>
      <w:hyperlink w:anchor="b7708b60a150c5fd83a1d">
        <w:r>
          <w:rPr>
            <w:rFonts w:ascii="Times New Roman" w:hAnsi="Times New Roman"/>
            <w:sz w:val="22"/>
          </w:rPr>
          <w:t>Abstract sheet</w:t>
        </w:r>
      </w:hyperlink>
      <w:r>
        <w:rPr>
          <w:rFonts w:ascii="Times New Roman" w:hAnsi="Times New Roman" w:cs="Times New Roman" w:eastAsia="Times New Roman"/>
          <w:color w:val="000000"/>
          <w:sz w:val="22"/>
        </w:rPr>
        <w:tab/>
        <w:t>iii</w:t>
      </w:r>
    </w:p>
    <w:p>
      <w:pPr>
        <w:tabs>
          <w:tab w:pos="10008" w:val="right" w:leader="dot"/>
        </w:tabs>
        <w:spacing w:line="264" w:lineRule="auto" w:after="80"/>
        <w:ind w:left="0"/>
      </w:pPr>
      <w:hyperlink w:anchor="be9cfd477b02efaa697be">
        <w:r>
          <w:rPr>
            <w:rFonts w:ascii="Times New Roman" w:hAnsi="Times New Roman"/>
            <w:sz w:val="22"/>
          </w:rPr>
          <w:t>Supervisor certificate</w:t>
        </w:r>
      </w:hyperlink>
      <w:r>
        <w:rPr>
          <w:rFonts w:ascii="Times New Roman" w:hAnsi="Times New Roman" w:cs="Times New Roman" w:eastAsia="Times New Roman"/>
          <w:color w:val="000000"/>
          <w:sz w:val="22"/>
        </w:rPr>
        <w:tab/>
        <w:t>iv</w:t>
      </w:r>
    </w:p>
    <w:p>
      <w:pPr>
        <w:tabs>
          <w:tab w:pos="10008" w:val="right" w:leader="dot"/>
        </w:tabs>
        <w:spacing w:line="264" w:lineRule="auto" w:after="80"/>
        <w:ind w:left="0"/>
      </w:pPr>
      <w:hyperlink w:anchor="b55487caf18e0f44c0a13">
        <w:r>
          <w:rPr>
            <w:rFonts w:ascii="Times New Roman" w:hAnsi="Times New Roman"/>
            <w:sz w:val="22"/>
          </w:rPr>
          <w:t>List of figures and tables</w:t>
        </w:r>
      </w:hyperlink>
      <w:r>
        <w:rPr>
          <w:rFonts w:ascii="Times New Roman" w:hAnsi="Times New Roman" w:cs="Times New Roman" w:eastAsia="Times New Roman"/>
          <w:color w:val="000000"/>
          <w:sz w:val="22"/>
        </w:rPr>
        <w:tab/>
        <w:t>vii</w:t>
      </w:r>
    </w:p>
    <w:p>
      <w:pPr>
        <w:tabs>
          <w:tab w:pos="10008" w:val="right" w:leader="dot"/>
        </w:tabs>
        <w:spacing w:line="264" w:lineRule="auto" w:after="80"/>
        <w:ind w:left="0"/>
      </w:pPr>
      <w:hyperlink w:anchor="ba90aba13b6feb8ff1a51">
        <w:r>
          <w:rPr>
            <w:rFonts w:ascii="Times New Roman" w:hAnsi="Times New Roman"/>
            <w:sz w:val="22"/>
          </w:rPr>
          <w:t>Abbreviations</w:t>
        </w:r>
      </w:hyperlink>
      <w:r>
        <w:rPr>
          <w:rFonts w:ascii="Times New Roman" w:hAnsi="Times New Roman" w:cs="Times New Roman" w:eastAsia="Times New Roman"/>
          <w:color w:val="000000"/>
          <w:sz w:val="22"/>
        </w:rPr>
        <w:tab/>
        <w:t>viii</w:t>
      </w:r>
    </w:p>
    <w:p>
      <w:pPr>
        <w:tabs>
          <w:tab w:pos="10008" w:val="right" w:leader="dot"/>
        </w:tabs>
        <w:spacing w:line="264" w:lineRule="auto" w:after="80"/>
        <w:ind w:left="0"/>
      </w:pPr>
      <w:hyperlink w:anchor="b327bb53386a1405d3da0">
        <w:r>
          <w:rPr>
            <w:rFonts w:ascii="Times New Roman" w:hAnsi="Times New Roman"/>
            <w:sz w:val="22"/>
          </w:rPr>
          <w:t>1 Introduction</w:t>
        </w:r>
      </w:hyperlink>
      <w:r>
        <w:rPr>
          <w:rFonts w:ascii="Times New Roman" w:hAnsi="Times New Roman" w:cs="Times New Roman" w:eastAsia="Times New Roman"/>
          <w:color w:val="000000"/>
          <w:sz w:val="22"/>
        </w:rPr>
        <w:tab/>
        <w:t>1</w:t>
      </w:r>
    </w:p>
    <w:p>
      <w:pPr>
        <w:tabs>
          <w:tab w:pos="9720" w:val="right" w:leader="dot"/>
        </w:tabs>
        <w:spacing w:line="264" w:lineRule="auto" w:after="80"/>
        <w:ind w:left="288"/>
      </w:pPr>
      <w:hyperlink w:anchor="b14583f67282336d0f246">
        <w:r>
          <w:rPr>
            <w:rFonts w:ascii="Times New Roman" w:hAnsi="Times New Roman"/>
            <w:sz w:val="22"/>
          </w:rPr>
          <w:t>1.1 Problem and purpose</w:t>
        </w:r>
      </w:hyperlink>
      <w:r>
        <w:rPr>
          <w:rFonts w:ascii="Times New Roman" w:hAnsi="Times New Roman" w:cs="Times New Roman" w:eastAsia="Times New Roman"/>
          <w:color w:val="000000"/>
          <w:sz w:val="22"/>
        </w:rPr>
        <w:tab/>
        <w:t>1</w:t>
      </w:r>
    </w:p>
    <w:p>
      <w:pPr>
        <w:tabs>
          <w:tab w:pos="9720" w:val="right" w:leader="dot"/>
        </w:tabs>
        <w:spacing w:line="264" w:lineRule="auto" w:after="80"/>
        <w:ind w:left="288"/>
      </w:pPr>
      <w:hyperlink w:anchor="b177398707ad070d1348b">
        <w:r>
          <w:rPr>
            <w:rFonts w:ascii="Times New Roman" w:hAnsi="Times New Roman"/>
            <w:sz w:val="22"/>
          </w:rPr>
          <w:t>1.2 Research questions and scope</w:t>
        </w:r>
      </w:hyperlink>
      <w:r>
        <w:rPr>
          <w:rFonts w:ascii="Times New Roman" w:hAnsi="Times New Roman" w:cs="Times New Roman" w:eastAsia="Times New Roman"/>
          <w:color w:val="000000"/>
          <w:sz w:val="22"/>
        </w:rPr>
        <w:tab/>
        <w:t>1</w:t>
      </w:r>
    </w:p>
    <w:p>
      <w:pPr>
        <w:tabs>
          <w:tab w:pos="9720" w:val="right" w:leader="dot"/>
        </w:tabs>
        <w:spacing w:line="264" w:lineRule="auto" w:after="80"/>
        <w:ind w:left="288"/>
      </w:pPr>
      <w:hyperlink w:anchor="bf9cac039401e4c6a19ce">
        <w:r>
          <w:rPr>
            <w:rFonts w:ascii="Times New Roman" w:hAnsi="Times New Roman"/>
            <w:sz w:val="22"/>
          </w:rPr>
          <w:t>1.3 Contribution and evidence boundary</w:t>
        </w:r>
      </w:hyperlink>
      <w:r>
        <w:rPr>
          <w:rFonts w:ascii="Times New Roman" w:hAnsi="Times New Roman" w:cs="Times New Roman" w:eastAsia="Times New Roman"/>
          <w:color w:val="000000"/>
          <w:sz w:val="22"/>
        </w:rPr>
        <w:tab/>
        <w:t>2</w:t>
      </w:r>
    </w:p>
    <w:p>
      <w:pPr>
        <w:tabs>
          <w:tab w:pos="10008" w:val="right" w:leader="dot"/>
        </w:tabs>
        <w:spacing w:line="264" w:lineRule="auto" w:after="80"/>
        <w:ind w:left="0"/>
      </w:pPr>
      <w:hyperlink w:anchor="b6b432fde20c54a75aeca">
        <w:r>
          <w:rPr>
            <w:rFonts w:ascii="Times New Roman" w:hAnsi="Times New Roman"/>
            <w:sz w:val="22"/>
          </w:rPr>
          <w:t>2 Related work and research scope</w:t>
        </w:r>
      </w:hyperlink>
      <w:r>
        <w:rPr>
          <w:rFonts w:ascii="Times New Roman" w:hAnsi="Times New Roman" w:cs="Times New Roman" w:eastAsia="Times New Roman"/>
          <w:color w:val="000000"/>
          <w:sz w:val="22"/>
        </w:rPr>
        <w:tab/>
        <w:t>3</w:t>
      </w:r>
    </w:p>
    <w:p>
      <w:pPr>
        <w:tabs>
          <w:tab w:pos="9720" w:val="right" w:leader="dot"/>
        </w:tabs>
        <w:spacing w:line="264" w:lineRule="auto" w:after="80"/>
        <w:ind w:left="288"/>
      </w:pPr>
      <w:hyperlink w:anchor="b011f00111f3b59711824">
        <w:r>
          <w:rPr>
            <w:rFonts w:ascii="Times New Roman" w:hAnsi="Times New Roman"/>
            <w:sz w:val="22"/>
          </w:rPr>
          <w:t>2.1 Enterprise adaptation and the research gap</w:t>
        </w:r>
      </w:hyperlink>
      <w:r>
        <w:rPr>
          <w:rFonts w:ascii="Times New Roman" w:hAnsi="Times New Roman" w:cs="Times New Roman" w:eastAsia="Times New Roman"/>
          <w:color w:val="000000"/>
          <w:sz w:val="22"/>
        </w:rPr>
        <w:tab/>
        <w:t>3</w:t>
      </w:r>
    </w:p>
    <w:p>
      <w:pPr>
        <w:tabs>
          <w:tab w:pos="9720" w:val="right" w:leader="dot"/>
        </w:tabs>
        <w:spacing w:line="264" w:lineRule="auto" w:after="80"/>
        <w:ind w:left="288"/>
      </w:pPr>
      <w:hyperlink w:anchor="b1fc17dd6782772c6b1c0">
        <w:r>
          <w:rPr>
            <w:rFonts w:ascii="Times New Roman" w:hAnsi="Times New Roman"/>
            <w:sz w:val="22"/>
          </w:rPr>
          <w:t>2.2 Coding instruction data and functional evaluation</w:t>
        </w:r>
      </w:hyperlink>
      <w:r>
        <w:rPr>
          <w:rFonts w:ascii="Times New Roman" w:hAnsi="Times New Roman" w:cs="Times New Roman" w:eastAsia="Times New Roman"/>
          <w:color w:val="000000"/>
          <w:sz w:val="22"/>
        </w:rPr>
        <w:tab/>
        <w:t>3</w:t>
      </w:r>
    </w:p>
    <w:p>
      <w:pPr>
        <w:tabs>
          <w:tab w:pos="9720" w:val="right" w:leader="dot"/>
        </w:tabs>
        <w:spacing w:line="264" w:lineRule="auto" w:after="80"/>
        <w:ind w:left="288"/>
      </w:pPr>
      <w:hyperlink w:anchor="b31971ef7cd716cdba668">
        <w:r>
          <w:rPr>
            <w:rFonts w:ascii="Times New Roman" w:hAnsi="Times New Roman"/>
            <w:sz w:val="22"/>
          </w:rPr>
          <w:t>2.3 Adaptation and model compression</w:t>
        </w:r>
      </w:hyperlink>
      <w:r>
        <w:rPr>
          <w:rFonts w:ascii="Times New Roman" w:hAnsi="Times New Roman" w:cs="Times New Roman" w:eastAsia="Times New Roman"/>
          <w:color w:val="000000"/>
          <w:sz w:val="22"/>
        </w:rPr>
        <w:tab/>
        <w:t>4</w:t>
      </w:r>
    </w:p>
    <w:p>
      <w:pPr>
        <w:tabs>
          <w:tab w:pos="9720" w:val="right" w:leader="dot"/>
        </w:tabs>
        <w:spacing w:line="264" w:lineRule="auto" w:after="80"/>
        <w:ind w:left="288"/>
      </w:pPr>
      <w:hyperlink w:anchor="bee170e8c9049463e0259">
        <w:r>
          <w:rPr>
            <w:rFonts w:ascii="Times New Roman" w:hAnsi="Times New Roman"/>
            <w:sz w:val="22"/>
          </w:rPr>
          <w:t>2.4 Enterprise rules and robustness</w:t>
        </w:r>
      </w:hyperlink>
      <w:r>
        <w:rPr>
          <w:rFonts w:ascii="Times New Roman" w:hAnsi="Times New Roman" w:cs="Times New Roman" w:eastAsia="Times New Roman"/>
          <w:color w:val="000000"/>
          <w:sz w:val="22"/>
        </w:rPr>
        <w:tab/>
        <w:t>5</w:t>
      </w:r>
    </w:p>
    <w:p>
      <w:pPr>
        <w:tabs>
          <w:tab w:pos="10008" w:val="right" w:leader="dot"/>
        </w:tabs>
        <w:spacing w:line="264" w:lineRule="auto" w:after="80"/>
        <w:ind w:left="0"/>
      </w:pPr>
      <w:hyperlink w:anchor="b881f7c756adf1abb6696">
        <w:r>
          <w:rPr>
            <w:rFonts w:ascii="Times New Roman" w:hAnsi="Times New Roman"/>
            <w:sz w:val="22"/>
          </w:rPr>
          <w:t>3 Research method and system architecture</w:t>
        </w:r>
      </w:hyperlink>
      <w:r>
        <w:rPr>
          <w:rFonts w:ascii="Times New Roman" w:hAnsi="Times New Roman" w:cs="Times New Roman" w:eastAsia="Times New Roman"/>
          <w:color w:val="000000"/>
          <w:sz w:val="22"/>
        </w:rPr>
        <w:tab/>
        <w:t>6</w:t>
      </w:r>
    </w:p>
    <w:p>
      <w:pPr>
        <w:tabs>
          <w:tab w:pos="9720" w:val="right" w:leader="dot"/>
        </w:tabs>
        <w:spacing w:line="264" w:lineRule="auto" w:after="80"/>
        <w:ind w:left="288"/>
      </w:pPr>
      <w:hyperlink w:anchor="bce626d0f06e152701509">
        <w:r>
          <w:rPr>
            <w:rFonts w:ascii="Times New Roman" w:hAnsi="Times New Roman"/>
            <w:sz w:val="22"/>
          </w:rPr>
          <w:t>3.1 Development method</w:t>
        </w:r>
      </w:hyperlink>
      <w:r>
        <w:rPr>
          <w:rFonts w:ascii="Times New Roman" w:hAnsi="Times New Roman" w:cs="Times New Roman" w:eastAsia="Times New Roman"/>
          <w:color w:val="000000"/>
          <w:sz w:val="22"/>
        </w:rPr>
        <w:tab/>
        <w:t>6</w:t>
      </w:r>
    </w:p>
    <w:p>
      <w:pPr>
        <w:tabs>
          <w:tab w:pos="9720" w:val="right" w:leader="dot"/>
        </w:tabs>
        <w:spacing w:line="264" w:lineRule="auto" w:after="80"/>
        <w:ind w:left="288"/>
      </w:pPr>
      <w:hyperlink w:anchor="b0994f79d495f4f53d57e">
        <w:r>
          <w:rPr>
            <w:rFonts w:ascii="Times New Roman" w:hAnsi="Times New Roman"/>
            <w:sz w:val="22"/>
          </w:rPr>
          <w:t>3.2 End-to-end flow</w:t>
        </w:r>
      </w:hyperlink>
      <w:r>
        <w:rPr>
          <w:rFonts w:ascii="Times New Roman" w:hAnsi="Times New Roman" w:cs="Times New Roman" w:eastAsia="Times New Roman"/>
          <w:color w:val="000000"/>
          <w:sz w:val="22"/>
        </w:rPr>
        <w:tab/>
        <w:t>6</w:t>
      </w:r>
    </w:p>
    <w:p>
      <w:pPr>
        <w:tabs>
          <w:tab w:pos="9720" w:val="right" w:leader="dot"/>
        </w:tabs>
        <w:spacing w:line="264" w:lineRule="auto" w:after="80"/>
        <w:ind w:left="288"/>
      </w:pPr>
      <w:hyperlink w:anchor="b61e2bed5a87a18e17722">
        <w:r>
          <w:rPr>
            <w:rFonts w:ascii="Times New Roman" w:hAnsi="Times New Roman"/>
            <w:sz w:val="22"/>
          </w:rPr>
          <w:t>3.3 Traceability and recovery</w:t>
        </w:r>
      </w:hyperlink>
      <w:r>
        <w:rPr>
          <w:rFonts w:ascii="Times New Roman" w:hAnsi="Times New Roman" w:cs="Times New Roman" w:eastAsia="Times New Roman"/>
          <w:color w:val="000000"/>
          <w:sz w:val="22"/>
        </w:rPr>
        <w:tab/>
        <w:t>7</w:t>
      </w:r>
    </w:p>
    <w:p>
      <w:pPr>
        <w:tabs>
          <w:tab w:pos="9720" w:val="right" w:leader="dot"/>
        </w:tabs>
        <w:spacing w:line="264" w:lineRule="auto" w:after="80"/>
        <w:ind w:left="288"/>
      </w:pPr>
      <w:hyperlink w:anchor="b561efc9573304cbba6fb">
        <w:r>
          <w:rPr>
            <w:rFonts w:ascii="Times New Roman" w:hAnsi="Times New Roman"/>
            <w:sz w:val="22"/>
          </w:rPr>
          <w:t>3.4 Confidentiality and reproducibility</w:t>
        </w:r>
      </w:hyperlink>
      <w:r>
        <w:rPr>
          <w:rFonts w:ascii="Times New Roman" w:hAnsi="Times New Roman" w:cs="Times New Roman" w:eastAsia="Times New Roman"/>
          <w:color w:val="000000"/>
          <w:sz w:val="22"/>
        </w:rPr>
        <w:tab/>
        <w:t>8</w:t>
      </w:r>
    </w:p>
    <w:p>
      <w:pPr>
        <w:tabs>
          <w:tab w:pos="10008" w:val="right" w:leader="dot"/>
        </w:tabs>
        <w:spacing w:line="264" w:lineRule="auto" w:after="80"/>
        <w:ind w:left="0"/>
      </w:pPr>
      <w:hyperlink w:anchor="b374b18c7166fbb8e72f5">
        <w:r>
          <w:rPr>
            <w:rFonts w:ascii="Times New Roman" w:hAnsi="Times New Roman"/>
            <w:sz w:val="22"/>
          </w:rPr>
          <w:t>4 Corporate data transformation</w:t>
        </w:r>
      </w:hyperlink>
      <w:r>
        <w:rPr>
          <w:rFonts w:ascii="Times New Roman" w:hAnsi="Times New Roman" w:cs="Times New Roman" w:eastAsia="Times New Roman"/>
          <w:color w:val="000000"/>
          <w:sz w:val="22"/>
        </w:rPr>
        <w:tab/>
        <w:t>9</w:t>
      </w:r>
    </w:p>
    <w:p>
      <w:pPr>
        <w:tabs>
          <w:tab w:pos="9720" w:val="right" w:leader="dot"/>
        </w:tabs>
        <w:spacing w:line="264" w:lineRule="auto" w:after="80"/>
        <w:ind w:left="288"/>
      </w:pPr>
      <w:hyperlink w:anchor="b3d60efe81f63e70485d7">
        <w:r>
          <w:rPr>
            <w:rFonts w:ascii="Times New Roman" w:hAnsi="Times New Roman"/>
            <w:sz w:val="22"/>
          </w:rPr>
          <w:t>4.1 Document ingestion and parsing</w:t>
        </w:r>
      </w:hyperlink>
      <w:r>
        <w:rPr>
          <w:rFonts w:ascii="Times New Roman" w:hAnsi="Times New Roman" w:cs="Times New Roman" w:eastAsia="Times New Roman"/>
          <w:color w:val="000000"/>
          <w:sz w:val="22"/>
        </w:rPr>
        <w:tab/>
        <w:t>9</w:t>
      </w:r>
    </w:p>
    <w:p>
      <w:pPr>
        <w:tabs>
          <w:tab w:pos="9720" w:val="right" w:leader="dot"/>
        </w:tabs>
        <w:spacing w:line="264" w:lineRule="auto" w:after="80"/>
        <w:ind w:left="288"/>
      </w:pPr>
      <w:hyperlink w:anchor="b7463957d12ef33f83658">
        <w:r>
          <w:rPr>
            <w:rFonts w:ascii="Times New Roman" w:hAnsi="Times New Roman"/>
            <w:sz w:val="22"/>
          </w:rPr>
          <w:t>4.2 Quality assessment and clause-aware chunking</w:t>
        </w:r>
      </w:hyperlink>
      <w:r>
        <w:rPr>
          <w:rFonts w:ascii="Times New Roman" w:hAnsi="Times New Roman" w:cs="Times New Roman" w:eastAsia="Times New Roman"/>
          <w:color w:val="000000"/>
          <w:sz w:val="22"/>
        </w:rPr>
        <w:tab/>
        <w:t>9</w:t>
      </w:r>
    </w:p>
    <w:p>
      <w:pPr>
        <w:tabs>
          <w:tab w:pos="9720" w:val="right" w:leader="dot"/>
        </w:tabs>
        <w:spacing w:line="264" w:lineRule="auto" w:after="80"/>
        <w:ind w:left="288"/>
      </w:pPr>
      <w:hyperlink w:anchor="b305089a35e009f15f69f">
        <w:r>
          <w:rPr>
            <w:rFonts w:ascii="Times New Roman" w:hAnsi="Times New Roman"/>
            <w:sz w:val="22"/>
          </w:rPr>
          <w:t>4.3 Policy example generation and validation</w:t>
        </w:r>
      </w:hyperlink>
      <w:r>
        <w:rPr>
          <w:rFonts w:ascii="Times New Roman" w:hAnsi="Times New Roman" w:cs="Times New Roman" w:eastAsia="Times New Roman"/>
          <w:color w:val="000000"/>
          <w:sz w:val="22"/>
        </w:rPr>
        <w:tab/>
        <w:t>10</w:t>
      </w:r>
    </w:p>
    <w:p>
      <w:pPr>
        <w:tabs>
          <w:tab w:pos="9720" w:val="right" w:leader="dot"/>
        </w:tabs>
        <w:spacing w:line="264" w:lineRule="auto" w:after="80"/>
        <w:ind w:left="288"/>
      </w:pPr>
      <w:hyperlink w:anchor="b9ed19d4c05d52a1e647a">
        <w:r>
          <w:rPr>
            <w:rFonts w:ascii="Times New Roman" w:hAnsi="Times New Roman"/>
            <w:sz w:val="22"/>
          </w:rPr>
          <w:t>4.4 Repository analysis and inherited verification</w:t>
        </w:r>
      </w:hyperlink>
      <w:r>
        <w:rPr>
          <w:rFonts w:ascii="Times New Roman" w:hAnsi="Times New Roman" w:cs="Times New Roman" w:eastAsia="Times New Roman"/>
          <w:color w:val="000000"/>
          <w:sz w:val="22"/>
        </w:rPr>
        <w:tab/>
        <w:t>10</w:t>
      </w:r>
    </w:p>
    <w:p>
      <w:pPr>
        <w:tabs>
          <w:tab w:pos="9720" w:val="right" w:leader="dot"/>
        </w:tabs>
        <w:spacing w:line="264" w:lineRule="auto" w:after="80"/>
        <w:ind w:left="288"/>
      </w:pPr>
      <w:hyperlink w:anchor="b69686b3904ce162daa3f">
        <w:r>
          <w:rPr>
            <w:rFonts w:ascii="Times New Roman" w:hAnsi="Times New Roman"/>
            <w:sz w:val="22"/>
          </w:rPr>
          <w:t>4.5 Unified enterprise export and splits</w:t>
        </w:r>
      </w:hyperlink>
      <w:r>
        <w:rPr>
          <w:rFonts w:ascii="Times New Roman" w:hAnsi="Times New Roman" w:cs="Times New Roman" w:eastAsia="Times New Roman"/>
          <w:color w:val="000000"/>
          <w:sz w:val="22"/>
        </w:rPr>
        <w:tab/>
        <w:t>11</w:t>
      </w:r>
    </w:p>
    <w:p>
      <w:pPr>
        <w:tabs>
          <w:tab w:pos="10008" w:val="right" w:leader="dot"/>
        </w:tabs>
        <w:spacing w:line="264" w:lineRule="auto" w:after="80"/>
        <w:ind w:left="0"/>
      </w:pPr>
      <w:hyperlink w:anchor="b7f1786f340e167235e23">
        <w:r>
          <w:rPr>
            <w:rFonts w:ascii="Times New Roman" w:hAnsi="Times New Roman"/>
            <w:sz w:val="22"/>
          </w:rPr>
          <w:t>5 External coding data and training inputs</w:t>
        </w:r>
      </w:hyperlink>
      <w:r>
        <w:rPr>
          <w:rFonts w:ascii="Times New Roman" w:hAnsi="Times New Roman" w:cs="Times New Roman" w:eastAsia="Times New Roman"/>
          <w:color w:val="000000"/>
          <w:sz w:val="22"/>
        </w:rPr>
        <w:tab/>
        <w:t>13</w:t>
      </w:r>
    </w:p>
    <w:p>
      <w:pPr>
        <w:tabs>
          <w:tab w:pos="9720" w:val="right" w:leader="dot"/>
        </w:tabs>
        <w:spacing w:line="264" w:lineRule="auto" w:after="80"/>
        <w:ind w:left="288"/>
      </w:pPr>
      <w:hyperlink w:anchor="bcc5afbab3b6e568edbe1">
        <w:r>
          <w:rPr>
            <w:rFonts w:ascii="Times New Roman" w:hAnsi="Times New Roman"/>
            <w:sz w:val="22"/>
          </w:rPr>
          <w:t>5.1 Dataset inspection and adaptation</w:t>
        </w:r>
      </w:hyperlink>
      <w:r>
        <w:rPr>
          <w:rFonts w:ascii="Times New Roman" w:hAnsi="Times New Roman" w:cs="Times New Roman" w:eastAsia="Times New Roman"/>
          <w:color w:val="000000"/>
          <w:sz w:val="22"/>
        </w:rPr>
        <w:tab/>
        <w:t>13</w:t>
      </w:r>
    </w:p>
    <w:p>
      <w:pPr>
        <w:tabs>
          <w:tab w:pos="9720" w:val="right" w:leader="dot"/>
        </w:tabs>
        <w:spacing w:line="264" w:lineRule="auto" w:after="80"/>
        <w:ind w:left="288"/>
      </w:pPr>
      <w:hyperlink w:anchor="b269d95f765d7ded139e2">
        <w:r>
          <w:rPr>
            <w:rFonts w:ascii="Times New Roman" w:hAnsi="Times New Roman"/>
            <w:sz w:val="22"/>
          </w:rPr>
          <w:t>5.2 Sampling and approved native selections</w:t>
        </w:r>
      </w:hyperlink>
      <w:r>
        <w:rPr>
          <w:rFonts w:ascii="Times New Roman" w:hAnsi="Times New Roman" w:cs="Times New Roman" w:eastAsia="Times New Roman"/>
          <w:color w:val="000000"/>
          <w:sz w:val="22"/>
        </w:rPr>
        <w:tab/>
        <w:t>13</w:t>
      </w:r>
    </w:p>
    <w:p>
      <w:pPr>
        <w:tabs>
          <w:tab w:pos="9720" w:val="right" w:leader="dot"/>
        </w:tabs>
        <w:spacing w:line="264" w:lineRule="auto" w:after="80"/>
        <w:ind w:left="288"/>
      </w:pPr>
      <w:hyperlink w:anchor="b2faeb9ed39c34c94af2d">
        <w:r>
          <w:rPr>
            <w:rFonts w:ascii="Times New Roman" w:hAnsi="Times New Roman"/>
            <w:sz w:val="22"/>
          </w:rPr>
          <w:t>5.3 Holdout gate and exact token supervision</w:t>
        </w:r>
      </w:hyperlink>
      <w:r>
        <w:rPr>
          <w:rFonts w:ascii="Times New Roman" w:hAnsi="Times New Roman" w:cs="Times New Roman" w:eastAsia="Times New Roman"/>
          <w:color w:val="000000"/>
          <w:sz w:val="22"/>
        </w:rPr>
        <w:tab/>
        <w:t>14</w:t>
      </w:r>
    </w:p>
    <w:p>
      <w:pPr>
        <w:tabs>
          <w:tab w:pos="9720" w:val="right" w:leader="dot"/>
        </w:tabs>
        <w:spacing w:line="264" w:lineRule="auto" w:after="80"/>
        <w:ind w:left="288"/>
      </w:pPr>
      <w:hyperlink w:anchor="b41e158a0c06637c19707">
        <w:r>
          <w:rPr>
            <w:rFonts w:ascii="Times New Roman" w:hAnsi="Times New Roman"/>
            <w:sz w:val="22"/>
          </w:rPr>
          <w:t>5.4 Mixture and exposure accounting</w:t>
        </w:r>
      </w:hyperlink>
      <w:r>
        <w:rPr>
          <w:rFonts w:ascii="Times New Roman" w:hAnsi="Times New Roman" w:cs="Times New Roman" w:eastAsia="Times New Roman"/>
          <w:color w:val="000000"/>
          <w:sz w:val="22"/>
        </w:rPr>
        <w:tab/>
        <w:t>15</w:t>
      </w:r>
    </w:p>
    <w:p>
      <w:pPr>
        <w:tabs>
          <w:tab w:pos="10008" w:val="right" w:leader="dot"/>
        </w:tabs>
        <w:spacing w:line="264" w:lineRule="auto" w:after="80"/>
        <w:ind w:left="0"/>
      </w:pPr>
      <w:hyperlink w:anchor="baca07b4135e0908b548c">
        <w:r>
          <w:rPr>
            <w:rFonts w:ascii="Times New Roman" w:hAnsi="Times New Roman"/>
            <w:sz w:val="22"/>
          </w:rPr>
          <w:t>6 Structural pruning and recovery training</w:t>
        </w:r>
      </w:hyperlink>
      <w:r>
        <w:rPr>
          <w:rFonts w:ascii="Times New Roman" w:hAnsi="Times New Roman" w:cs="Times New Roman" w:eastAsia="Times New Roman"/>
          <w:color w:val="000000"/>
          <w:sz w:val="22"/>
        </w:rPr>
        <w:tab/>
        <w:t>16</w:t>
      </w:r>
    </w:p>
    <w:p>
      <w:pPr>
        <w:tabs>
          <w:tab w:pos="9720" w:val="right" w:leader="dot"/>
        </w:tabs>
        <w:spacing w:line="264" w:lineRule="auto" w:after="80"/>
        <w:ind w:left="288"/>
      </w:pPr>
      <w:hyperlink w:anchor="bfd1d26e904b7d2e3b8bb">
        <w:r>
          <w:rPr>
            <w:rFonts w:ascii="Times New Roman" w:hAnsi="Times New Roman"/>
            <w:sz w:val="22"/>
          </w:rPr>
          <w:t>6.1 Why structural reduction is separate from quantization</w:t>
        </w:r>
      </w:hyperlink>
      <w:r>
        <w:rPr>
          <w:rFonts w:ascii="Times New Roman" w:hAnsi="Times New Roman" w:cs="Times New Roman" w:eastAsia="Times New Roman"/>
          <w:color w:val="000000"/>
          <w:sz w:val="22"/>
        </w:rPr>
        <w:tab/>
        <w:t>16</w:t>
      </w:r>
    </w:p>
    <w:p>
      <w:pPr>
        <w:tabs>
          <w:tab w:pos="9720" w:val="right" w:leader="dot"/>
        </w:tabs>
        <w:spacing w:line="264" w:lineRule="auto" w:after="80"/>
        <w:ind w:left="288"/>
      </w:pPr>
      <w:hyperlink w:anchor="bffefbb0a6e354a6ef829">
        <w:r>
          <w:rPr>
            <w:rFonts w:ascii="Times New Roman" w:hAnsi="Times New Roman"/>
            <w:sz w:val="22"/>
          </w:rPr>
          <w:t>6.2 Importance heuristic and calibration</w:t>
        </w:r>
      </w:hyperlink>
      <w:r>
        <w:rPr>
          <w:rFonts w:ascii="Times New Roman" w:hAnsi="Times New Roman" w:cs="Times New Roman" w:eastAsia="Times New Roman"/>
          <w:color w:val="000000"/>
          <w:sz w:val="22"/>
        </w:rPr>
        <w:tab/>
        <w:t>16</w:t>
      </w:r>
    </w:p>
    <w:p>
      <w:pPr>
        <w:tabs>
          <w:tab w:pos="9720" w:val="right" w:leader="dot"/>
        </w:tabs>
        <w:spacing w:line="264" w:lineRule="auto" w:after="80"/>
        <w:ind w:left="288"/>
      </w:pPr>
      <w:hyperlink w:anchor="bb794e24f9f31e2a8f366">
        <w:r>
          <w:rPr>
            <w:rFonts w:ascii="Times New Roman" w:hAnsi="Times New Roman"/>
            <w:sz w:val="22"/>
          </w:rPr>
          <w:t>6.3 Recovery and specialisation</w:t>
        </w:r>
      </w:hyperlink>
      <w:r>
        <w:rPr>
          <w:rFonts w:ascii="Times New Roman" w:hAnsi="Times New Roman" w:cs="Times New Roman" w:eastAsia="Times New Roman"/>
          <w:color w:val="000000"/>
          <w:sz w:val="22"/>
        </w:rPr>
        <w:tab/>
        <w:t>17</w:t>
      </w:r>
    </w:p>
    <w:p>
      <w:pPr>
        <w:tabs>
          <w:tab w:pos="9720" w:val="right" w:leader="dot"/>
        </w:tabs>
        <w:spacing w:line="264" w:lineRule="auto" w:after="80"/>
        <w:ind w:left="288"/>
      </w:pPr>
      <w:hyperlink w:anchor="b333a182553010850119a">
        <w:r>
          <w:rPr>
            <w:rFonts w:ascii="Times New Roman" w:hAnsi="Times New Roman"/>
            <w:sz w:val="22"/>
          </w:rPr>
          <w:t>6.4 NF4 export and artifact verification</w:t>
        </w:r>
      </w:hyperlink>
      <w:r>
        <w:rPr>
          <w:rFonts w:ascii="Times New Roman" w:hAnsi="Times New Roman" w:cs="Times New Roman" w:eastAsia="Times New Roman"/>
          <w:color w:val="000000"/>
          <w:sz w:val="22"/>
        </w:rPr>
        <w:tab/>
        <w:t>18</w:t>
      </w:r>
    </w:p>
    <w:p>
      <w:pPr>
        <w:tabs>
          <w:tab w:pos="9720" w:val="right" w:leader="dot"/>
        </w:tabs>
        <w:spacing w:line="264" w:lineRule="auto" w:after="80"/>
        <w:ind w:left="288"/>
      </w:pPr>
      <w:hyperlink w:anchor="b46ff05542f793ebb4f52">
        <w:r>
          <w:rPr>
            <w:rFonts w:ascii="Times New Roman" w:hAnsi="Times New Roman"/>
            <w:sz w:val="22"/>
          </w:rPr>
          <w:t>6.5 Runtime and resumption</w:t>
        </w:r>
      </w:hyperlink>
      <w:r>
        <w:rPr>
          <w:rFonts w:ascii="Times New Roman" w:hAnsi="Times New Roman" w:cs="Times New Roman" w:eastAsia="Times New Roman"/>
          <w:color w:val="000000"/>
          <w:sz w:val="22"/>
        </w:rPr>
        <w:tab/>
        <w:t>18</w:t>
      </w:r>
    </w:p>
    <w:p>
      <w:pPr>
        <w:tabs>
          <w:tab w:pos="10008" w:val="right" w:leader="dot"/>
        </w:tabs>
        <w:spacing w:line="264" w:lineRule="auto" w:after="80"/>
        <w:ind w:left="0"/>
      </w:pPr>
      <w:hyperlink w:anchor="b471cbb0e4f763a3ee9a4">
        <w:r>
          <w:rPr>
            <w:rFonts w:ascii="Times New Roman" w:hAnsi="Times New Roman"/>
            <w:sz w:val="22"/>
          </w:rPr>
          <w:t>7 Results and interpretation</w:t>
        </w:r>
      </w:hyperlink>
      <w:r>
        <w:rPr>
          <w:rFonts w:ascii="Times New Roman" w:hAnsi="Times New Roman" w:cs="Times New Roman" w:eastAsia="Times New Roman"/>
          <w:color w:val="000000"/>
          <w:sz w:val="22"/>
        </w:rPr>
        <w:tab/>
        <w:t>20</w:t>
      </w:r>
    </w:p>
    <w:p>
      <w:pPr>
        <w:tabs>
          <w:tab w:pos="9720" w:val="right" w:leader="dot"/>
        </w:tabs>
        <w:spacing w:line="264" w:lineRule="auto" w:after="80"/>
        <w:ind w:left="288"/>
      </w:pPr>
      <w:hyperlink w:anchor="bdab98ea03ee437091d7a">
        <w:r>
          <w:rPr>
            <w:rFonts w:ascii="Times New Roman" w:hAnsi="Times New Roman"/>
            <w:sz w:val="22"/>
          </w:rPr>
          <w:t>7.1 Software and data evidence</w:t>
        </w:r>
      </w:hyperlink>
      <w:r>
        <w:rPr>
          <w:rFonts w:ascii="Times New Roman" w:hAnsi="Times New Roman" w:cs="Times New Roman" w:eastAsia="Times New Roman"/>
          <w:color w:val="000000"/>
          <w:sz w:val="22"/>
        </w:rPr>
        <w:tab/>
        <w:t>20</w:t>
      </w:r>
    </w:p>
    <w:p>
      <w:pPr>
        <w:tabs>
          <w:tab w:pos="9720" w:val="right" w:leader="dot"/>
        </w:tabs>
        <w:spacing w:line="264" w:lineRule="auto" w:after="80"/>
        <w:ind w:left="288"/>
      </w:pPr>
      <w:hyperlink w:anchor="bce47216bab90856e4f31">
        <w:r>
          <w:rPr>
            <w:rFonts w:ascii="Times New Roman" w:hAnsi="Times New Roman"/>
            <w:sz w:val="22"/>
          </w:rPr>
          <w:t>7.2 RunPod compatibility findings</w:t>
        </w:r>
      </w:hyperlink>
      <w:r>
        <w:rPr>
          <w:rFonts w:ascii="Times New Roman" w:hAnsi="Times New Roman" w:cs="Times New Roman" w:eastAsia="Times New Roman"/>
          <w:color w:val="000000"/>
          <w:sz w:val="22"/>
        </w:rPr>
        <w:tab/>
        <w:t>20</w:t>
      </w:r>
    </w:p>
    <w:p>
      <w:pPr>
        <w:tabs>
          <w:tab w:pos="9720" w:val="right" w:leader="dot"/>
        </w:tabs>
        <w:spacing w:line="264" w:lineRule="auto" w:after="80"/>
        <w:ind w:left="288"/>
      </w:pPr>
      <w:hyperlink w:anchor="bdbc4279fa71ed12a1fd3">
        <w:r>
          <w:rPr>
            <w:rFonts w:ascii="Times New Roman" w:hAnsi="Times New Roman"/>
            <w:sz w:val="22"/>
          </w:rPr>
          <w:t>7.3 Completed Qwen3 smoke experiment</w:t>
        </w:r>
      </w:hyperlink>
      <w:r>
        <w:rPr>
          <w:rFonts w:ascii="Times New Roman" w:hAnsi="Times New Roman" w:cs="Times New Roman" w:eastAsia="Times New Roman"/>
          <w:color w:val="000000"/>
          <w:sz w:val="22"/>
        </w:rPr>
        <w:tab/>
        <w:t>21</w:t>
      </w:r>
    </w:p>
    <w:p>
      <w:pPr>
        <w:tabs>
          <w:tab w:pos="9720" w:val="right" w:leader="dot"/>
        </w:tabs>
        <w:spacing w:line="264" w:lineRule="auto" w:after="80"/>
        <w:ind w:left="288"/>
      </w:pPr>
      <w:hyperlink w:anchor="b622fedf23059d9737b18">
        <w:r>
          <w:rPr>
            <w:rFonts w:ascii="Times New Roman" w:hAnsi="Times New Roman"/>
            <w:sz w:val="22"/>
          </w:rPr>
          <w:t>7.4 Larger coding-focused run in progress</w:t>
        </w:r>
      </w:hyperlink>
      <w:r>
        <w:rPr>
          <w:rFonts w:ascii="Times New Roman" w:hAnsi="Times New Roman" w:cs="Times New Roman" w:eastAsia="Times New Roman"/>
          <w:color w:val="000000"/>
          <w:sz w:val="22"/>
        </w:rPr>
        <w:tab/>
        <w:t>22</w:t>
      </w:r>
    </w:p>
    <w:p>
      <w:pPr>
        <w:tabs>
          <w:tab w:pos="9720" w:val="right" w:leader="dot"/>
        </w:tabs>
        <w:spacing w:line="264" w:lineRule="auto" w:after="80"/>
        <w:ind w:left="288"/>
      </w:pPr>
      <w:hyperlink w:anchor="bba4a77e6d1f7cecdc30c">
        <w:r>
          <w:rPr>
            <w:rFonts w:ascii="Times New Roman" w:hAnsi="Times New Roman"/>
            <w:sz w:val="22"/>
          </w:rPr>
          <w:t>7.5 Threats to validity</w:t>
        </w:r>
      </w:hyperlink>
      <w:r>
        <w:rPr>
          <w:rFonts w:ascii="Times New Roman" w:hAnsi="Times New Roman" w:cs="Times New Roman" w:eastAsia="Times New Roman"/>
          <w:color w:val="000000"/>
          <w:sz w:val="22"/>
        </w:rPr>
        <w:tab/>
        <w:t>22</w:t>
      </w:r>
    </w:p>
    <w:p>
      <w:pPr>
        <w:tabs>
          <w:tab w:pos="10008" w:val="right" w:leader="dot"/>
        </w:tabs>
        <w:spacing w:line="264" w:lineRule="auto" w:after="80"/>
        <w:ind w:left="0"/>
      </w:pPr>
      <w:hyperlink w:anchor="b4bd7a0c2fbff4ddae180">
        <w:r>
          <w:rPr>
            <w:rFonts w:ascii="Times New Roman" w:hAnsi="Times New Roman"/>
            <w:sz w:val="22"/>
          </w:rPr>
          <w:t>8 Evaluation and remaining customisation</w:t>
        </w:r>
      </w:hyperlink>
      <w:r>
        <w:rPr>
          <w:rFonts w:ascii="Times New Roman" w:hAnsi="Times New Roman" w:cs="Times New Roman" w:eastAsia="Times New Roman"/>
          <w:color w:val="000000"/>
          <w:sz w:val="22"/>
        </w:rPr>
        <w:tab/>
        <w:t>24</w:t>
      </w:r>
    </w:p>
    <w:p>
      <w:pPr>
        <w:tabs>
          <w:tab w:pos="9720" w:val="right" w:leader="dot"/>
        </w:tabs>
        <w:spacing w:line="264" w:lineRule="auto" w:after="80"/>
        <w:ind w:left="288"/>
      </w:pPr>
      <w:hyperlink w:anchor="bdc96ab78879ca150be78">
        <w:r>
          <w:rPr>
            <w:rFonts w:ascii="Times New Roman" w:hAnsi="Times New Roman"/>
            <w:sz w:val="22"/>
          </w:rPr>
          <w:t>8.1 Comparison design</w:t>
        </w:r>
      </w:hyperlink>
      <w:r>
        <w:rPr>
          <w:rFonts w:ascii="Times New Roman" w:hAnsi="Times New Roman" w:cs="Times New Roman" w:eastAsia="Times New Roman"/>
          <w:color w:val="000000"/>
          <w:sz w:val="22"/>
        </w:rPr>
        <w:tab/>
        <w:t>24</w:t>
      </w:r>
    </w:p>
    <w:p>
      <w:pPr>
        <w:tabs>
          <w:tab w:pos="9720" w:val="right" w:leader="dot"/>
        </w:tabs>
        <w:spacing w:line="264" w:lineRule="auto" w:after="80"/>
        <w:ind w:left="288"/>
      </w:pPr>
      <w:hyperlink w:anchor="b2f6f5ac58d7c8c565c22">
        <w:r>
          <w:rPr>
            <w:rFonts w:ascii="Times New Roman" w:hAnsi="Times New Roman"/>
            <w:sz w:val="22"/>
          </w:rPr>
          <w:t>8.2 Coding and enterprise assessment</w:t>
        </w:r>
      </w:hyperlink>
      <w:r>
        <w:rPr>
          <w:rFonts w:ascii="Times New Roman" w:hAnsi="Times New Roman" w:cs="Times New Roman" w:eastAsia="Times New Roman"/>
          <w:color w:val="000000"/>
          <w:sz w:val="22"/>
        </w:rPr>
        <w:tab/>
        <w:t>25</w:t>
      </w:r>
    </w:p>
    <w:p>
      <w:pPr>
        <w:tabs>
          <w:tab w:pos="9720" w:val="right" w:leader="dot"/>
        </w:tabs>
        <w:spacing w:line="264" w:lineRule="auto" w:after="80"/>
        <w:ind w:left="288"/>
      </w:pPr>
      <w:hyperlink w:anchor="b10782daec2ef6a4b10b6">
        <w:r>
          <w:rPr>
            <w:rFonts w:ascii="Times New Roman" w:hAnsi="Times New Roman"/>
            <w:sz w:val="22"/>
          </w:rPr>
          <w:t>8.3 Efficiency and robustness measurements</w:t>
        </w:r>
      </w:hyperlink>
      <w:r>
        <w:rPr>
          <w:rFonts w:ascii="Times New Roman" w:hAnsi="Times New Roman" w:cs="Times New Roman" w:eastAsia="Times New Roman"/>
          <w:color w:val="000000"/>
          <w:sz w:val="22"/>
        </w:rPr>
        <w:tab/>
        <w:t>25</w:t>
      </w:r>
    </w:p>
    <w:p>
      <w:pPr>
        <w:tabs>
          <w:tab w:pos="9720" w:val="right" w:leader="dot"/>
        </w:tabs>
        <w:spacing w:line="264" w:lineRule="auto" w:after="80"/>
        <w:ind w:left="288"/>
      </w:pPr>
      <w:hyperlink w:anchor="b9a988ea6c05b73c7d186">
        <w:r>
          <w:rPr>
            <w:rFonts w:ascii="Times New Roman" w:hAnsi="Times New Roman"/>
            <w:sz w:val="22"/>
          </w:rPr>
          <w:t>8.4 Further domain customisation</w:t>
        </w:r>
      </w:hyperlink>
      <w:r>
        <w:rPr>
          <w:rFonts w:ascii="Times New Roman" w:hAnsi="Times New Roman" w:cs="Times New Roman" w:eastAsia="Times New Roman"/>
          <w:color w:val="000000"/>
          <w:sz w:val="22"/>
        </w:rPr>
        <w:tab/>
        <w:t>26</w:t>
      </w:r>
    </w:p>
    <w:p>
      <w:pPr>
        <w:tabs>
          <w:tab w:pos="10008" w:val="right" w:leader="dot"/>
        </w:tabs>
        <w:spacing w:line="264" w:lineRule="auto" w:after="80"/>
        <w:ind w:left="0"/>
      </w:pPr>
      <w:hyperlink w:anchor="bfbef9ea3d277aef607e5">
        <w:r>
          <w:rPr>
            <w:rFonts w:ascii="Times New Roman" w:hAnsi="Times New Roman"/>
            <w:sz w:val="22"/>
          </w:rPr>
          <w:t>9 Practical application and publication direction</w:t>
        </w:r>
      </w:hyperlink>
      <w:r>
        <w:rPr>
          <w:rFonts w:ascii="Times New Roman" w:hAnsi="Times New Roman" w:cs="Times New Roman" w:eastAsia="Times New Roman"/>
          <w:color w:val="000000"/>
          <w:sz w:val="22"/>
        </w:rPr>
        <w:tab/>
        <w:t>27</w:t>
      </w:r>
    </w:p>
    <w:p>
      <w:pPr>
        <w:tabs>
          <w:tab w:pos="9720" w:val="right" w:leader="dot"/>
        </w:tabs>
        <w:spacing w:line="264" w:lineRule="auto" w:after="80"/>
        <w:ind w:left="288"/>
      </w:pPr>
      <w:hyperlink w:anchor="bcb066bd14d357c30ebf1">
        <w:r>
          <w:rPr>
            <w:rFonts w:ascii="Times New Roman" w:hAnsi="Times New Roman"/>
            <w:sz w:val="22"/>
          </w:rPr>
          <w:t>9.1 Application boundary</w:t>
        </w:r>
      </w:hyperlink>
      <w:r>
        <w:rPr>
          <w:rFonts w:ascii="Times New Roman" w:hAnsi="Times New Roman" w:cs="Times New Roman" w:eastAsia="Times New Roman"/>
          <w:color w:val="000000"/>
          <w:sz w:val="22"/>
        </w:rPr>
        <w:tab/>
        <w:t>27</w:t>
      </w:r>
    </w:p>
    <w:p>
      <w:pPr>
        <w:tabs>
          <w:tab w:pos="9720" w:val="right" w:leader="dot"/>
        </w:tabs>
        <w:spacing w:line="264" w:lineRule="auto" w:after="80"/>
        <w:ind w:left="288"/>
      </w:pPr>
      <w:hyperlink w:anchor="b5ddc5b4569740bb7e4d6">
        <w:r>
          <w:rPr>
            <w:rFonts w:ascii="Times New Roman" w:hAnsi="Times New Roman"/>
            <w:sz w:val="22"/>
          </w:rPr>
          <w:t>9.2 Experimental evidence and publication scope</w:t>
        </w:r>
      </w:hyperlink>
      <w:r>
        <w:rPr>
          <w:rFonts w:ascii="Times New Roman" w:hAnsi="Times New Roman" w:cs="Times New Roman" w:eastAsia="Times New Roman"/>
          <w:color w:val="000000"/>
          <w:sz w:val="22"/>
        </w:rPr>
        <w:tab/>
        <w:t>27</w:t>
      </w:r>
    </w:p>
    <w:p>
      <w:pPr>
        <w:tabs>
          <w:tab w:pos="9720" w:val="right" w:leader="dot"/>
        </w:tabs>
        <w:spacing w:line="264" w:lineRule="auto" w:after="80"/>
        <w:ind w:left="288"/>
      </w:pPr>
      <w:hyperlink w:anchor="b8a254b1beafabf17dba8">
        <w:r>
          <w:rPr>
            <w:rFonts w:ascii="Times New Roman" w:hAnsi="Times New Roman"/>
            <w:sz w:val="22"/>
          </w:rPr>
          <w:t>9.3 Release requirements</w:t>
        </w:r>
      </w:hyperlink>
      <w:r>
        <w:rPr>
          <w:rFonts w:ascii="Times New Roman" w:hAnsi="Times New Roman" w:cs="Times New Roman" w:eastAsia="Times New Roman"/>
          <w:color w:val="000000"/>
          <w:sz w:val="22"/>
        </w:rPr>
        <w:tab/>
        <w:t>28</w:t>
      </w:r>
    </w:p>
    <w:p>
      <w:pPr>
        <w:tabs>
          <w:tab w:pos="10008" w:val="right" w:leader="dot"/>
        </w:tabs>
        <w:spacing w:line="264" w:lineRule="auto" w:after="80"/>
        <w:ind w:left="0"/>
      </w:pPr>
      <w:hyperlink w:anchor="b97b226f6fe78ee17a5bd">
        <w:r>
          <w:rPr>
            <w:rFonts w:ascii="Times New Roman" w:hAnsi="Times New Roman"/>
            <w:sz w:val="22"/>
          </w:rPr>
          <w:t>10 Conclusions and recommendations</w:t>
        </w:r>
      </w:hyperlink>
      <w:r>
        <w:rPr>
          <w:rFonts w:ascii="Times New Roman" w:hAnsi="Times New Roman" w:cs="Times New Roman" w:eastAsia="Times New Roman"/>
          <w:color w:val="000000"/>
          <w:sz w:val="22"/>
        </w:rPr>
        <w:tab/>
        <w:t>29</w:t>
      </w:r>
    </w:p>
    <w:p>
      <w:pPr>
        <w:tabs>
          <w:tab w:pos="10008" w:val="right" w:leader="dot"/>
        </w:tabs>
        <w:spacing w:line="264" w:lineRule="auto" w:after="80"/>
        <w:ind w:left="0"/>
      </w:pPr>
      <w:hyperlink w:anchor="b54cf56f1e3305f041119">
        <w:r>
          <w:rPr>
            <w:rFonts w:ascii="Times New Roman" w:hAnsi="Times New Roman"/>
            <w:sz w:val="22"/>
          </w:rPr>
          <w:t>Appendix A Evidence and source pins</w:t>
        </w:r>
      </w:hyperlink>
      <w:r>
        <w:rPr>
          <w:rFonts w:ascii="Times New Roman" w:hAnsi="Times New Roman" w:cs="Times New Roman" w:eastAsia="Times New Roman"/>
          <w:color w:val="000000"/>
          <w:sz w:val="22"/>
        </w:rPr>
        <w:tab/>
        <w:t>30</w:t>
      </w:r>
    </w:p>
    <w:p>
      <w:pPr>
        <w:tabs>
          <w:tab w:pos="10008" w:val="right" w:leader="dot"/>
        </w:tabs>
        <w:spacing w:line="264" w:lineRule="auto" w:after="80"/>
        <w:ind w:left="0"/>
      </w:pPr>
      <w:hyperlink w:anchor="b9f57dc740d989018ad73">
        <w:r>
          <w:rPr>
            <w:rFonts w:ascii="Times New Roman" w:hAnsi="Times New Roman"/>
            <w:sz w:val="22"/>
          </w:rPr>
          <w:t>Appendix B Reproduction contract</w:t>
        </w:r>
      </w:hyperlink>
      <w:r>
        <w:rPr>
          <w:rFonts w:ascii="Times New Roman" w:hAnsi="Times New Roman" w:cs="Times New Roman" w:eastAsia="Times New Roman"/>
          <w:color w:val="000000"/>
          <w:sz w:val="22"/>
        </w:rPr>
        <w:tab/>
        <w:t>32</w:t>
      </w:r>
    </w:p>
    <w:p>
      <w:pPr>
        <w:tabs>
          <w:tab w:pos="10008" w:val="right" w:leader="dot"/>
        </w:tabs>
        <w:spacing w:line="264" w:lineRule="auto" w:after="80"/>
        <w:ind w:left="0"/>
      </w:pPr>
      <w:hyperlink w:anchor="bb2bb89087363b6d7282f">
        <w:r>
          <w:rPr>
            <w:rFonts w:ascii="Times New Roman" w:hAnsi="Times New Roman"/>
            <w:sz w:val="22"/>
          </w:rPr>
          <w:t>Appendix C Completion notes</w:t>
        </w:r>
      </w:hyperlink>
      <w:r>
        <w:rPr>
          <w:rFonts w:ascii="Times New Roman" w:hAnsi="Times New Roman" w:cs="Times New Roman" w:eastAsia="Times New Roman"/>
          <w:color w:val="000000"/>
          <w:sz w:val="22"/>
        </w:rPr>
        <w:tab/>
        <w:t>34</w:t>
      </w:r>
    </w:p>
    <w:p>
      <w:pPr>
        <w:tabs>
          <w:tab w:pos="10008" w:val="right" w:leader="dot"/>
        </w:tabs>
        <w:spacing w:line="264" w:lineRule="auto" w:after="80"/>
        <w:ind w:left="0"/>
      </w:pPr>
      <w:hyperlink w:anchor="b5d20d0fee3b91643dd8d">
        <w:r>
          <w:rPr>
            <w:rFonts w:ascii="Times New Roman" w:hAnsi="Times New Roman"/>
            <w:sz w:val="22"/>
          </w:rPr>
          <w:t>References</w:t>
        </w:r>
      </w:hyperlink>
      <w:r>
        <w:rPr>
          <w:rFonts w:ascii="Times New Roman" w:hAnsi="Times New Roman" w:cs="Times New Roman" w:eastAsia="Times New Roman"/>
          <w:color w:val="000000"/>
          <w:sz w:val="22"/>
        </w:rPr>
        <w:tab/>
        <w:t>35</w:t>
      </w:r>
    </w:p>
    <w:p>
      <w:pPr>
        <w:tabs>
          <w:tab w:pos="10008" w:val="right" w:leader="dot"/>
        </w:tabs>
        <w:spacing w:line="264" w:lineRule="auto" w:after="80"/>
        <w:ind w:left="0"/>
      </w:pPr>
      <w:hyperlink w:anchor="b7427cf697be16a4ec1d9">
        <w:r>
          <w:rPr>
            <w:rFonts w:ascii="Times New Roman" w:hAnsi="Times New Roman"/>
            <w:sz w:val="22"/>
          </w:rPr>
          <w:t>Glossary</w:t>
        </w:r>
      </w:hyperlink>
      <w:r>
        <w:rPr>
          <w:rFonts w:ascii="Times New Roman" w:hAnsi="Times New Roman" w:cs="Times New Roman" w:eastAsia="Times New Roman"/>
          <w:color w:val="000000"/>
          <w:sz w:val="22"/>
        </w:rPr>
        <w:tab/>
        <w:t>37</w:t>
      </w:r>
    </w:p>
    <w:p>
      <w:pPr>
        <w:tabs>
          <w:tab w:pos="10008" w:val="right" w:leader="dot"/>
        </w:tabs>
        <w:spacing w:line="264" w:lineRule="auto" w:after="80"/>
        <w:ind w:left="0"/>
      </w:pPr>
      <w:hyperlink w:anchor="b18355efb4ca6855284ba">
        <w:r>
          <w:rPr>
            <w:rFonts w:ascii="Times New Roman" w:hAnsi="Times New Roman"/>
            <w:sz w:val="22"/>
          </w:rPr>
          <w:t>Final report checklist</w:t>
        </w:r>
      </w:hyperlink>
      <w:r>
        <w:rPr>
          <w:rFonts w:ascii="Times New Roman" w:hAnsi="Times New Roman" w:cs="Times New Roman" w:eastAsia="Times New Roman"/>
          <w:color w:val="000000"/>
          <w:sz w:val="22"/>
        </w:rPr>
        <w:tab/>
        <w:t>38</w:t>
      </w:r>
    </w:p>
    <w:p>
      <w:r>
        <w:br w:type="page"/>
      </w:r>
    </w:p>
    <w:p>
      <w:bookmarkStart w:id="5" w:name="b55487caf18e0f44c0a13"/>
      <w:pPr>
        <w:spacing w:line="288" w:lineRule="auto" w:after="280"/>
        <w:jc w:val="center"/>
      </w:pPr>
      <w:r>
        <w:rPr>
          <w:rFonts w:ascii="Times New Roman" w:hAnsi="Times New Roman" w:cs="Times New Roman" w:eastAsia="Times New Roman"/>
          <w:b/>
          <w:color w:val="000000"/>
          <w:sz w:val="28"/>
        </w:rPr>
        <w:t>List of figures and tables</w:t>
      </w:r>
      <w:bookmarkEnd w:id="5"/>
    </w:p>
    <w:p>
      <w:pPr>
        <w:spacing w:line="264" w:lineRule="auto" w:after="140"/>
      </w:pPr>
      <w:r>
        <w:rPr>
          <w:rFonts w:ascii="Times New Roman" w:hAnsi="Times New Roman" w:cs="Times New Roman" w:eastAsia="Times New Roman"/>
          <w:b/>
          <w:color w:val="000000"/>
          <w:sz w:val="24"/>
        </w:rPr>
        <w:t>Figures</w:t>
      </w:r>
    </w:p>
    <w:p>
      <w:pPr>
        <w:tabs>
          <w:tab w:pos="10008" w:val="right" w:leader="dot"/>
        </w:tabs>
        <w:spacing w:line="264" w:lineRule="auto" w:after="80"/>
        <w:ind w:left="0"/>
      </w:pPr>
      <w:hyperlink w:anchor="bae7499dd635460f73d04">
        <w:r>
          <w:rPr>
            <w:rFonts w:ascii="Times New Roman" w:hAnsi="Times New Roman"/>
            <w:sz w:val="22"/>
          </w:rPr>
          <w:t>Figure 3.1 Implemented workflow with the remaining evaluation boundary</w:t>
        </w:r>
      </w:hyperlink>
      <w:r>
        <w:rPr>
          <w:rFonts w:ascii="Times New Roman" w:hAnsi="Times New Roman" w:cs="Times New Roman" w:eastAsia="Times New Roman"/>
          <w:color w:val="000000"/>
          <w:sz w:val="22"/>
        </w:rPr>
        <w:tab/>
        <w:t>7</w:t>
      </w:r>
    </w:p>
    <w:p>
      <w:pPr>
        <w:tabs>
          <w:tab w:pos="10008" w:val="right" w:leader="dot"/>
        </w:tabs>
        <w:spacing w:line="264" w:lineRule="auto" w:after="80"/>
        <w:ind w:left="0"/>
      </w:pPr>
      <w:hyperlink w:anchor="b4447cf44c7e860952fbf">
        <w:r>
          <w:rPr>
            <w:rFonts w:ascii="Times New Roman" w:hAnsi="Times New Roman"/>
            <w:sz w:val="22"/>
          </w:rPr>
          <w:t>Figure 6.1 Matching gate and up rows with down columns during structural pruning</w:t>
        </w:r>
      </w:hyperlink>
      <w:r>
        <w:rPr>
          <w:rFonts w:ascii="Times New Roman" w:hAnsi="Times New Roman" w:cs="Times New Roman" w:eastAsia="Times New Roman"/>
          <w:color w:val="000000"/>
          <w:sz w:val="22"/>
        </w:rPr>
        <w:tab/>
        <w:t>16</w:t>
      </w:r>
    </w:p>
    <w:p>
      <w:pPr>
        <w:spacing w:line="264" w:lineRule="auto" w:after="140"/>
      </w:pPr>
      <w:r>
        <w:rPr>
          <w:rFonts w:ascii="Times New Roman" w:hAnsi="Times New Roman" w:cs="Times New Roman" w:eastAsia="Times New Roman"/>
          <w:b/>
          <w:color w:val="000000"/>
          <w:sz w:val="24"/>
        </w:rPr>
        <w:t>Tables</w:t>
      </w:r>
    </w:p>
    <w:p>
      <w:pPr>
        <w:tabs>
          <w:tab w:pos="10008" w:val="right" w:leader="dot"/>
        </w:tabs>
        <w:spacing w:line="264" w:lineRule="auto" w:after="80"/>
        <w:ind w:left="0"/>
      </w:pPr>
      <w:hyperlink w:anchor="bfd6a7a8bdb3c14e32c1c">
        <w:r>
          <w:rPr>
            <w:rFonts w:ascii="Times New Roman" w:hAnsi="Times New Roman"/>
            <w:sz w:val="22"/>
          </w:rPr>
          <w:t>Table 4.1 Prepared enterprise split distribution</w:t>
        </w:r>
      </w:hyperlink>
      <w:r>
        <w:rPr>
          <w:rFonts w:ascii="Times New Roman" w:hAnsi="Times New Roman" w:cs="Times New Roman" w:eastAsia="Times New Roman"/>
          <w:color w:val="000000"/>
          <w:sz w:val="22"/>
        </w:rPr>
        <w:tab/>
        <w:t>11</w:t>
      </w:r>
    </w:p>
    <w:p>
      <w:pPr>
        <w:tabs>
          <w:tab w:pos="10008" w:val="right" w:leader="dot"/>
        </w:tabs>
        <w:spacing w:line="264" w:lineRule="auto" w:after="80"/>
        <w:ind w:left="0"/>
      </w:pPr>
      <w:hyperlink w:anchor="b4fc90391cd3a4a501095">
        <w:r>
          <w:rPr>
            <w:rFonts w:ascii="Times New Roman" w:hAnsi="Times New Roman"/>
            <w:sz w:val="22"/>
          </w:rPr>
          <w:t>Table 4.2 Canonical conversational record fields</w:t>
        </w:r>
      </w:hyperlink>
      <w:r>
        <w:rPr>
          <w:rFonts w:ascii="Times New Roman" w:hAnsi="Times New Roman" w:cs="Times New Roman" w:eastAsia="Times New Roman"/>
          <w:color w:val="000000"/>
          <w:sz w:val="22"/>
        </w:rPr>
        <w:tab/>
        <w:t>12</w:t>
      </w:r>
    </w:p>
    <w:p>
      <w:pPr>
        <w:tabs>
          <w:tab w:pos="10008" w:val="right" w:leader="dot"/>
        </w:tabs>
        <w:spacing w:line="264" w:lineRule="auto" w:after="80"/>
        <w:ind w:left="0"/>
      </w:pPr>
      <w:hyperlink w:anchor="b8d7f0b9c156e2328808d">
        <w:r>
          <w:rPr>
            <w:rFonts w:ascii="Times New Roman" w:hAnsi="Times New Roman"/>
            <w:sz w:val="22"/>
          </w:rPr>
          <w:t>Table 5.1 Larger OpenCodeInstruct selection reported from RunPod</w:t>
        </w:r>
      </w:hyperlink>
      <w:r>
        <w:rPr>
          <w:rFonts w:ascii="Times New Roman" w:hAnsi="Times New Roman" w:cs="Times New Roman" w:eastAsia="Times New Roman"/>
          <w:color w:val="000000"/>
          <w:sz w:val="22"/>
        </w:rPr>
        <w:tab/>
        <w:t>14</w:t>
      </w:r>
    </w:p>
    <w:p>
      <w:pPr>
        <w:tabs>
          <w:tab w:pos="10008" w:val="right" w:leader="dot"/>
        </w:tabs>
        <w:spacing w:line="264" w:lineRule="auto" w:after="80"/>
        <w:ind w:left="0"/>
      </w:pPr>
      <w:hyperlink w:anchor="b1c26fec9b273af6e941a">
        <w:r>
          <w:rPr>
            <w:rFonts w:ascii="Times New Roman" w:hAnsi="Times New Roman"/>
            <w:sz w:val="22"/>
          </w:rPr>
          <w:t>Table 5.2 Configured exposure for the larger training run</w:t>
        </w:r>
      </w:hyperlink>
      <w:r>
        <w:rPr>
          <w:rFonts w:ascii="Times New Roman" w:hAnsi="Times New Roman" w:cs="Times New Roman" w:eastAsia="Times New Roman"/>
          <w:color w:val="000000"/>
          <w:sz w:val="22"/>
        </w:rPr>
        <w:tab/>
        <w:t>15</w:t>
      </w:r>
    </w:p>
    <w:p>
      <w:pPr>
        <w:tabs>
          <w:tab w:pos="10008" w:val="right" w:leader="dot"/>
        </w:tabs>
        <w:spacing w:line="264" w:lineRule="auto" w:after="80"/>
        <w:ind w:left="0"/>
      </w:pPr>
      <w:hyperlink w:anchor="bc85ecff874fd1baf17ea">
        <w:r>
          <w:rPr>
            <w:rFonts w:ascii="Times New Roman" w:hAnsi="Times New Roman"/>
            <w:sz w:val="22"/>
          </w:rPr>
          <w:t>Table 6.1 Recorded smoke and configured larger-run settings</w:t>
        </w:r>
      </w:hyperlink>
      <w:r>
        <w:rPr>
          <w:rFonts w:ascii="Times New Roman" w:hAnsi="Times New Roman" w:cs="Times New Roman" w:eastAsia="Times New Roman"/>
          <w:color w:val="000000"/>
          <w:sz w:val="22"/>
        </w:rPr>
        <w:tab/>
        <w:t>18</w:t>
      </w:r>
    </w:p>
    <w:p>
      <w:pPr>
        <w:tabs>
          <w:tab w:pos="10008" w:val="right" w:leader="dot"/>
        </w:tabs>
        <w:spacing w:line="264" w:lineRule="auto" w:after="80"/>
        <w:ind w:left="0"/>
      </w:pPr>
      <w:hyperlink w:anchor="bae65e6e672fd4228460c">
        <w:r>
          <w:rPr>
            <w:rFonts w:ascii="Times New Roman" w:hAnsi="Times New Roman"/>
            <w:sz w:val="22"/>
          </w:rPr>
          <w:t>Table 7.1 Completed 14B smoke export reported from RunPod</w:t>
        </w:r>
      </w:hyperlink>
      <w:r>
        <w:rPr>
          <w:rFonts w:ascii="Times New Roman" w:hAnsi="Times New Roman" w:cs="Times New Roman" w:eastAsia="Times New Roman"/>
          <w:color w:val="000000"/>
          <w:sz w:val="22"/>
        </w:rPr>
        <w:tab/>
        <w:t>21</w:t>
      </w:r>
    </w:p>
    <w:p>
      <w:pPr>
        <w:tabs>
          <w:tab w:pos="10008" w:val="right" w:leader="dot"/>
        </w:tabs>
        <w:spacing w:line="264" w:lineRule="auto" w:after="80"/>
        <w:ind w:left="0"/>
      </w:pPr>
      <w:hyperlink w:anchor="be2bd5aa2f27562d38746">
        <w:r>
          <w:rPr>
            <w:rFonts w:ascii="Times New Roman" w:hAnsi="Times New Roman"/>
            <w:sz w:val="22"/>
          </w:rPr>
          <w:t>Table 8.1 Evaluation results to complete</w:t>
        </w:r>
      </w:hyperlink>
      <w:r>
        <w:rPr>
          <w:rFonts w:ascii="Times New Roman" w:hAnsi="Times New Roman" w:cs="Times New Roman" w:eastAsia="Times New Roman"/>
          <w:color w:val="000000"/>
          <w:sz w:val="22"/>
        </w:rPr>
        <w:tab/>
        <w:t>24</w:t>
      </w:r>
    </w:p>
    <w:p>
      <w:pPr>
        <w:tabs>
          <w:tab w:pos="10008" w:val="right" w:leader="dot"/>
        </w:tabs>
        <w:spacing w:line="264" w:lineRule="auto" w:after="80"/>
        <w:ind w:left="0"/>
      </w:pPr>
      <w:hyperlink w:anchor="b1c34369f75011b9f9aa7">
        <w:r>
          <w:rPr>
            <w:rFonts w:ascii="Times New Roman" w:hAnsi="Times New Roman"/>
            <w:sz w:val="22"/>
          </w:rPr>
          <w:t>Table A.1 Evidence register and limits</w:t>
        </w:r>
      </w:hyperlink>
      <w:r>
        <w:rPr>
          <w:rFonts w:ascii="Times New Roman" w:hAnsi="Times New Roman" w:cs="Times New Roman" w:eastAsia="Times New Roman"/>
          <w:color w:val="000000"/>
          <w:sz w:val="22"/>
        </w:rPr>
        <w:tab/>
        <w:t>30</w:t>
      </w:r>
    </w:p>
    <w:p>
      <w:pPr>
        <w:tabs>
          <w:tab w:pos="10008" w:val="right" w:leader="dot"/>
        </w:tabs>
        <w:spacing w:line="264" w:lineRule="auto" w:after="80"/>
        <w:ind w:left="0"/>
      </w:pPr>
      <w:hyperlink w:anchor="b90e6bcbc5fa5751e0d8a">
        <w:r>
          <w:rPr>
            <w:rFonts w:ascii="Times New Roman" w:hAnsi="Times New Roman"/>
            <w:sz w:val="22"/>
          </w:rPr>
          <w:t>Table A.2 Immutable pins available in the local evidence</w:t>
        </w:r>
      </w:hyperlink>
      <w:r>
        <w:rPr>
          <w:rFonts w:ascii="Times New Roman" w:hAnsi="Times New Roman" w:cs="Times New Roman" w:eastAsia="Times New Roman"/>
          <w:color w:val="000000"/>
          <w:sz w:val="22"/>
        </w:rPr>
        <w:tab/>
        <w:t>30</w:t>
      </w:r>
    </w:p>
    <w:p>
      <w:pPr>
        <w:tabs>
          <w:tab w:pos="10008" w:val="right" w:leader="dot"/>
        </w:tabs>
        <w:spacing w:line="264" w:lineRule="auto" w:after="80"/>
        <w:ind w:left="0"/>
      </w:pPr>
      <w:hyperlink w:anchor="b8614d2710df0beb05cc7">
        <w:r>
          <w:rPr>
            <w:rFonts w:ascii="Times New Roman" w:hAnsi="Times New Roman"/>
            <w:sz w:val="22"/>
          </w:rPr>
          <w:t>Table B.1 Recorded implementation environment</w:t>
        </w:r>
      </w:hyperlink>
      <w:r>
        <w:rPr>
          <w:rFonts w:ascii="Times New Roman" w:hAnsi="Times New Roman" w:cs="Times New Roman" w:eastAsia="Times New Roman"/>
          <w:color w:val="000000"/>
          <w:sz w:val="22"/>
        </w:rPr>
        <w:tab/>
        <w:t>32</w:t>
      </w:r>
    </w:p>
    <w:p>
      <w:pPr>
        <w:tabs>
          <w:tab w:pos="10008" w:val="right" w:leader="dot"/>
        </w:tabs>
        <w:spacing w:line="264" w:lineRule="auto" w:after="80"/>
        <w:ind w:left="0"/>
      </w:pPr>
      <w:hyperlink w:anchor="ba9a0b30c29dd6e0fc472">
        <w:r>
          <w:rPr>
            <w:rFonts w:ascii="Times New Roman" w:hAnsi="Times New Roman"/>
            <w:sz w:val="22"/>
          </w:rPr>
          <w:t>Table C.1 Outstanding work before final submission</w:t>
        </w:r>
      </w:hyperlink>
      <w:r>
        <w:rPr>
          <w:rFonts w:ascii="Times New Roman" w:hAnsi="Times New Roman" w:cs="Times New Roman" w:eastAsia="Times New Roman"/>
          <w:color w:val="000000"/>
          <w:sz w:val="22"/>
        </w:rPr>
        <w:tab/>
        <w:t>34</w:t>
      </w:r>
    </w:p>
    <w:p>
      <w:r>
        <w:br w:type="page"/>
      </w:r>
    </w:p>
    <w:p>
      <w:bookmarkStart w:id="6" w:name="ba90aba13b6feb8ff1a51"/>
      <w:pPr>
        <w:spacing w:line="288" w:lineRule="auto" w:after="280"/>
        <w:jc w:val="center"/>
      </w:pPr>
      <w:r>
        <w:rPr>
          <w:rFonts w:ascii="Times New Roman" w:hAnsi="Times New Roman" w:cs="Times New Roman" w:eastAsia="Times New Roman"/>
          <w:b/>
          <w:color w:val="000000"/>
          <w:sz w:val="28"/>
        </w:rPr>
        <w:t>Abbreviations</w:t>
      </w:r>
      <w:bookmarkEnd w:id="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2"/>
              </w:rPr>
              <w:t>Abbreviation</w:t>
            </w:r>
          </w:p>
        </w:tc>
        <w:tc>
          <w:tcPr>
            <w:tcW w:type="dxa" w:w="8208"/>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2"/>
              </w:rPr>
              <w:t>Expansion</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AST</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Abstract syntax tree</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BF16</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Brain floating point, 16-bit representation</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CLI</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Command-line interface</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CUDA</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Compute Unified Device Architecture</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GPU</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Graphics processing unit</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HR</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Human resources</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JSONL</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JavaScript Object Notation Lines</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LLM</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Large language model</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LoRA</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Low-Rank Adaptation</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MLP</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Multilayer perceptron</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NF4</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NormalFloat 4-bit</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PEFT</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Parameter-Efficient Fine-Tuning</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QLoRA</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Quantized Low-Rank Adaptation</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RNG</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Random number generator</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SFT</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Supervised fine-tuning</w:t>
            </w:r>
          </w:p>
        </w:tc>
      </w:tr>
      <w:tr>
        <w:trPr>
          <w:cantSplit/>
        </w:trPr>
        <w:tc>
          <w:tcPr>
            <w:tcW w:type="dxa" w:w="187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VRAM</w:t>
            </w:r>
          </w:p>
        </w:tc>
        <w:tc>
          <w:tcPr>
            <w:tcW w:type="dxa" w:w="820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2"/>
              </w:rPr>
              <w:t>Video random-access memory</w:t>
            </w:r>
          </w:p>
        </w:tc>
      </w:tr>
    </w:tbl>
    <w:p>
      <w:pPr>
        <w:keepNext/>
        <w:spacing w:line="240" w:lineRule="auto" w:after="60"/>
      </w:pPr>
      <w:r>
        <w:rPr>
          <w:rFonts w:ascii="Times New Roman" w:hAnsi="Times New Roman" w:cs="Times New Roman" w:eastAsia="Times New Roman"/>
          <w:b w:val="0"/>
          <w:color w:val="000000"/>
        </w:rPr>
      </w:r>
    </w:p>
    <w:p>
      <w:pPr>
        <w:sectPr>
          <w:footerReference w:type="default" r:id="rId10"/>
          <w:pgSz w:w="12960" w:h="15840"/>
          <w:pgMar w:top="1440" w:right="1440" w:bottom="1440" w:left="1440" w:header="648" w:footer="648" w:gutter="0"/>
          <w:cols w:space="720"/>
          <w:docGrid w:linePitch="360"/>
          <w:pgNumType w:fmt="lowerRoman" w:start="1"/>
        </w:sectPr>
      </w:pPr>
    </w:p>
    <w:p>
      <w:bookmarkStart w:id="7" w:name="b327bb53386a1405d3da0"/>
      <w:pPr>
        <w:pStyle w:val="Heading1"/>
        <w:keepNext/>
        <w:pageBreakBefore w:val="0"/>
      </w:pPr>
      <w:r>
        <w:rPr>
          <w:rFonts w:ascii="Times New Roman" w:hAnsi="Times New Roman" w:cs="Times New Roman" w:eastAsia="Times New Roman"/>
          <w:b/>
          <w:color w:val="000000"/>
          <w:sz w:val="28"/>
        </w:rPr>
        <w:t>1 Introduction</w:t>
      </w:r>
      <w:bookmarkEnd w:id="7"/>
    </w:p>
    <w:p>
      <w:bookmarkStart w:id="8" w:name="b14583f67282336d0f246"/>
      <w:pPr>
        <w:pStyle w:val="Heading2"/>
        <w:keepNext/>
      </w:pPr>
      <w:r>
        <w:rPr>
          <w:rFonts w:ascii="Times New Roman" w:hAnsi="Times New Roman" w:cs="Times New Roman" w:eastAsia="Times New Roman"/>
          <w:b/>
          <w:color w:val="000000"/>
          <w:sz w:val="24"/>
        </w:rPr>
        <w:t>1.1 Problem and purpose</w:t>
      </w:r>
      <w:bookmarkEnd w:id="8"/>
    </w:p>
    <w:p>
      <w:r>
        <w:rPr>
          <w:rFonts w:ascii="Times New Roman" w:hAnsi="Times New Roman" w:cs="Times New Roman" w:eastAsia="Times New Roman"/>
          <w:b w:val="0"/>
          <w:color w:val="000000"/>
        </w:rPr>
        <w:t>A software engineering team needs an assistant that can produce useful code while answering a limited set of questions about its own operating rules. Public coding datasets can support programming adaptation, but they do not describe an organisation's approval conditions, exceptions or internal terminology. Corporate documents supply that context in formats that are difficult to use directly for supervised training. Repository code presents a second difficulty: a function's behaviour often depends on imports, surrounding declarations and tests outside the function itself.</w:t>
      </w:r>
    </w:p>
    <w:p>
      <w:r>
        <w:rPr>
          <w:rFonts w:ascii="Times New Roman" w:hAnsi="Times New Roman" w:cs="Times New Roman" w:eastAsia="Times New Roman"/>
          <w:b w:val="0"/>
          <w:color w:val="000000"/>
        </w:rPr>
        <w:t>This project develops a Python framework that prepares these sources for Qwen3-14B and runs a bounded compression and adaptation experiment. The immediate research priority is improvement on coding tasks, supported by NVIDIA OpenCodeInstruct, together with evidence that a smaller corporate dataset can be included and learned. Parameter reduction and 4-bit export are engineering objectives whose effect on quality must be measured. The model family and its thinking and non-thinking modes are described in the Qwen3 technical report [1].</w:t>
      </w:r>
    </w:p>
    <w:p>
      <w:r>
        <w:rPr>
          <w:rFonts w:ascii="Times New Roman" w:hAnsi="Times New Roman" w:cs="Times New Roman" w:eastAsia="Times New Roman"/>
          <w:b w:val="0"/>
          <w:color w:val="000000"/>
        </w:rPr>
        <w:t>The dissertation retains the approved title, Bridging the Chasm: A Tri-Phase Framework for Enterprise AI (Corporate Data Transformation, Tuning for Compliance, and Robustness Auditing). Its three phases are data transformation, model adaptation and compression, and subsequent evaluation and robustness auditing. The implementation now reaches a technically verified 14B export in a short experiment. The larger coding-focused run and the final assessment are separate pieces of evidence.</w:t>
      </w:r>
    </w:p>
    <w:p>
      <w:bookmarkStart w:id="9" w:name="b177398707ad070d1348b"/>
      <w:pPr>
        <w:pStyle w:val="Heading2"/>
        <w:keepNext/>
      </w:pPr>
      <w:r>
        <w:rPr>
          <w:rFonts w:ascii="Times New Roman" w:hAnsi="Times New Roman" w:cs="Times New Roman" w:eastAsia="Times New Roman"/>
          <w:b/>
          <w:color w:val="000000"/>
          <w:sz w:val="24"/>
        </w:rPr>
        <w:t>1.2 Research questions and scope</w:t>
      </w:r>
      <w:bookmarkEnd w:id="9"/>
    </w:p>
    <w:p>
      <w:r>
        <w:rPr>
          <w:rFonts w:ascii="Times New Roman" w:hAnsi="Times New Roman" w:cs="Times New Roman" w:eastAsia="Times New Roman"/>
          <w:b w:val="0"/>
          <w:color w:val="000000"/>
        </w:rPr>
        <w:t>The work asks whether heterogeneous policy and repository material can be converted into traceable conversational records; whether those records can be combined with a reproducible external coding selection; and whether a structurally smaller, adapted, quantized model can improve coding performance while retaining useful answers about the organisation. The first two questions have implementation and integration evidence. The learning and robustness questions remain open until independent evaluation is completed.</w:t>
      </w:r>
    </w:p>
    <w:p>
      <w:r>
        <w:rPr>
          <w:rFonts w:ascii="Times New Roman" w:hAnsi="Times New Roman" w:cs="Times New Roman" w:eastAsia="Times New Roman"/>
          <w:b w:val="0"/>
          <w:color w:val="000000"/>
        </w:rPr>
        <w:t>The source collection contains ten synthetic policy PDFs and two supplied repository archives. The implemented data paths also support Markdown and text. The training target is the dense Qwen3-14B model. Linux with one NVIDIA CUDA device is the execution environment for pruning, recovery training and export. A cloud GPU was used for the observed experiment. Model training from scratch, legal compliance certification and enterprise-wide production deployment are outside the current scope.</w:t>
      </w:r>
    </w:p>
    <w:p>
      <w:bookmarkStart w:id="10" w:name="bf9cac039401e4c6a19ce"/>
      <w:pPr>
        <w:pStyle w:val="Heading2"/>
        <w:keepNext/>
      </w:pPr>
      <w:r>
        <w:rPr>
          <w:rFonts w:ascii="Times New Roman" w:hAnsi="Times New Roman" w:cs="Times New Roman" w:eastAsia="Times New Roman"/>
          <w:b/>
          <w:color w:val="000000"/>
          <w:sz w:val="24"/>
        </w:rPr>
        <w:t>1.3 Contribution and evidence boundary</w:t>
      </w:r>
      <w:bookmarkEnd w:id="10"/>
    </w:p>
    <w:p>
      <w:r>
        <w:rPr>
          <w:rFonts w:ascii="Times New Roman" w:hAnsi="Times New Roman" w:cs="Times New Roman" w:eastAsia="Times New Roman"/>
          <w:b w:val="0"/>
          <w:color w:val="000000"/>
        </w:rPr>
        <w:t>The current contribution is an application framework with source-aware data preparation, inherited verification labels, immutable source selection, guarded training inputs and resumable model stages. Technical success means the stated stages ran and their artifacts could be checked. It does not establish improved code correctness, reliable policy compliance or resistance to attacks. Chapter 7 separates completed runs from an unfinished larger run. Chapter 8 records the measurements still required. Report organisation and presentation follow the supplied institutional guidelines [2] and final-report checklist [3].</w:t>
      </w:r>
    </w:p>
    <w:p>
      <w:bookmarkStart w:id="11" w:name="b6b432fde20c54a75aeca"/>
      <w:pPr>
        <w:pStyle w:val="Heading1"/>
        <w:keepNext/>
        <w:pageBreakBefore/>
      </w:pPr>
      <w:r>
        <w:rPr>
          <w:rFonts w:ascii="Times New Roman" w:hAnsi="Times New Roman" w:cs="Times New Roman" w:eastAsia="Times New Roman"/>
          <w:b/>
          <w:color w:val="000000"/>
          <w:sz w:val="28"/>
        </w:rPr>
        <w:t>2 Related work and research scope</w:t>
      </w:r>
      <w:bookmarkEnd w:id="11"/>
    </w:p>
    <w:p>
      <w:bookmarkStart w:id="12" w:name="b011f00111f3b59711824"/>
      <w:pPr>
        <w:pStyle w:val="Heading2"/>
        <w:keepNext/>
      </w:pPr>
      <w:r>
        <w:rPr>
          <w:rFonts w:ascii="Times New Roman" w:hAnsi="Times New Roman" w:cs="Times New Roman" w:eastAsia="Times New Roman"/>
          <w:b/>
          <w:color w:val="000000"/>
          <w:sz w:val="24"/>
        </w:rPr>
        <w:t>2.1 Enterprise adaptation and the research gap</w:t>
      </w:r>
      <w:bookmarkEnd w:id="12"/>
    </w:p>
    <w:p>
      <w:r>
        <w:rPr>
          <w:rFonts w:ascii="Times New Roman" w:hAnsi="Times New Roman" w:cs="Times New Roman" w:eastAsia="Times New Roman"/>
          <w:b w:val="0"/>
          <w:color w:val="000000"/>
        </w:rPr>
        <w:t>The project addresses two connected requirements: programming assistance and answers about a limited set of corporate rules. A public coding dataset supplies examples of programming tasks, while corporate documents and repository sources provide organisation-specific material. Their different origins require explicit source metadata, compatible conversation records and separate evidence about correctness.</w:t>
      </w:r>
    </w:p>
    <w:p>
      <w:r>
        <w:rPr>
          <w:rFonts w:ascii="Times New Roman" w:hAnsi="Times New Roman" w:cs="Times New Roman" w:eastAsia="Times New Roman"/>
          <w:b w:val="0"/>
          <w:color w:val="000000"/>
        </w:rPr>
        <w:t>The research questions concern whether these inputs can be prepared reproducibly, whether limited structural reduction can be followed by recovery training and a reloadable 4-bit export, and how the resulting model performs against the original Qwen3-14B. The current implementation provides processing and execution evidence. Independent coding and policy measurements are still required to answer the performance questions.</w:t>
      </w:r>
    </w:p>
    <w:p>
      <w:r>
        <w:rPr>
          <w:rFonts w:ascii="Times New Roman" w:hAnsi="Times New Roman" w:cs="Times New Roman" w:eastAsia="Times New Roman"/>
          <w:b w:val="0"/>
          <w:color w:val="000000"/>
        </w:rPr>
        <w:t>The literature below supports the choice of instruction data, adaptation methods and evaluation criteria. Published outcomes are attributed to their original studies; their transfer to this project's data and model remains an experimental question.</w:t>
      </w:r>
    </w:p>
    <w:p>
      <w:bookmarkStart w:id="13" w:name="b1fc17dd6782772c6b1c0"/>
      <w:pPr>
        <w:pStyle w:val="Heading2"/>
        <w:keepNext/>
      </w:pPr>
      <w:r>
        <w:rPr>
          <w:rFonts w:ascii="Times New Roman" w:hAnsi="Times New Roman" w:cs="Times New Roman" w:eastAsia="Times New Roman"/>
          <w:b/>
          <w:color w:val="000000"/>
          <w:sz w:val="24"/>
        </w:rPr>
        <w:t>2.2 Coding instruction data and functional evaluation</w:t>
      </w:r>
      <w:bookmarkEnd w:id="13"/>
    </w:p>
    <w:p>
      <w:r>
        <w:rPr>
          <w:rFonts w:ascii="Times New Roman" w:hAnsi="Times New Roman" w:cs="Times New Roman" w:eastAsia="Times New Roman"/>
          <w:b w:val="0"/>
          <w:color w:val="000000"/>
        </w:rPr>
        <w:t>OpenCodeInstruct contains programming instructions, solutions, tests and recorded assessment fields. Its technical report describes dataset construction and coding evaluations across several model families [4]. These results support investigating the dataset as a training source. They do not establish that every accepted row is correct or that the current Qwen experiment will improve. Externally supplied test results remain externally reported evidence in this framework.</w:t>
      </w:r>
    </w:p>
    <w:p>
      <w:r>
        <w:rPr>
          <w:rFonts w:ascii="Times New Roman" w:hAnsi="Times New Roman" w:cs="Times New Roman" w:eastAsia="Times New Roman"/>
          <w:b w:val="0"/>
          <w:color w:val="000000"/>
        </w:rPr>
        <w:t>Nemotron-Cascade-2-SFT-Data contains several domains. The configuration used in the initial integration was chat, while OpenCodeInstruct supplied specialised coding examples [5]. The larger experiment selects OpenCodeInstruct alone as its external source so that the programming-data contribution is easier to describe. General chat records are not relabelled as coding records.</w:t>
      </w:r>
    </w:p>
    <w:p>
      <w:r>
        <w:rPr>
          <w:rFonts w:ascii="Times New Roman" w:hAnsi="Times New Roman" w:cs="Times New Roman" w:eastAsia="Times New Roman"/>
          <w:b w:val="0"/>
          <w:color w:val="000000"/>
        </w:rPr>
        <w:t>HumanEval measures functional code generation through executable tests [6]. MBPP provides another source of short programming tasks and tests [7]. They offer candidate evaluation methods, subject to contamination checks and fixed test selection. Text similarity or a plausible explanation cannot substitute for correct execution.</w:t>
      </w:r>
    </w:p>
    <w:p>
      <w:bookmarkStart w:id="14" w:name="b31971ef7cd716cdba668"/>
      <w:pPr>
        <w:pStyle w:val="Heading2"/>
        <w:keepNext/>
      </w:pPr>
      <w:r>
        <w:rPr>
          <w:rFonts w:ascii="Times New Roman" w:hAnsi="Times New Roman" w:cs="Times New Roman" w:eastAsia="Times New Roman"/>
          <w:b/>
          <w:color w:val="000000"/>
          <w:sz w:val="24"/>
        </w:rPr>
        <w:t>2.3 Adaptation and model compression</w:t>
      </w:r>
      <w:bookmarkEnd w:id="14"/>
    </w:p>
    <w:p>
      <w:r>
        <w:rPr>
          <w:rFonts w:ascii="Times New Roman" w:hAnsi="Times New Roman" w:cs="Times New Roman" w:eastAsia="Times New Roman"/>
          <w:b w:val="0"/>
          <w:color w:val="000000"/>
        </w:rPr>
        <w:t>LoRA freezes base weights and learns low-rank updates, reducing the parameters that need gradient and optimizer state [8]. QLoRA combines low-rank adaptation with a quantized training base [9]. Neither method by itself removes the base model's structural dimensions. The present implementation uses BF16 LoRA after physical MLP channel removal, then creates a separate NF4 export.</w:t>
      </w:r>
    </w:p>
    <w:p>
      <w:r>
        <w:rPr>
          <w:rFonts w:ascii="Times New Roman" w:hAnsi="Times New Roman" w:cs="Times New Roman" w:eastAsia="Times New Roman"/>
          <w:b w:val="0"/>
          <w:color w:val="000000"/>
        </w:rPr>
        <w:t>Research on compact language models combines structural pruning with recovery training and knowledge distillation [10]. Those methods can reduce model size, but their data budgets and measured quality do not transfer automatically to this experiment. Here the pruning method is deliberately narrow: it changes gated-MLP intermediate channels and preserves attention and residual dimensions. Teacher distillation has not been implemented.</w:t>
      </w:r>
    </w:p>
    <w:p>
      <w:r>
        <w:rPr>
          <w:rFonts w:ascii="Times New Roman" w:hAnsi="Times New Roman" w:cs="Times New Roman" w:eastAsia="Times New Roman"/>
          <w:b w:val="0"/>
          <w:color w:val="000000"/>
        </w:rPr>
        <w:t>Bitsandbytes supplies 4-bit linear layers integrated with Transformers [11]. Quantization reduces representation precision; pruning reduces selected dimensions. Their effects on disk size, active memory and latency must be reported separately. Some tensors remain at higher precision even in a nominal 4-bit checkpoint.</w:t>
      </w:r>
    </w:p>
    <w:p>
      <w:bookmarkStart w:id="15" w:name="bee170e8c9049463e0259"/>
      <w:pPr>
        <w:pStyle w:val="Heading2"/>
        <w:keepNext/>
      </w:pPr>
      <w:r>
        <w:rPr>
          <w:rFonts w:ascii="Times New Roman" w:hAnsi="Times New Roman" w:cs="Times New Roman" w:eastAsia="Times New Roman"/>
          <w:b/>
          <w:color w:val="000000"/>
          <w:sz w:val="24"/>
        </w:rPr>
        <w:t>2.4 Enterprise rules and robustness</w:t>
      </w:r>
      <w:bookmarkEnd w:id="15"/>
    </w:p>
    <w:p>
      <w:r>
        <w:rPr>
          <w:rFonts w:ascii="Times New Roman" w:hAnsi="Times New Roman" w:cs="Times New Roman" w:eastAsia="Times New Roman"/>
          <w:b w:val="0"/>
          <w:color w:val="000000"/>
        </w:rPr>
        <w:t>Policy answers require conditions and exceptions as well as a rule's main clause. A response that omits an approval exception can be wrong despite containing an exact quotation. The data workflow therefore combines source identity and passage checks with a separate model-assisted review. Because the reviewer shares the configured model, correlated errors remain a limitation.</w:t>
      </w:r>
    </w:p>
    <w:p>
      <w:r>
        <w:rPr>
          <w:rFonts w:ascii="Times New Roman" w:hAnsi="Times New Roman" w:cs="Times New Roman" w:eastAsia="Times New Roman"/>
          <w:b w:val="0"/>
          <w:color w:val="000000"/>
        </w:rPr>
        <w:t>Indirect prompt injection research shows that retrieved or supplied text can influence an LLM in unintended ways [12]. OWASP's LLM application risks provide a useful organising vocabulary for later security tests [13]. These references motivate a test plan; they do not certify the current model. The proposed robustness audit remains incomplete.</w:t>
      </w:r>
    </w:p>
    <w:p>
      <w:bookmarkStart w:id="16" w:name="b881f7c756adf1abb6696"/>
      <w:pPr>
        <w:pStyle w:val="Heading1"/>
        <w:keepNext/>
        <w:pageBreakBefore/>
      </w:pPr>
      <w:r>
        <w:rPr>
          <w:rFonts w:ascii="Times New Roman" w:hAnsi="Times New Roman" w:cs="Times New Roman" w:eastAsia="Times New Roman"/>
          <w:b/>
          <w:color w:val="000000"/>
          <w:sz w:val="28"/>
        </w:rPr>
        <w:t>3 Research method and system architecture</w:t>
      </w:r>
      <w:bookmarkEnd w:id="16"/>
    </w:p>
    <w:p>
      <w:bookmarkStart w:id="17" w:name="bce626d0f06e152701509"/>
      <w:pPr>
        <w:pStyle w:val="Heading2"/>
        <w:keepNext/>
      </w:pPr>
      <w:r>
        <w:rPr>
          <w:rFonts w:ascii="Times New Roman" w:hAnsi="Times New Roman" w:cs="Times New Roman" w:eastAsia="Times New Roman"/>
          <w:b/>
          <w:color w:val="000000"/>
          <w:sz w:val="24"/>
        </w:rPr>
        <w:t>3.1 Development method</w:t>
      </w:r>
      <w:bookmarkEnd w:id="17"/>
    </w:p>
    <w:p>
      <w:r>
        <w:rPr>
          <w:rFonts w:ascii="Times New Roman" w:hAnsi="Times New Roman" w:cs="Times New Roman" w:eastAsia="Times New Roman"/>
          <w:b w:val="0"/>
          <w:color w:val="000000"/>
        </w:rPr>
        <w:t>The project follows an incremental engineering method. Each data stage has a typed contract, small synthetic tests and separate real integration evidence. Invalid input and interrupted processing remain visible in reports. Existing coding exports can be reused without regenerating expensive examples. Subsequent preparation and transport steps revalidate their contents and preserve the producer's completion status.</w:t>
      </w:r>
    </w:p>
    <w:p>
      <w:r>
        <w:rPr>
          <w:rFonts w:ascii="Times New Roman" w:hAnsi="Times New Roman" w:cs="Times New Roman" w:eastAsia="Times New Roman"/>
          <w:b w:val="0"/>
          <w:color w:val="000000"/>
        </w:rPr>
        <w:t>The Python package uses a src layout managed by uv. Pydantic Settings separates validated configuration from credentials. Typer exposes automation commands, while Rich and Questionary provide an interactive terminal interface. LangChain connects policy and code generation to the configured chat endpoint. LangGraph coordinates the data and model stages [14]. File and SQLite checkpoints provide durable decisions; large documents, conversations and tensors are not placed directly in graph state.</w:t>
      </w:r>
    </w:p>
    <w:p>
      <w:bookmarkStart w:id="18" w:name="b0994f79d495f4f53d57e"/>
      <w:pPr>
        <w:pStyle w:val="Heading2"/>
        <w:keepNext/>
      </w:pPr>
      <w:r>
        <w:rPr>
          <w:rFonts w:ascii="Times New Roman" w:hAnsi="Times New Roman" w:cs="Times New Roman" w:eastAsia="Times New Roman"/>
          <w:b/>
          <w:color w:val="000000"/>
          <w:sz w:val="24"/>
        </w:rPr>
        <w:t>3.2 End-to-end flow</w:t>
      </w:r>
      <w:bookmarkEnd w:id="18"/>
    </w:p>
    <w:p>
      <w:r>
        <w:rPr>
          <w:rFonts w:ascii="Times New Roman" w:hAnsi="Times New Roman" w:cs="Times New Roman" w:eastAsia="Times New Roman"/>
          <w:b w:val="0"/>
          <w:color w:val="000000"/>
        </w:rPr>
        <w:t>Figure 3.1 shows the implemented route. The enterprise branch parses policy documents or repository source, generates candidates and applies source-specific validation. Accepted inputs are combined in a shared schema and prepared into isolated splits. The external branch inspects NVIDIA metadata, selects native records and records approved coordinates. A fresh cross-source gate precedes token caching, calibration, pruning and recovery training.</w:t>
      </w:r>
    </w:p>
    <w:p>
      <w:pPr>
        <w:keepNext/>
        <w:spacing w:before="80" w:after="80" w:line="240" w:lineRule="auto"/>
      </w:pPr>
      <w:r>
        <w:drawing>
          <wp:inline xmlns:a="http://schemas.openxmlformats.org/drawingml/2006/main" xmlns:pic="http://schemas.openxmlformats.org/drawingml/2006/picture">
            <wp:extent cx="6400800" cy="4445000"/>
            <wp:docPr id="1" name="Picture 1" descr="Implemented data preparation and model compression workflow"/>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400800" cy="4445000"/>
                    </a:xfrm>
                    <a:prstGeom prst="rect"/>
                  </pic:spPr>
                </pic:pic>
              </a:graphicData>
            </a:graphic>
          </wp:inline>
        </w:drawing>
      </w:r>
    </w:p>
    <w:p>
      <w:bookmarkStart w:id="19" w:name="bae7499dd635460f73d04"/>
      <w:pPr>
        <w:keepNext w:val="0"/>
        <w:spacing w:line="276" w:lineRule="auto" w:after="120"/>
        <w:jc w:val="center"/>
      </w:pPr>
      <w:r>
        <w:rPr>
          <w:rFonts w:ascii="Times New Roman" w:hAnsi="Times New Roman" w:cs="Times New Roman" w:eastAsia="Times New Roman"/>
          <w:b w:val="0"/>
          <w:color w:val="000000"/>
          <w:sz w:val="22"/>
        </w:rPr>
        <w:t>Figure 3.1 Implemented workflow with the remaining evaluation boundary</w:t>
      </w:r>
      <w:bookmarkEnd w:id="19"/>
    </w:p>
    <w:p>
      <w:r>
        <w:rPr>
          <w:rFonts w:ascii="Times New Roman" w:hAnsi="Times New Roman" w:cs="Times New Roman" w:eastAsia="Times New Roman"/>
          <w:b w:val="0"/>
          <w:color w:val="000000"/>
        </w:rPr>
        <w:t>The current user-facing flow consists of enterprise extraction or import, enterprise validation or restoration, NVIDIA preparation, native-selection validation, and Linux model compression. Earlier pipeline numbers remain compatibility interfaces. Final splitting logic was moved into enterprise preparation, so a separate manual Pipeline 4 invocation is no longer mandatory. The distinction is architectural: working validation algorithms were retained while redundant operator steps were removed.</w:t>
      </w:r>
    </w:p>
    <w:p>
      <w:bookmarkStart w:id="20" w:name="b61e2bed5a87a18e17722"/>
      <w:pPr>
        <w:pStyle w:val="Heading2"/>
        <w:keepNext/>
      </w:pPr>
      <w:r>
        <w:rPr>
          <w:rFonts w:ascii="Times New Roman" w:hAnsi="Times New Roman" w:cs="Times New Roman" w:eastAsia="Times New Roman"/>
          <w:b/>
          <w:color w:val="000000"/>
          <w:sz w:val="24"/>
        </w:rPr>
        <w:t>3.3 Traceability and recovery</w:t>
      </w:r>
      <w:bookmarkEnd w:id="20"/>
    </w:p>
    <w:p>
      <w:r>
        <w:rPr>
          <w:rFonts w:ascii="Times New Roman" w:hAnsi="Times New Roman" w:cs="Times New Roman" w:eastAsia="Times New Roman"/>
          <w:b w:val="0"/>
          <w:color w:val="000000"/>
        </w:rPr>
        <w:t>Records retain document or repository references and original source hashes. Remote sources carry dataset, configuration, split and revision information. Run fingerprints bind the relevant inputs, settings, implementation and dependency versions. File checksums and recorded counts provide a way to detect mutation rather than trusting a folder name.</w:t>
      </w:r>
    </w:p>
    <w:p>
      <w:r>
        <w:rPr>
          <w:rFonts w:ascii="Times New Roman" w:hAnsi="Times New Roman" w:cs="Times New Roman" w:eastAsia="Times New Roman"/>
          <w:b w:val="0"/>
          <w:color w:val="000000"/>
        </w:rPr>
        <w:t>Writes are committed at explicit boundaries. A failed run can contain useful accepted records, but its producer status remains failed or incomplete. Reuse of its validated subset requires explicit consent. Resume reuses completed work when the fingerprint matches; a change that affects interpretation selects a new run or is refused. Atomic file writes do not make every directory update a single transaction, so consumers also check final reports and hashes.</w:t>
      </w:r>
    </w:p>
    <w:p>
      <w:bookmarkStart w:id="21" w:name="b561efc9573304cbba6fb"/>
      <w:pPr>
        <w:pStyle w:val="Heading2"/>
        <w:keepNext/>
      </w:pPr>
      <w:r>
        <w:rPr>
          <w:rFonts w:ascii="Times New Roman" w:hAnsi="Times New Roman" w:cs="Times New Roman" w:eastAsia="Times New Roman"/>
          <w:b/>
          <w:color w:val="000000"/>
          <w:sz w:val="24"/>
        </w:rPr>
        <w:t>3.4 Confidentiality and reproducibility</w:t>
      </w:r>
      <w:bookmarkEnd w:id="21"/>
    </w:p>
    <w:p>
      <w:r>
        <w:rPr>
          <w:rFonts w:ascii="Times New Roman" w:hAnsi="Times New Roman" w:cs="Times New Roman" w:eastAsia="Times New Roman"/>
          <w:b w:val="0"/>
          <w:color w:val="000000"/>
        </w:rPr>
        <w:t>Credentials remain outside exported records and source control. Publication uploads an allowlist of accepted data, split files, a card and a manifest to a private Hub repository. Restoration checks hashes, schemas and split membership. A private repository still involves external storage. Likewise, a configured generation endpoint may be remote, and the recorded GPU experiment ran on RunPod. The present evidence supports explicit credential handling and artifact checks, not a guarantee of fully offline or on-premise execution.</w:t>
      </w:r>
    </w:p>
    <w:p>
      <w:r>
        <w:rPr>
          <w:rFonts w:ascii="Times New Roman" w:hAnsi="Times New Roman" w:cs="Times New Roman" w:eastAsia="Times New Roman"/>
          <w:b w:val="0"/>
          <w:color w:val="000000"/>
        </w:rPr>
        <w:t>The source documents are synthetic and the repositories are supplied archives. Release rights must be reviewed before redistributing their contents. The final application should keep executable code tests isolated and should not expose credentials or host services to generated code. These controls reduce specific risks; they do not establish universal secrecy or sandbox security.</w:t>
      </w:r>
    </w:p>
    <w:p>
      <w:bookmarkStart w:id="22" w:name="b374b18c7166fbb8e72f5"/>
      <w:pPr>
        <w:pStyle w:val="Heading1"/>
        <w:keepNext/>
        <w:pageBreakBefore/>
      </w:pPr>
      <w:r>
        <w:rPr>
          <w:rFonts w:ascii="Times New Roman" w:hAnsi="Times New Roman" w:cs="Times New Roman" w:eastAsia="Times New Roman"/>
          <w:b/>
          <w:color w:val="000000"/>
          <w:sz w:val="28"/>
        </w:rPr>
        <w:t>4 Corporate data transformation</w:t>
      </w:r>
      <w:bookmarkEnd w:id="22"/>
    </w:p>
    <w:p>
      <w:bookmarkStart w:id="23" w:name="b3d60efe81f63e70485d7"/>
      <w:pPr>
        <w:pStyle w:val="Heading2"/>
        <w:keepNext/>
      </w:pPr>
      <w:r>
        <w:rPr>
          <w:rFonts w:ascii="Times New Roman" w:hAnsi="Times New Roman" w:cs="Times New Roman" w:eastAsia="Times New Roman"/>
          <w:b/>
          <w:color w:val="000000"/>
          <w:sz w:val="24"/>
        </w:rPr>
        <w:t>4.1 Document ingestion and parsing</w:t>
      </w:r>
      <w:bookmarkEnd w:id="23"/>
    </w:p>
    <w:p>
      <w:r>
        <w:rPr>
          <w:rFonts w:ascii="Times New Roman" w:hAnsi="Times New Roman" w:cs="Times New Roman" w:eastAsia="Times New Roman"/>
          <w:b w:val="0"/>
          <w:color w:val="000000"/>
        </w:rPr>
        <w:t>The preserved policy collection contains ten PDF files totalling forty pages. Recursive discovery supports PDF, Markdown and text, records unsupported formats and handles empty, corrupt or unreadable files without hiding valid neighbours. The parser assigns deterministic identifiers, hashes the original bytes and records the source path and extraction status. PyMuPDF and PyMuPDF4LLM extract text, Markdown and available page information [15]. Original files remain unchanged.</w:t>
      </w:r>
    </w:p>
    <w:p>
      <w:r>
        <w:rPr>
          <w:rFonts w:ascii="Times New Roman" w:hAnsi="Times New Roman" w:cs="Times New Roman" w:eastAsia="Times New Roman"/>
          <w:b w:val="0"/>
          <w:color w:val="000000"/>
        </w:rPr>
        <w:t>PDF layout remains a source of uncertainty. Observed cases include a bullet glyph extracted as G, compacted table words, repeated page furniture and clauses crossing page boundaries. The original extraction is retained separately from normalised content. Page-level raw text supports inspection, but neither successful parsing nor a page reference proves that the PDF's intended layout was recovered correctly.</w:t>
      </w:r>
    </w:p>
    <w:p>
      <w:bookmarkStart w:id="24" w:name="b7463957d12ef33f83658"/>
      <w:pPr>
        <w:pStyle w:val="Heading2"/>
        <w:keepNext/>
      </w:pPr>
      <w:r>
        <w:rPr>
          <w:rFonts w:ascii="Times New Roman" w:hAnsi="Times New Roman" w:cs="Times New Roman" w:eastAsia="Times New Roman"/>
          <w:b/>
          <w:color w:val="000000"/>
          <w:sz w:val="24"/>
        </w:rPr>
        <w:t>4.2 Quality assessment and clause-aware chunking</w:t>
      </w:r>
      <w:bookmarkEnd w:id="24"/>
    </w:p>
    <w:p>
      <w:r>
        <w:rPr>
          <w:rFonts w:ascii="Times New Roman" w:hAnsi="Times New Roman" w:cs="Times New Roman" w:eastAsia="Times New Roman"/>
          <w:b w:val="0"/>
          <w:color w:val="000000"/>
        </w:rPr>
        <w:t>Quality findings identify suspicious bullets, table structure, spacing, numbering, repeated headers or footers and uncertain boundary continuations. Deterministic normalisation addresses harmless formatting where the rule is conservative. Uncertain lexical repairs remain warnings. Mandatory terms, numeric thresholds and approval conditions are not freely paraphrased.</w:t>
      </w:r>
    </w:p>
    <w:p>
      <w:r>
        <w:rPr>
          <w:rFonts w:ascii="Times New Roman" w:hAnsi="Times New Roman" w:cs="Times New Roman" w:eastAsia="Times New Roman"/>
          <w:b w:val="0"/>
          <w:color w:val="000000"/>
        </w:rPr>
        <w:t>Chunking follows headings, numbered sections and complete clauses while retaining parent context and page spans. Conditions and exceptions should remain with the associated requirement. Reliable continuations can be joined across pages; indivisible oversized clauses are flagged. The early source-chunk budget is a conservative UTF-8 byte-token bound. Final training preparation instead uses exact pinned Qwen tokenization. These budgets are different and are reported separately.</w:t>
      </w:r>
    </w:p>
    <w:p>
      <w:r>
        <w:rPr>
          <w:rFonts w:ascii="Times New Roman" w:hAnsi="Times New Roman" w:cs="Times New Roman" w:eastAsia="Times New Roman"/>
          <w:b w:val="0"/>
          <w:color w:val="000000"/>
        </w:rPr>
        <w:t>A clean record in this project means that stated preparation checks passed. It does not mean that all PDF artifacts or policy ambiguities disappeared. Formatting warnings can accompany accepted records. Repeated warning occurrences must not be interpreted as a count of distinct semantic defects.</w:t>
      </w:r>
    </w:p>
    <w:p>
      <w:bookmarkStart w:id="25" w:name="b305089a35e009f15f69f"/>
      <w:pPr>
        <w:pStyle w:val="Heading2"/>
        <w:keepNext/>
      </w:pPr>
      <w:r>
        <w:rPr>
          <w:rFonts w:ascii="Times New Roman" w:hAnsi="Times New Roman" w:cs="Times New Roman" w:eastAsia="Times New Roman"/>
          <w:b/>
          <w:color w:val="000000"/>
          <w:sz w:val="24"/>
        </w:rPr>
        <w:t>4.3 Policy example generation and validation</w:t>
      </w:r>
      <w:bookmarkEnd w:id="25"/>
    </w:p>
    <w:p>
      <w:r>
        <w:rPr>
          <w:rFonts w:ascii="Times New Roman" w:hAnsi="Times New Roman" w:cs="Times New Roman" w:eastAsia="Times New Roman"/>
          <w:b w:val="0"/>
          <w:color w:val="000000"/>
        </w:rPr>
        <w:t>Policy generation asks for a specific instruction and a complete extractive passage that answers it. A candidate retains the document, section, chunk, page and evidence references. Validation checks its schema, source identity and passage consistency, then requests a model-assisted assessment of relevance, grounding, conditions and scope. Exact conversation deduplication removes repeated accepted examples.</w:t>
      </w:r>
    </w:p>
    <w:p>
      <w:r>
        <w:rPr>
          <w:rFonts w:ascii="Times New Roman" w:hAnsi="Times New Roman" w:cs="Times New Roman" w:eastAsia="Times New Roman"/>
          <w:b w:val="0"/>
          <w:color w:val="000000"/>
        </w:rPr>
        <w:t>Copying an exact passage constrains unsupported wording, but it does not by itself establish that all relevant exceptions were selected. A reviewer can also make the same contextual mistake as the generator. Independent policy-question evaluation is therefore still required. No generated tests or pass statuses are invented to make a policy record resemble executable code.</w:t>
      </w:r>
    </w:p>
    <w:p>
      <w:bookmarkStart w:id="26" w:name="b9ed19d4c05d52a1e647a"/>
      <w:pPr>
        <w:pStyle w:val="Heading2"/>
        <w:keepNext/>
      </w:pPr>
      <w:r>
        <w:rPr>
          <w:rFonts w:ascii="Times New Roman" w:hAnsi="Times New Roman" w:cs="Times New Roman" w:eastAsia="Times New Roman"/>
          <w:b/>
          <w:color w:val="000000"/>
          <w:sz w:val="24"/>
        </w:rPr>
        <w:t>4.4 Repository analysis and inherited verification</w:t>
      </w:r>
      <w:bookmarkEnd w:id="26"/>
    </w:p>
    <w:p>
      <w:r>
        <w:rPr>
          <w:rFonts w:ascii="Times New Roman" w:hAnsi="Times New Roman" w:cs="Times New Roman" w:eastAsia="Times New Roman"/>
          <w:b w:val="0"/>
          <w:color w:val="000000"/>
        </w:rPr>
        <w:t>Python source is analysed with its AST parser; Kotlin and TypeScript use Tree-sitter. The index records symbols, imports, file hashes and inclusive line references. Source is inspected statically rather than imported or built. Context extraction is bounded and heuristic; dependencies outside the selected context may be omitted.</w:t>
      </w:r>
    </w:p>
    <w:p>
      <w:r>
        <w:rPr>
          <w:rFonts w:ascii="Times New Roman" w:hAnsi="Times New Roman" w:cs="Times New Roman" w:eastAsia="Times New Roman"/>
          <w:b w:val="0"/>
          <w:color w:val="000000"/>
        </w:rPr>
        <w:t>Generation covers tasks such as explanation, implementation, debugging, testing, refactoring and architecture. Candidate code receives syntax checks and source-grounding review. A restricted Python container path is implemented for supported tests, with bounded correction driven by observed failures when execution is available. Kotlin and TypeScript runtime backends were not configured in the recorded preparation environment.</w:t>
      </w:r>
    </w:p>
    <w:p>
      <w:r>
        <w:rPr>
          <w:rFonts w:ascii="Times New Roman" w:hAnsi="Times New Roman" w:cs="Times New Roman" w:eastAsia="Times New Roman"/>
          <w:b w:val="0"/>
          <w:color w:val="000000"/>
        </w:rPr>
        <w:t>The preserved coding producer selected 485 units, generated 482 candidates and accepted 112 knowledge examples. It recorded four failed units and no pending units. The accepted set contains no locally runtime-verified executable examples. Retaining these records with explicit evidence supports reuse; it does not repair the failed producer or turn static review into execution.</w:t>
      </w:r>
    </w:p>
    <w:p>
      <w:bookmarkStart w:id="27" w:name="b69686b3904ce162daa3f"/>
      <w:pPr>
        <w:pStyle w:val="Heading2"/>
        <w:keepNext/>
      </w:pPr>
      <w:r>
        <w:rPr>
          <w:rFonts w:ascii="Times New Roman" w:hAnsi="Times New Roman" w:cs="Times New Roman" w:eastAsia="Times New Roman"/>
          <w:b/>
          <w:color w:val="000000"/>
          <w:sz w:val="24"/>
        </w:rPr>
        <w:t>4.5 Unified enterprise export and splits</w:t>
      </w:r>
      <w:bookmarkEnd w:id="27"/>
    </w:p>
    <w:p>
      <w:r>
        <w:rPr>
          <w:rFonts w:ascii="Times New Roman" w:hAnsi="Times New Roman" w:cs="Times New Roman" w:eastAsia="Times New Roman"/>
          <w:b w:val="0"/>
          <w:color w:val="000000"/>
        </w:rPr>
        <w:t>The combined accepted input contained 114 policy records and 112 coding records. Exact preparation at 4,096 tokens excluded twenty oversized coding records without truncation, leaving 206 records. The original coding export remains intact. Source-component grouping gives the split distribution in Table 4.1.</w:t>
      </w:r>
    </w:p>
    <w:p>
      <w:bookmarkStart w:id="28" w:name="bfd6a7a8bdb3c14e32c1c"/>
      <w:pPr>
        <w:keepNext/>
        <w:spacing w:line="276" w:lineRule="auto" w:after="120"/>
        <w:jc w:val="left"/>
      </w:pPr>
      <w:r>
        <w:rPr>
          <w:rFonts w:ascii="Times New Roman" w:hAnsi="Times New Roman" w:cs="Times New Roman" w:eastAsia="Times New Roman"/>
          <w:b w:val="0"/>
          <w:color w:val="000000"/>
          <w:sz w:val="22"/>
        </w:rPr>
        <w:t>Table 4.1 Prepared enterprise split distribution</w:t>
      </w:r>
      <w:bookmarkEnd w:id="2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160"/>
        <w:gridCol w:w="2160"/>
        <w:gridCol w:w="2160"/>
      </w:tblGrid>
      <w:tr>
        <w:trPr>
          <w:cantSplit/>
          <w:tblHeader/>
        </w:trPr>
        <w:tc>
          <w:tcPr>
            <w:tcW w:type="dxa" w:w="3600"/>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Split</w:t>
            </w:r>
          </w:p>
        </w:tc>
        <w:tc>
          <w:tcPr>
            <w:tcW w:type="dxa" w:w="2160"/>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Corporate policy</w:t>
            </w:r>
          </w:p>
        </w:tc>
        <w:tc>
          <w:tcPr>
            <w:tcW w:type="dxa" w:w="2160"/>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Coding knowledge</w:t>
            </w:r>
          </w:p>
        </w:tc>
        <w:tc>
          <w:tcPr>
            <w:tcW w:type="dxa" w:w="2160"/>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Total</w:t>
            </w:r>
          </w:p>
        </w:tc>
      </w:tr>
      <w:tr>
        <w:trPr>
          <w:cantSplit/>
        </w:trPr>
        <w:tc>
          <w:tcPr>
            <w:tcW w:type="dxa" w:w="3600"/>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Train</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104</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82</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186</w:t>
            </w:r>
          </w:p>
        </w:tc>
      </w:tr>
      <w:tr>
        <w:trPr>
          <w:cantSplit/>
        </w:trPr>
        <w:tc>
          <w:tcPr>
            <w:tcW w:type="dxa" w:w="3600"/>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Validation</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0</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9</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9</w:t>
            </w:r>
          </w:p>
        </w:tc>
      </w:tr>
      <w:tr>
        <w:trPr>
          <w:cantSplit/>
        </w:trPr>
        <w:tc>
          <w:tcPr>
            <w:tcW w:type="dxa" w:w="3600"/>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Test</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10</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11</w:t>
            </w:r>
          </w:p>
        </w:tc>
      </w:tr>
      <w:tr>
        <w:trPr>
          <w:cantSplit/>
        </w:trPr>
        <w:tc>
          <w:tcPr>
            <w:tcW w:type="dxa" w:w="3600"/>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Total</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114</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92</w:t>
            </w:r>
          </w:p>
        </w:tc>
        <w:tc>
          <w:tcPr>
            <w:tcW w:type="dxa" w:w="2160"/>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206</w:t>
            </w:r>
          </w:p>
        </w:tc>
      </w:tr>
    </w:tbl>
    <w:p>
      <w:pPr>
        <w:keepNext/>
        <w:spacing w:line="240" w:lineRule="auto" w:after="60"/>
      </w:pPr>
      <w:r>
        <w:rPr>
          <w:rFonts w:ascii="Times New Roman" w:hAnsi="Times New Roman" w:cs="Times New Roman" w:eastAsia="Times New Roman"/>
          <w:b w:val="0"/>
          <w:color w:val="000000"/>
        </w:rPr>
      </w:r>
    </w:p>
    <w:p>
      <w:r>
        <w:rPr>
          <w:rFonts w:ascii="Times New Roman" w:hAnsi="Times New Roman" w:cs="Times New Roman" w:eastAsia="Times New Roman"/>
          <w:b w:val="0"/>
          <w:color w:val="000000"/>
        </w:rPr>
        <w:t>The absence of policy examples from validation is an observed coverage limitation. The ten held-out policy examples provide only a small final test. Neither split is sufficient evidence of broad corporate-policy learning. New questions must be designed without moving related groups across boundaries or repeatedly tuning against the final test.</w:t>
      </w:r>
    </w:p>
    <w:p>
      <w:r>
        <w:rPr>
          <w:rFonts w:ascii="Times New Roman" w:hAnsi="Times New Roman" w:cs="Times New Roman" w:eastAsia="Times New Roman"/>
          <w:b w:val="0"/>
          <w:color w:val="000000"/>
        </w:rPr>
        <w:t>The prepared dataset is published privately as enterprise-sft. Its immutable publication revision and tokenizer pin are retained in Appendix A. The all-split training.jsonl file is an audit union. Only train.jsonl is consumed for enterprise training; the other splits are indexed for leakage checks and remain held out.</w:t>
      </w:r>
    </w:p>
    <w:p>
      <w:bookmarkStart w:id="29" w:name="b4fc90391cd3a4a501095"/>
      <w:pPr>
        <w:keepNext/>
        <w:spacing w:line="276" w:lineRule="auto" w:after="120"/>
        <w:jc w:val="left"/>
      </w:pPr>
      <w:r>
        <w:rPr>
          <w:rFonts w:ascii="Times New Roman" w:hAnsi="Times New Roman" w:cs="Times New Roman" w:eastAsia="Times New Roman"/>
          <w:b w:val="0"/>
          <w:color w:val="000000"/>
          <w:sz w:val="22"/>
        </w:rPr>
        <w:t>Table 4.2 Canonical conversational record fields</w:t>
      </w:r>
      <w:bookmarkEnd w:id="2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Field</w:t>
            </w:r>
          </w:p>
        </w:tc>
        <w:tc>
          <w:tcPr>
            <w:tcW w:type="dxa" w:w="6048"/>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Purpose</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schema_version and id</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Contract version and deterministic record identity</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messages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Ordered system, user, assistant and optional tool messages</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domain and source</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Domain classification and source identity</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verification</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Inherited status, optional tests and recorded evidence</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metadata</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Provenance, references, source grouping and preparation</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tools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Optional definitions for supported tool conversations</w:t>
            </w:r>
          </w:p>
        </w:tc>
      </w:tr>
    </w:tbl>
    <w:p>
      <w:pPr>
        <w:keepNext/>
        <w:spacing w:line="240" w:lineRule="auto" w:after="60"/>
      </w:pPr>
      <w:r>
        <w:rPr>
          <w:rFonts w:ascii="Times New Roman" w:hAnsi="Times New Roman" w:cs="Times New Roman" w:eastAsia="Times New Roman"/>
          <w:b w:val="0"/>
          <w:color w:val="000000"/>
        </w:rPr>
      </w:r>
    </w:p>
    <w:p>
      <w:r>
        <w:rPr>
          <w:rFonts w:ascii="Times New Roman" w:hAnsi="Times New Roman" w:cs="Times New Roman" w:eastAsia="Times New Roman"/>
          <w:b w:val="0"/>
          <w:color w:val="000000"/>
        </w:rPr>
        <w:t>Adapters preserve the differences between source schemas. Training uses messages and optional tools with the pinned chat template; identifiers, verification labels and provenance remain outside the model-facing answer. The current export has enterprise-only preparation readiness and an inherited incomplete-source warning. Its readiness flag is not a semantic correctness certificate.</w:t>
      </w:r>
    </w:p>
    <w:p>
      <w:bookmarkStart w:id="30" w:name="b7f1786f340e167235e23"/>
      <w:pPr>
        <w:pStyle w:val="Heading1"/>
        <w:keepNext/>
        <w:pageBreakBefore/>
      </w:pPr>
      <w:r>
        <w:rPr>
          <w:rFonts w:ascii="Times New Roman" w:hAnsi="Times New Roman" w:cs="Times New Roman" w:eastAsia="Times New Roman"/>
          <w:b/>
          <w:color w:val="000000"/>
          <w:sz w:val="28"/>
        </w:rPr>
        <w:t>5 External coding data and training inputs</w:t>
      </w:r>
      <w:bookmarkEnd w:id="30"/>
    </w:p>
    <w:p>
      <w:bookmarkStart w:id="31" w:name="bcc5afbab3b6e568edbe1"/>
      <w:pPr>
        <w:pStyle w:val="Heading2"/>
        <w:keepNext/>
      </w:pPr>
      <w:r>
        <w:rPr>
          <w:rFonts w:ascii="Times New Roman" w:hAnsi="Times New Roman" w:cs="Times New Roman" w:eastAsia="Times New Roman"/>
          <w:b/>
          <w:color w:val="000000"/>
          <w:sz w:val="24"/>
        </w:rPr>
        <w:t>5.1 Dataset inspection and adaptation</w:t>
      </w:r>
      <w:bookmarkEnd w:id="31"/>
    </w:p>
    <w:p>
      <w:r>
        <w:rPr>
          <w:rFonts w:ascii="Times New Roman" w:hAnsi="Times New Roman" w:cs="Times New Roman" w:eastAsia="Times New Roman"/>
          <w:b w:val="0"/>
          <w:color w:val="000000"/>
        </w:rPr>
        <w:t>Hugging Face Datasets supplies streaming readers, while the Hub client resolves metadata and immutable revisions [16]. Inspection precedes adaptation so that configuration names, splits, source fields and licences are not assumed identical.</w:t>
      </w:r>
    </w:p>
    <w:p>
      <w:r>
        <w:rPr>
          <w:rFonts w:ascii="Times New Roman" w:hAnsi="Times New Roman" w:cs="Times New Roman" w:eastAsia="Times New Roman"/>
          <w:b w:val="0"/>
          <w:color w:val="000000"/>
        </w:rPr>
        <w:t>OpenCodeInstruct uses input and output fields with optional unit tests, execution status, judgement and score metadata [4]. Nemotron uses messages and source/domain fields across several configurations [5]. The adapters preserve valid multi-turn and tool interactions. Missing answers or tests are rejected or left absent, rather than invented. Original execution-status metadata remains externally reported and is not upgraded to a locally observed pass.</w:t>
      </w:r>
    </w:p>
    <w:p>
      <w:r>
        <w:rPr>
          <w:rFonts w:ascii="Times New Roman" w:hAnsi="Times New Roman" w:cs="Times New Roman" w:eastAsia="Times New Roman"/>
          <w:b w:val="0"/>
          <w:color w:val="000000"/>
        </w:rPr>
        <w:t>The inspected OpenCodeInstruct licence is CC BY 4.0. The Nemotron source declares the NVIDIA Open Model License. Attribution and source-specific terms must be retained and reviewed before redistribution. A successful download grants no additional rights over repository or corporate material.</w:t>
      </w:r>
    </w:p>
    <w:p>
      <w:bookmarkStart w:id="32" w:name="b269d95f765d7ded139e2"/>
      <w:pPr>
        <w:pStyle w:val="Heading2"/>
        <w:keepNext/>
      </w:pPr>
      <w:r>
        <w:rPr>
          <w:rFonts w:ascii="Times New Roman" w:hAnsi="Times New Roman" w:cs="Times New Roman" w:eastAsia="Times New Roman"/>
          <w:b/>
          <w:color w:val="000000"/>
          <w:sz w:val="24"/>
        </w:rPr>
        <w:t>5.2 Sampling and approved native selections</w:t>
      </w:r>
      <w:bookmarkEnd w:id="32"/>
    </w:p>
    <w:p>
      <w:r>
        <w:rPr>
          <w:rFonts w:ascii="Times New Roman" w:hAnsi="Times New Roman" w:cs="Times New Roman" w:eastAsia="Times New Roman"/>
          <w:b w:val="0"/>
          <w:color w:val="000000"/>
        </w:rPr>
        <w:t>The sampler uses a reproducible seed and a bounded prefix buffer. This limits processing memory and avoids eager full-corpus downloads, but it is not uniform random sampling over millions of rows. Candidate caps and accepted quotas are separate. Reader buffering and library prefetch can cause decoded rows read to exceed committed decisions; these counters are not measured network-byte totals.</w:t>
      </w:r>
    </w:p>
    <w:p>
      <w:r>
        <w:rPr>
          <w:rFonts w:ascii="Times New Roman" w:hAnsi="Times New Roman" w:cs="Times New Roman" w:eastAsia="Times New Roman"/>
          <w:b w:val="0"/>
          <w:color w:val="000000"/>
        </w:rPr>
        <w:t>Native preparation stores approved and rejected decisions, hashes and coordinates in SQLite and a source plan. Full source bodies remain in native storage until replay. Consumption checks the pinned row order, raw hash, normalised identifier, exact tokens and the global leakage gate. Network access or a matching cache is still needed to replay a selection.</w:t>
      </w:r>
    </w:p>
    <w:p>
      <w:r>
        <w:rPr>
          <w:rFonts w:ascii="Times New Roman" w:hAnsi="Times New Roman" w:cs="Times New Roman" w:eastAsia="Times New Roman"/>
          <w:b w:val="0"/>
          <w:color w:val="000000"/>
        </w:rPr>
        <w:t>The initial integration accepted ten chat and ten OpenCode records. The larger external selection is coding-only. The supplied server log records the counts in Table 5.1, and the subsequent validation output reports all 10,000 approved rows checked. Rejection categories for the eleven rows must be taken from that run's report before final submission; the available summary does not establish their causes.</w:t>
      </w:r>
    </w:p>
    <w:p>
      <w:bookmarkStart w:id="33" w:name="b8d7f0b9c156e2328808d"/>
      <w:pPr>
        <w:keepNext/>
        <w:spacing w:line="276" w:lineRule="auto" w:after="120"/>
        <w:jc w:val="left"/>
      </w:pPr>
      <w:r>
        <w:rPr>
          <w:rFonts w:ascii="Times New Roman" w:hAnsi="Times New Roman" w:cs="Times New Roman" w:eastAsia="Times New Roman"/>
          <w:b w:val="0"/>
          <w:color w:val="000000"/>
          <w:sz w:val="22"/>
        </w:rPr>
        <w:t>Table 5.1 Larger OpenCodeInstruct selection reported from RunPod</w:t>
      </w:r>
      <w:bookmarkEnd w:id="3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Measurement</w:t>
            </w:r>
          </w:p>
        </w:tc>
        <w:tc>
          <w:tcPr>
            <w:tcW w:type="dxa" w:w="6048"/>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Recorded value</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Accepted target</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10,000</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Candidate records processed</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10,011</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Accepted records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10,000</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Rejected records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11</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Sampler rows read including buffering</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10,026</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Approved rows subsequently replay-validated</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10,000</w:t>
            </w:r>
          </w:p>
        </w:tc>
      </w:tr>
    </w:tbl>
    <w:p>
      <w:pPr>
        <w:keepNext/>
        <w:spacing w:line="240" w:lineRule="auto" w:after="60"/>
      </w:pPr>
      <w:r>
        <w:rPr>
          <w:rFonts w:ascii="Times New Roman" w:hAnsi="Times New Roman" w:cs="Times New Roman" w:eastAsia="Times New Roman"/>
          <w:b w:val="0"/>
          <w:color w:val="000000"/>
        </w:rPr>
      </w:r>
    </w:p>
    <w:p>
      <w:bookmarkStart w:id="34" w:name="b2faeb9ed39c34c94af2d"/>
      <w:pPr>
        <w:pStyle w:val="Heading2"/>
        <w:keepNext/>
      </w:pPr>
      <w:r>
        <w:rPr>
          <w:rFonts w:ascii="Times New Roman" w:hAnsi="Times New Roman" w:cs="Times New Roman" w:eastAsia="Times New Roman"/>
          <w:b/>
          <w:color w:val="000000"/>
          <w:sz w:val="24"/>
        </w:rPr>
        <w:t>5.3 Holdout gate and exact token supervision</w:t>
      </w:r>
      <w:bookmarkEnd w:id="34"/>
    </w:p>
    <w:p>
      <w:r>
        <w:rPr>
          <w:rFonts w:ascii="Times New Roman" w:hAnsi="Times New Roman" w:cs="Times New Roman" w:eastAsia="Times New Roman"/>
          <w:b w:val="0"/>
          <w:color w:val="000000"/>
        </w:rPr>
        <w:t>Before external rows become training input, the framework registers all enterprise train, validation and test fingerprints in a fresh disk-backed gate. It checks exact, near and source-component conflicts. Holdouts cannot be added after the gate is sealed. This establishes isolation against the indexed set, not against every public benchmark or every paraphrase of its tasks.</w:t>
      </w:r>
    </w:p>
    <w:p>
      <w:r>
        <w:rPr>
          <w:rFonts w:ascii="Times New Roman" w:hAnsi="Times New Roman" w:cs="Times New Roman" w:eastAsia="Times New Roman"/>
          <w:b w:val="0"/>
          <w:color w:val="000000"/>
        </w:rPr>
        <w:t>The training cache contains only approved training rows. Qwen chat rendering uses thinking disabled and no silent truncation. Fast-tokenizer offsets identify assistant spans, including assistant tool calls and message-end tokens. Labels mask system, user and tool-result text. The rendered token IDs must equal apply_chat_template tokenization exactly. Thus traceability fields do not become answer targets.</w:t>
      </w:r>
    </w:p>
    <w:p>
      <w:bookmarkStart w:id="35" w:name="b41e158a0c06637c19707"/>
      <w:pPr>
        <w:pStyle w:val="Heading2"/>
        <w:keepNext/>
      </w:pPr>
      <w:r>
        <w:rPr>
          <w:rFonts w:ascii="Times New Roman" w:hAnsi="Times New Roman" w:cs="Times New Roman" w:eastAsia="Times New Roman"/>
          <w:b/>
          <w:color w:val="000000"/>
          <w:sz w:val="24"/>
        </w:rPr>
        <w:t>5.4 Mixture and exposure accounting</w:t>
      </w:r>
      <w:bookmarkEnd w:id="35"/>
    </w:p>
    <w:p>
      <w:r>
        <w:rPr>
          <w:rFonts w:ascii="Times New Roman" w:hAnsi="Times New Roman" w:cs="Times New Roman" w:eastAsia="Times New Roman"/>
          <w:b w:val="0"/>
          <w:color w:val="000000"/>
        </w:rPr>
        <w:t>The server reported 302,284 enterprise training conversation tokens and 4,447,806 external conversation tokens. Before repetition, enterprise records account for 6.36% of the combined tokens. Repeating each of the 186 enterprise train records twice produces the exposure shown in Table 5.2. The repetition does not create new independent examples.</w:t>
      </w:r>
    </w:p>
    <w:p>
      <w:bookmarkStart w:id="36" w:name="b1c26fec9b273af6e941a"/>
      <w:pPr>
        <w:keepNext/>
        <w:spacing w:line="276" w:lineRule="auto" w:after="120"/>
        <w:jc w:val="left"/>
      </w:pPr>
      <w:r>
        <w:rPr>
          <w:rFonts w:ascii="Times New Roman" w:hAnsi="Times New Roman" w:cs="Times New Roman" w:eastAsia="Times New Roman"/>
          <w:b w:val="0"/>
          <w:color w:val="000000"/>
          <w:sz w:val="22"/>
        </w:rPr>
        <w:t>Table 5.2 Configured exposure for the larger training run</w:t>
      </w:r>
      <w:bookmarkEnd w:id="3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016"/>
        <w:gridCol w:w="2016"/>
        <w:gridCol w:w="2736"/>
      </w:tblGrid>
      <w:tr>
        <w:trPr>
          <w:cantSplit/>
          <w:tblHeader/>
        </w:trPr>
        <w:tc>
          <w:tcPr>
            <w:tcW w:type="dxa" w:w="3312"/>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Source</w:t>
            </w:r>
          </w:p>
        </w:tc>
        <w:tc>
          <w:tcPr>
            <w:tcW w:type="dxa" w:w="2016"/>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Unique examples</w:t>
            </w:r>
          </w:p>
        </w:tc>
        <w:tc>
          <w:tcPr>
            <w:tcW w:type="dxa" w:w="2016"/>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Training rows</w:t>
            </w:r>
          </w:p>
        </w:tc>
        <w:tc>
          <w:tcPr>
            <w:tcW w:type="dxa" w:w="2736"/>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Conversation tokens</w:t>
            </w:r>
          </w:p>
        </w:tc>
      </w:tr>
      <w:tr>
        <w:trPr>
          <w:cantSplit/>
        </w:trPr>
        <w:tc>
          <w:tcPr>
            <w:tcW w:type="dxa" w:w="331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Enterprise</w:t>
            </w:r>
          </w:p>
        </w:tc>
        <w:tc>
          <w:tcPr>
            <w:tcW w:type="dxa" w:w="201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186</w:t>
            </w:r>
          </w:p>
        </w:tc>
        <w:tc>
          <w:tcPr>
            <w:tcW w:type="dxa" w:w="201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372</w:t>
            </w:r>
          </w:p>
        </w:tc>
        <w:tc>
          <w:tcPr>
            <w:tcW w:type="dxa" w:w="273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604,568</w:t>
            </w:r>
          </w:p>
        </w:tc>
      </w:tr>
      <w:tr>
        <w:trPr>
          <w:cantSplit/>
        </w:trPr>
        <w:tc>
          <w:tcPr>
            <w:tcW w:type="dxa" w:w="331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OpenCodeInstruct</w:t>
            </w:r>
          </w:p>
        </w:tc>
        <w:tc>
          <w:tcPr>
            <w:tcW w:type="dxa" w:w="201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10,000</w:t>
            </w:r>
          </w:p>
        </w:tc>
        <w:tc>
          <w:tcPr>
            <w:tcW w:type="dxa" w:w="201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10,000</w:t>
            </w:r>
          </w:p>
        </w:tc>
        <w:tc>
          <w:tcPr>
            <w:tcW w:type="dxa" w:w="273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4,447,806</w:t>
            </w:r>
          </w:p>
        </w:tc>
      </w:tr>
      <w:tr>
        <w:trPr>
          <w:cantSplit/>
        </w:trPr>
        <w:tc>
          <w:tcPr>
            <w:tcW w:type="dxa" w:w="331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Total</w:t>
            </w:r>
          </w:p>
        </w:tc>
        <w:tc>
          <w:tcPr>
            <w:tcW w:type="dxa" w:w="201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10,186</w:t>
            </w:r>
          </w:p>
        </w:tc>
        <w:tc>
          <w:tcPr>
            <w:tcW w:type="dxa" w:w="201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10,372</w:t>
            </w:r>
          </w:p>
        </w:tc>
        <w:tc>
          <w:tcPr>
            <w:tcW w:type="dxa" w:w="273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5,052,374</w:t>
            </w:r>
          </w:p>
        </w:tc>
      </w:tr>
    </w:tbl>
    <w:p>
      <w:pPr>
        <w:keepNext/>
        <w:spacing w:line="240" w:lineRule="auto" w:after="60"/>
      </w:pPr>
      <w:r>
        <w:rPr>
          <w:rFonts w:ascii="Times New Roman" w:hAnsi="Times New Roman" w:cs="Times New Roman" w:eastAsia="Times New Roman"/>
          <w:b w:val="0"/>
          <w:color w:val="000000"/>
        </w:rPr>
      </w:r>
    </w:p>
    <w:p>
      <w:r>
        <w:rPr>
          <w:rFonts w:ascii="Times New Roman" w:hAnsi="Times New Roman" w:cs="Times New Roman" w:eastAsia="Times New Roman"/>
          <w:b w:val="0"/>
          <w:color w:val="000000"/>
        </w:rPr>
        <w:t>The resulting conversation-token share is approximately 11.97% enterprise and 88.03% OpenCodeInstruct. Assistant-supervised token proportions can differ because the loss masks prompt text. These are configured exposure values, not an experimentally optimal mixture. A source-balanced calibration reservoir reduces domination by the largest source, while the training sampler operates over the configured rows.</w:t>
      </w:r>
    </w:p>
    <w:p>
      <w:bookmarkStart w:id="37" w:name="baca07b4135e0908b548c"/>
      <w:pPr>
        <w:pStyle w:val="Heading1"/>
        <w:keepNext/>
        <w:pageBreakBefore/>
      </w:pPr>
      <w:r>
        <w:rPr>
          <w:rFonts w:ascii="Times New Roman" w:hAnsi="Times New Roman" w:cs="Times New Roman" w:eastAsia="Times New Roman"/>
          <w:b/>
          <w:color w:val="000000"/>
          <w:sz w:val="28"/>
        </w:rPr>
        <w:t>6 Structural pruning and recovery training</w:t>
      </w:r>
      <w:bookmarkEnd w:id="37"/>
    </w:p>
    <w:p>
      <w:bookmarkStart w:id="38" w:name="bfd1d26e904b7d2e3b8bb"/>
      <w:pPr>
        <w:pStyle w:val="Heading2"/>
        <w:keepNext/>
      </w:pPr>
      <w:r>
        <w:rPr>
          <w:rFonts w:ascii="Times New Roman" w:hAnsi="Times New Roman" w:cs="Times New Roman" w:eastAsia="Times New Roman"/>
          <w:b/>
          <w:color w:val="000000"/>
          <w:sz w:val="24"/>
        </w:rPr>
        <w:t>6.1 Why structural reduction is separate from quantization</w:t>
      </w:r>
      <w:bookmarkEnd w:id="38"/>
    </w:p>
    <w:p>
      <w:r>
        <w:rPr>
          <w:rFonts w:ascii="Times New Roman" w:hAnsi="Times New Roman" w:cs="Times New Roman" w:eastAsia="Times New Roman"/>
          <w:b w:val="0"/>
          <w:color w:val="000000"/>
        </w:rPr>
        <w:t>The original checkpoint has 14,768,307,200 parameters in the reported experiment. BF16 representation requires roughly two bytes per weight before activations, temporary buffers and adaptation state. Reducing weight precision and reducing parameter count address different costs. The implementation therefore prunes the original dense structure before recovery training and applies NF4 export afterward.</w:t>
      </w:r>
    </w:p>
    <w:p>
      <w:r>
        <w:rPr>
          <w:rFonts w:ascii="Times New Roman" w:hAnsi="Times New Roman" w:cs="Times New Roman" w:eastAsia="Times New Roman"/>
          <w:b w:val="0"/>
          <w:color w:val="000000"/>
        </w:rPr>
        <w:t>Qwen3's gated MLP expands a hidden representation through gate and up projections, combines them through SiLU gating, and maps the result back through the down projection. Figure 6.1 illustrates channel removal. The same selected intermediate indices must be retained in the gate/up output rows and down input columns. Residual width, attention dimensions, layer count and vocabulary remain unchanged.</w:t>
      </w:r>
    </w:p>
    <w:p>
      <w:pPr>
        <w:keepNext/>
        <w:spacing w:before="80" w:after="80" w:line="240" w:lineRule="auto"/>
      </w:pPr>
      <w:r>
        <w:drawing>
          <wp:inline xmlns:a="http://schemas.openxmlformats.org/drawingml/2006/main" xmlns:pic="http://schemas.openxmlformats.org/drawingml/2006/picture">
            <wp:extent cx="6400800" cy="2595880"/>
            <wp:docPr id="2" name="Picture 2" descr="Consistent gated MLP channel removal"/>
            <wp:cNvGraphicFramePr>
              <a:graphicFrameLocks noChangeAspect="1"/>
            </wp:cNvGraphicFramePr>
            <a:graphic>
              <a:graphicData uri="http://schemas.openxmlformats.org/drawingml/2006/picture">
                <pic:pic>
                  <pic:nvPicPr>
                    <pic:cNvPr id="0" name="pruning.png"/>
                    <pic:cNvPicPr/>
                  </pic:nvPicPr>
                  <pic:blipFill>
                    <a:blip r:embed="rId13"/>
                    <a:stretch>
                      <a:fillRect/>
                    </a:stretch>
                  </pic:blipFill>
                  <pic:spPr>
                    <a:xfrm>
                      <a:off x="0" y="0"/>
                      <a:ext cx="6400800" cy="2595880"/>
                    </a:xfrm>
                    <a:prstGeom prst="rect"/>
                  </pic:spPr>
                </pic:pic>
              </a:graphicData>
            </a:graphic>
          </wp:inline>
        </w:drawing>
      </w:r>
    </w:p>
    <w:p>
      <w:bookmarkStart w:id="39" w:name="b4447cf44c7e860952fbf"/>
      <w:pPr>
        <w:keepNext w:val="0"/>
        <w:spacing w:line="276" w:lineRule="auto" w:after="120"/>
        <w:jc w:val="center"/>
      </w:pPr>
      <w:r>
        <w:rPr>
          <w:rFonts w:ascii="Times New Roman" w:hAnsi="Times New Roman" w:cs="Times New Roman" w:eastAsia="Times New Roman"/>
          <w:b w:val="0"/>
          <w:color w:val="000000"/>
          <w:sz w:val="22"/>
        </w:rPr>
        <w:t>Figure 6.1 Matching gate and up rows with down columns during structural pruning</w:t>
      </w:r>
      <w:bookmarkEnd w:id="39"/>
    </w:p>
    <w:p>
      <w:bookmarkStart w:id="40" w:name="bffefbb0a6e354a6ef829"/>
      <w:pPr>
        <w:pStyle w:val="Heading2"/>
        <w:keepNext/>
      </w:pPr>
      <w:r>
        <w:rPr>
          <w:rFonts w:ascii="Times New Roman" w:hAnsi="Times New Roman" w:cs="Times New Roman" w:eastAsia="Times New Roman"/>
          <w:b/>
          <w:color w:val="000000"/>
          <w:sz w:val="24"/>
        </w:rPr>
        <w:t>6.2 Importance heuristic and calibration</w:t>
      </w:r>
      <w:bookmarkEnd w:id="40"/>
    </w:p>
    <w:p>
      <w:r>
        <w:rPr>
          <w:rFonts w:ascii="Times New Roman" w:hAnsi="Times New Roman" w:cs="Times New Roman" w:eastAsia="Times New Roman"/>
          <w:b w:val="0"/>
          <w:color w:val="000000"/>
        </w:rPr>
        <w:t>For each layer, the implementation measures root-mean-square post-gate activations over unpadded training calibration records. It multiplies this signal by the L2 norm of each corresponding down-projection column, ranks channels and retains the highest scores. Ties follow original channel indices. A uniform retained width, aligned to a configured multiple, keeps the saved architecture loadable by the standard Qwen3 implementation.</w:t>
      </w:r>
    </w:p>
    <w:p>
      <w:r>
        <w:rPr>
          <w:rFonts w:ascii="Times New Roman" w:hAnsi="Times New Roman" w:cs="Times New Roman" w:eastAsia="Times New Roman"/>
          <w:b w:val="0"/>
          <w:color w:val="000000"/>
        </w:rPr>
        <w:t>This importance score is a project heuristic. It estimates usefulness on the calibration sample and can miss channels needed for other tasks. It does not identify removable medical knowledge or demonstrate globally optimal compression. The requested fraction refers to intermediate MLP channels; attention and embeddings remain in the denominator of total model parameters.</w:t>
      </w:r>
    </w:p>
    <w:p>
      <w:r>
        <w:rPr>
          <w:rFonts w:ascii="Times New Roman" w:hAnsi="Times New Roman" w:cs="Times New Roman" w:eastAsia="Times New Roman"/>
          <w:b w:val="0"/>
          <w:color w:val="000000"/>
        </w:rPr>
        <w:t>The 14B smoke experiment requested a 0.05 MLP fraction and sixteen calibration records. The larger run requests 128 records with the same fraction. Calibration uses only train data. The code verifies the exact dimension-based parameter reduction, saves the pruned checkpoint and reloads it before recovery.</w:t>
      </w:r>
    </w:p>
    <w:p>
      <w:bookmarkStart w:id="41" w:name="bb794e24f9f31e2a8f366"/>
      <w:pPr>
        <w:pStyle w:val="Heading2"/>
        <w:keepNext/>
      </w:pPr>
      <w:r>
        <w:rPr>
          <w:rFonts w:ascii="Times New Roman" w:hAnsi="Times New Roman" w:cs="Times New Roman" w:eastAsia="Times New Roman"/>
          <w:b/>
          <w:color w:val="000000"/>
          <w:sz w:val="24"/>
        </w:rPr>
        <w:t>6.3 Recovery and specialisation</w:t>
      </w:r>
      <w:bookmarkEnd w:id="41"/>
    </w:p>
    <w:p>
      <w:r>
        <w:rPr>
          <w:rFonts w:ascii="Times New Roman" w:hAnsi="Times New Roman" w:cs="Times New Roman" w:eastAsia="Times New Roman"/>
          <w:b w:val="0"/>
          <w:color w:val="000000"/>
        </w:rPr>
        <w:t>Recovery uses PEFT LoRA over the BF16 pruned base [8, 17]. Attention and MLP projection adapters are trainable; the base weights remain frozen during SFT. The configuration uses rank 16, alpha 32, dropout 0.05 and learning rate 0.00002. Gradient checkpointing reduces activation storage. Logs are checked for non-finite loss or gradient norms. No teacher logits, teacher answers or distillation objective are used.</w:t>
      </w:r>
    </w:p>
    <w:p>
      <w:r>
        <w:rPr>
          <w:rFonts w:ascii="Times New Roman" w:hAnsi="Times New Roman" w:cs="Times New Roman" w:eastAsia="Times New Roman"/>
          <w:b w:val="0"/>
          <w:color w:val="000000"/>
        </w:rPr>
        <w:t>After training, the adapter is saved and merged into the pruned base. The merged parameter count must match the pruned structural count. The pipeline checks a finite assistant loss and a bounded generation path, then saves the merged BF16 checkpoint. These checks establish technical execution, not useful answers or improved coding ability.</w:t>
      </w:r>
    </w:p>
    <w:p>
      <w:r>
        <w:rPr>
          <w:rFonts w:ascii="Times New Roman" w:hAnsi="Times New Roman" w:cs="Times New Roman" w:eastAsia="Times New Roman"/>
          <w:b w:val="0"/>
          <w:color w:val="000000"/>
        </w:rPr>
        <w:t>Table 6.1 distinguishes the two training budgets. The ten-step run is completed technical evidence. The 650-step run is a larger experiment whose final metrics are still pending.</w:t>
      </w:r>
    </w:p>
    <w:p>
      <w:bookmarkStart w:id="42" w:name="bc85ecff874fd1baf17ea"/>
      <w:pPr>
        <w:keepNext/>
        <w:spacing w:line="276" w:lineRule="auto" w:after="120"/>
        <w:jc w:val="left"/>
      </w:pPr>
      <w:r>
        <w:rPr>
          <w:rFonts w:ascii="Times New Roman" w:hAnsi="Times New Roman" w:cs="Times New Roman" w:eastAsia="Times New Roman"/>
          <w:b w:val="0"/>
          <w:color w:val="000000"/>
          <w:sz w:val="22"/>
        </w:rPr>
        <w:t>Table 6.1 Recorded smoke and configured larger-run settings</w:t>
      </w:r>
      <w:bookmarkEnd w:id="4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Setting</w:t>
            </w:r>
          </w:p>
        </w:tc>
        <w:tc>
          <w:tcPr>
            <w:tcW w:type="dxa" w:w="3888"/>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Completed smoke</w:t>
            </w:r>
          </w:p>
        </w:tc>
        <w:tc>
          <w:tcPr>
            <w:tcW w:type="dxa" w:w="3888"/>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Larger run</w:t>
            </w:r>
          </w:p>
        </w:tc>
      </w:tr>
      <w:tr>
        <w:trPr>
          <w:cantSplit/>
        </w:trPr>
        <w:tc>
          <w:tcPr>
            <w:tcW w:type="dxa" w:w="230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External training rows</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20 across two sources</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10,000 OpenCode</w:t>
            </w:r>
          </w:p>
        </w:tc>
      </w:tr>
      <w:tr>
        <w:trPr>
          <w:cantSplit/>
        </w:trPr>
        <w:tc>
          <w:tcPr>
            <w:tcW w:type="dxa" w:w="230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Enterprise repetitions</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2</w:t>
            </w:r>
          </w:p>
        </w:tc>
      </w:tr>
      <w:tr>
        <w:trPr>
          <w:cantSplit/>
        </w:trPr>
        <w:tc>
          <w:tcPr>
            <w:tcW w:type="dxa" w:w="230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Total training rows</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206</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10,372</w:t>
            </w:r>
          </w:p>
        </w:tc>
      </w:tr>
      <w:tr>
        <w:trPr>
          <w:cantSplit/>
        </w:trPr>
        <w:tc>
          <w:tcPr>
            <w:tcW w:type="dxa" w:w="230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Calibration records requested</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16</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128</w:t>
            </w:r>
          </w:p>
        </w:tc>
      </w:tr>
      <w:tr>
        <w:trPr>
          <w:cantSplit/>
        </w:trPr>
        <w:tc>
          <w:tcPr>
            <w:tcW w:type="dxa" w:w="230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Requested MLP fraction</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0.05</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0.05</w:t>
            </w:r>
          </w:p>
        </w:tc>
      </w:tr>
      <w:tr>
        <w:trPr>
          <w:cantSplit/>
        </w:trPr>
        <w:tc>
          <w:tcPr>
            <w:tcW w:type="dxa" w:w="230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Maximum conversation tokens</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4,096</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4,096</w:t>
            </w:r>
          </w:p>
        </w:tc>
      </w:tr>
      <w:tr>
        <w:trPr>
          <w:cantSplit/>
        </w:trPr>
        <w:tc>
          <w:tcPr>
            <w:tcW w:type="dxa" w:w="230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Optimizer steps</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10 completed</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650 configured</w:t>
            </w:r>
          </w:p>
        </w:tc>
      </w:tr>
      <w:tr>
        <w:trPr>
          <w:cantSplit/>
        </w:trPr>
        <w:tc>
          <w:tcPr>
            <w:tcW w:type="dxa" w:w="230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Microbatch and accumulation</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 and 16</w:t>
            </w:r>
          </w:p>
        </w:tc>
        <w:tc>
          <w:tcPr>
            <w:tcW w:type="dxa" w:w="388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 and 16</w:t>
            </w:r>
          </w:p>
        </w:tc>
      </w:tr>
    </w:tbl>
    <w:p>
      <w:pPr>
        <w:keepNext/>
        <w:spacing w:line="240" w:lineRule="auto" w:after="60"/>
      </w:pPr>
      <w:r>
        <w:rPr>
          <w:rFonts w:ascii="Times New Roman" w:hAnsi="Times New Roman" w:cs="Times New Roman" w:eastAsia="Times New Roman"/>
          <w:b w:val="0"/>
          <w:color w:val="000000"/>
        </w:rPr>
      </w:r>
    </w:p>
    <w:p>
      <w:bookmarkStart w:id="43" w:name="b333a182553010850119a"/>
      <w:pPr>
        <w:pStyle w:val="Heading2"/>
        <w:keepNext/>
      </w:pPr>
      <w:r>
        <w:rPr>
          <w:rFonts w:ascii="Times New Roman" w:hAnsi="Times New Roman" w:cs="Times New Roman" w:eastAsia="Times New Roman"/>
          <w:b/>
          <w:color w:val="000000"/>
          <w:sz w:val="24"/>
        </w:rPr>
        <w:t>6.4 NF4 export and artifact verification</w:t>
      </w:r>
      <w:bookmarkEnd w:id="43"/>
    </w:p>
    <w:p>
      <w:r>
        <w:rPr>
          <w:rFonts w:ascii="Times New Roman" w:hAnsi="Times New Roman" w:cs="Times New Roman" w:eastAsia="Times New Roman"/>
          <w:b w:val="0"/>
          <w:color w:val="000000"/>
        </w:rPr>
        <w:t>The merged model is loaded with bitsandbytes NF4, double quantization and BF16 compute [11]. The export records its quantization configuration and requires actual 4-bit linear modules. A saved checkpoint is reloaded and checked again. Only after these steps and unchanged-source checks pass is model_4bit exposed as the completed result.</w:t>
      </w:r>
    </w:p>
    <w:p>
      <w:r>
        <w:rPr>
          <w:rFonts w:ascii="Times New Roman" w:hAnsi="Times New Roman" w:cs="Times New Roman" w:eastAsia="Times New Roman"/>
          <w:b w:val="0"/>
          <w:color w:val="000000"/>
        </w:rPr>
        <w:t>The exported checkpoint is nominally 4-bit. Embeddings, normalisation and some output weights retain higher precision. Export bytes are disk storage, not measured peak VRAM. Support for GGUF, AWQ or a specific production inference server is not claimed by this NF4 path.</w:t>
      </w:r>
    </w:p>
    <w:p>
      <w:bookmarkStart w:id="44" w:name="b46ff05542f793ebb4f52"/>
      <w:pPr>
        <w:pStyle w:val="Heading2"/>
        <w:keepNext/>
      </w:pPr>
      <w:r>
        <w:rPr>
          <w:rFonts w:ascii="Times New Roman" w:hAnsi="Times New Roman" w:cs="Times New Roman" w:eastAsia="Times New Roman"/>
          <w:b/>
          <w:color w:val="000000"/>
          <w:sz w:val="24"/>
        </w:rPr>
        <w:t>6.5 Runtime and resumption</w:t>
      </w:r>
      <w:bookmarkEnd w:id="44"/>
    </w:p>
    <w:p>
      <w:r>
        <w:rPr>
          <w:rFonts w:ascii="Times New Roman" w:hAnsi="Times New Roman" w:cs="Times New Roman" w:eastAsia="Times New Roman"/>
          <w:b w:val="0"/>
          <w:color w:val="000000"/>
        </w:rPr>
        <w:t>Execution requires Linux, one visible NVIDIA CUDA device and BF16 support. The reported RunPod device is an A100-SXM4-80GB. The local development environment did not execute model training. GPU dependency packages are optional and Linux-scoped. The model stages check capacity before downloading weights.</w:t>
      </w:r>
    </w:p>
    <w:p>
      <w:r>
        <w:rPr>
          <w:rFonts w:ascii="Times New Roman" w:hAnsi="Times New Roman" w:cs="Times New Roman" w:eastAsia="Times New Roman"/>
          <w:b w:val="0"/>
          <w:color w:val="000000"/>
        </w:rPr>
        <w:t>Inputs, configuration, training code and runtime versions bind the experiment fingerprint. Completed stages are reused after hash verification. Interrupted pruning and export restart their unfinished stage. Recovery chooses the latest complete adapter, optimizer, scheduler and RNG checkpoint, ignoring incomplete checkpoint writes. A changed experiment uses a new output directory. Appendix B records the operational contract without turning the main report into a command manual.</w:t>
      </w:r>
    </w:p>
    <w:p>
      <w:bookmarkStart w:id="45" w:name="b471cbb0e4f763a3ee9a4"/>
      <w:pPr>
        <w:pStyle w:val="Heading1"/>
        <w:keepNext/>
        <w:pageBreakBefore/>
      </w:pPr>
      <w:r>
        <w:rPr>
          <w:rFonts w:ascii="Times New Roman" w:hAnsi="Times New Roman" w:cs="Times New Roman" w:eastAsia="Times New Roman"/>
          <w:b/>
          <w:color w:val="000000"/>
          <w:sz w:val="28"/>
        </w:rPr>
        <w:t>7 Results and interpretation</w:t>
      </w:r>
      <w:bookmarkEnd w:id="45"/>
    </w:p>
    <w:p>
      <w:bookmarkStart w:id="46" w:name="bdab98ea03ee437091d7a"/>
      <w:pPr>
        <w:pStyle w:val="Heading2"/>
        <w:keepNext/>
      </w:pPr>
      <w:r>
        <w:rPr>
          <w:rFonts w:ascii="Times New Roman" w:hAnsi="Times New Roman" w:cs="Times New Roman" w:eastAsia="Times New Roman"/>
          <w:b/>
          <w:color w:val="000000"/>
          <w:sz w:val="24"/>
        </w:rPr>
        <w:t>7.1 Software and data evidence</w:t>
      </w:r>
      <w:bookmarkEnd w:id="46"/>
    </w:p>
    <w:p>
      <w:r>
        <w:rPr>
          <w:rFonts w:ascii="Times New Roman" w:hAnsi="Times New Roman" w:cs="Times New Roman" w:eastAsia="Times New Roman"/>
          <w:b w:val="0"/>
          <w:color w:val="000000"/>
        </w:rPr>
        <w:t>The recorded local regression suite after the training-argument correction contains 375 passing tests and two skips. One skip requires a Docker daemon; the other is the opt-in CUDA test excluded on macOS. Synthetic and mocked tests cover schema, orchestration, recovery and failure boundaries. They do not establish real model accuracy. The later server CUDA test is a separate observation.</w:t>
      </w:r>
    </w:p>
    <w:p>
      <w:r>
        <w:rPr>
          <w:rFonts w:ascii="Times New Roman" w:hAnsi="Times New Roman" w:cs="Times New Roman" w:eastAsia="Times New Roman"/>
          <w:b w:val="0"/>
          <w:color w:val="000000"/>
        </w:rPr>
        <w:t>A private-Hub restoration test retrieved 206 enterprise records, preserved split membership and retained the incomplete-source warning. Earlier source audits found 404 fingerprinted resource/export files unchanged. The current policy corpus was also read directly: ten PDFs and forty pages. These checks support reproducibility and preservation of source artifacts.</w:t>
      </w:r>
    </w:p>
    <w:p>
      <w:r>
        <w:rPr>
          <w:rFonts w:ascii="Times New Roman" w:hAnsi="Times New Roman" w:cs="Times New Roman" w:eastAsia="Times New Roman"/>
          <w:b w:val="0"/>
          <w:color w:val="000000"/>
        </w:rPr>
        <w:t>The larger native validation reports COMPLETED, 10,000 records checked and full approved selection validated. Its scope is the approved selection and indexed enterprise holdouts. No local execution of all external code tests or all-corpus benchmark contamination audit is implied. Appendix A records evidence identifiers so that artifact inspection, server output and derived arithmetic can be distinguished.</w:t>
      </w:r>
    </w:p>
    <w:p>
      <w:bookmarkStart w:id="47" w:name="bce47216bab90856e4f31"/>
      <w:pPr>
        <w:pStyle w:val="Heading2"/>
        <w:keepNext/>
      </w:pPr>
      <w:r>
        <w:rPr>
          <w:rFonts w:ascii="Times New Roman" w:hAnsi="Times New Roman" w:cs="Times New Roman" w:eastAsia="Times New Roman"/>
          <w:b/>
          <w:color w:val="000000"/>
          <w:sz w:val="24"/>
        </w:rPr>
        <w:t>7.2 RunPod compatibility findings</w:t>
      </w:r>
      <w:bookmarkEnd w:id="47"/>
    </w:p>
    <w:p>
      <w:r>
        <w:rPr>
          <w:rFonts w:ascii="Times New Roman" w:hAnsi="Times New Roman" w:cs="Times New Roman" w:eastAsia="Times New Roman"/>
          <w:b w:val="0"/>
          <w:color w:val="000000"/>
        </w:rPr>
        <w:t>The first real CUDA smoke test failed before optimizer construction because Transformers TrainingArguments no longer accepted warmup_ratio. The trace showed successful CUDA access and pruned-checkpoint save/load. The implementation now calculates absolute warmup steps and checks its keyword set against the installed dataclass fields. The rerun reported one passing CUDA test with thirteen warnings in 9.04 seconds.</w:t>
      </w:r>
    </w:p>
    <w:p>
      <w:r>
        <w:rPr>
          <w:rFonts w:ascii="Times New Roman" w:hAnsi="Times New Roman" w:cs="Times New Roman" w:eastAsia="Times New Roman"/>
          <w:b w:val="0"/>
          <w:color w:val="000000"/>
        </w:rPr>
        <w:t>The warnings included deprecated pin-memory arguments and a slow-kernel fallback for the tiny model's intermediate dimension 224. They did not make the test fail. That artificial dimension is not evidence of the same fallback in the actual 14B run. The successful test covers tiny-model pruning, real LoRA updates, merge, NF4 save and reload.</w:t>
      </w:r>
    </w:p>
    <w:p>
      <w:r>
        <w:rPr>
          <w:rFonts w:ascii="Times New Roman" w:hAnsi="Times New Roman" w:cs="Times New Roman" w:eastAsia="Times New Roman"/>
          <w:b w:val="0"/>
          <w:color w:val="000000"/>
        </w:rPr>
        <w:t>Another preflight failure was caused by directing output to a 50GB container filesystem with about 43GB free. Changing the output to the mounted workspace volume allowed the capacity check to pass. A path accidentally containing the literal prompt label was also corrected. These observations motivate explicit path previews and storage checks; they do not measure training memory peaks.</w:t>
      </w:r>
    </w:p>
    <w:p>
      <w:bookmarkStart w:id="48" w:name="bdbc4279fa71ed12a1fd3"/>
      <w:pPr>
        <w:pStyle w:val="Heading2"/>
        <w:keepNext/>
      </w:pPr>
      <w:r>
        <w:rPr>
          <w:rFonts w:ascii="Times New Roman" w:hAnsi="Times New Roman" w:cs="Times New Roman" w:eastAsia="Times New Roman"/>
          <w:b/>
          <w:color w:val="000000"/>
          <w:sz w:val="24"/>
        </w:rPr>
        <w:t>7.3 Completed Qwen3 smoke experiment</w:t>
      </w:r>
      <w:bookmarkEnd w:id="48"/>
    </w:p>
    <w:p>
      <w:r>
        <w:rPr>
          <w:rFonts w:ascii="Times New Roman" w:hAnsi="Times New Roman" w:cs="Times New Roman" w:eastAsia="Times New Roman"/>
          <w:b w:val="0"/>
          <w:color w:val="000000"/>
        </w:rPr>
        <w:t>The supplied server transcript records ten optimizer steps over 206 training rows. Training runtime was 184.4 seconds and reported training loss was 2.472. It then saved merged weights, exported three NF4 shards, reloaded them and reported COMPLETED_WITH_WARNINGS with final model ready true. Table 7.1 contains the subsequent report values supplied from the server.</w:t>
      </w:r>
    </w:p>
    <w:p>
      <w:bookmarkStart w:id="49" w:name="bae65e6e672fd4228460c"/>
      <w:pPr>
        <w:keepNext/>
        <w:spacing w:line="276" w:lineRule="auto" w:after="120"/>
        <w:jc w:val="left"/>
      </w:pPr>
      <w:r>
        <w:rPr>
          <w:rFonts w:ascii="Times New Roman" w:hAnsi="Times New Roman" w:cs="Times New Roman" w:eastAsia="Times New Roman"/>
          <w:b w:val="0"/>
          <w:color w:val="000000"/>
          <w:sz w:val="22"/>
        </w:rPr>
        <w:t>Table 7.1 Completed 14B smoke export reported from RunPod</w:t>
      </w:r>
      <w:bookmarkEnd w:id="4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Measurement</w:t>
            </w:r>
          </w:p>
        </w:tc>
        <w:tc>
          <w:tcPr>
            <w:tcW w:type="dxa" w:w="6048"/>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Value</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Original parameters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14,768,307,200</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Pruned parameters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14,296,448,000</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Removed parameters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471,859,200</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Total parameter reduction</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Approximately 3.20%</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Exported file bytes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9,696,947,260</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Export size</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Approximately 9.70GB or 9.03GiB</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Recovery optimizer steps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10</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Recovery training runtime</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184.4 seconds</w:t>
            </w:r>
          </w:p>
        </w:tc>
      </w:tr>
    </w:tbl>
    <w:p>
      <w:pPr>
        <w:keepNext/>
        <w:spacing w:line="240" w:lineRule="auto" w:after="60"/>
      </w:pPr>
      <w:r>
        <w:rPr>
          <w:rFonts w:ascii="Times New Roman" w:hAnsi="Times New Roman" w:cs="Times New Roman" w:eastAsia="Times New Roman"/>
          <w:b w:val="0"/>
          <w:color w:val="000000"/>
        </w:rPr>
      </w:r>
    </w:p>
    <w:p>
      <w:r>
        <w:rPr>
          <w:rFonts w:ascii="Times New Roman" w:hAnsi="Times New Roman" w:cs="Times New Roman" w:eastAsia="Times New Roman"/>
          <w:b w:val="0"/>
          <w:color w:val="000000"/>
        </w:rPr>
        <w:t>Five per cent requested MLP pruning yielded about 3.20% total parameter reduction because the procedure preserves other components and uses aligned channel widths. No latency or VRAM reduction percentage was measured. The two warnings disclose an accepted enterprise subset from an incomplete producer and a small external smoke selection. Neither warning is evidence that policy learning or coding quality was established.</w:t>
      </w:r>
    </w:p>
    <w:p>
      <w:r>
        <w:rPr>
          <w:rFonts w:ascii="Times New Roman" w:hAnsi="Times New Roman" w:cs="Times New Roman" w:eastAsia="Times New Roman"/>
          <w:b w:val="0"/>
          <w:color w:val="000000"/>
        </w:rPr>
        <w:t>The terminal transcript and values were supplied by the operator. Remote checkpoint files and the server report were not copied into the local evidence collection. Their checksums and complete provenance must be archived before publication. The report treats this as recorded execution evidence with that limitation.</w:t>
      </w:r>
    </w:p>
    <w:p>
      <w:bookmarkStart w:id="50" w:name="b622fedf23059d9737b18"/>
      <w:pPr>
        <w:pStyle w:val="Heading2"/>
        <w:keepNext/>
      </w:pPr>
      <w:r>
        <w:rPr>
          <w:rFonts w:ascii="Times New Roman" w:hAnsi="Times New Roman" w:cs="Times New Roman" w:eastAsia="Times New Roman"/>
          <w:b/>
          <w:color w:val="000000"/>
          <w:sz w:val="24"/>
        </w:rPr>
        <w:t>7.4 Larger coding-focused run in progress</w:t>
      </w:r>
      <w:bookmarkEnd w:id="50"/>
    </w:p>
    <w:p>
      <w:r>
        <w:rPr>
          <w:rFonts w:ascii="Times New Roman" w:hAnsi="Times New Roman" w:cs="Times New Roman" w:eastAsia="Times New Roman"/>
          <w:b w:val="0"/>
          <w:color w:val="000000"/>
        </w:rPr>
        <w:t>The larger run's available log shows 10,372 rows and progress through approximately 184 of 650 optimizer steps, with epoch 0.2838. Early reported losses were mostly between 0.45 and 0.72. Later entries were often around 0.12 to 0.35, with the last supplied value 0.1945. The gradient norm and learning-rate entries are finite. The learning rate warmed up to 0.00002 and then decreased.</w:t>
      </w:r>
    </w:p>
    <w:p>
      <w:r>
        <w:rPr>
          <w:rFonts w:ascii="Times New Roman" w:hAnsi="Times New Roman" w:cs="Times New Roman" w:eastAsia="Times New Roman"/>
          <w:b w:val="0"/>
          <w:color w:val="000000"/>
        </w:rPr>
        <w:t>These observations support that the optimization loop was active and fitting the sampled training targets. Different batches have different lengths and difficulty, so individual loss entries are not a controlled before-and-after test. The log does not contain a held-out eval_loss and cannot diagnose generalisation or overfitting. It does not establish a coding pass-rate improvement or a final export for this larger run.</w:t>
      </w:r>
    </w:p>
    <w:p>
      <w:commentRangeStart w:id="0"/>
      <w:r>
        <w:rPr>
          <w:rFonts w:ascii="Times New Roman" w:hAnsi="Times New Roman" w:cs="Times New Roman" w:eastAsia="Times New Roman"/>
          <w:b w:val="0"/>
          <w:i/>
          <w:color w:val="000000"/>
          <w:sz w:val="22"/>
        </w:rPr>
        <w:t>Completion note R1: replace this progress snapshot with the final larger-run report, exact data/model pins, training duration, final export checksums and observed warnings. Keep the ten-step experiment separate from the larger run. Do not promote its success to an unobserved 650-step result.</w:t>
      </w:r>
      <w:commentRangeEnd w:id="0"/>
      <w:r>
        <w:rPr>
          <w:rStyle w:val="CommentReference"/>
        </w:rPr>
        <w:commentReference w:id="0"/>
      </w:r>
    </w:p>
    <w:p>
      <w:bookmarkStart w:id="51" w:name="bba4a77e6d1f7cecdc30c"/>
      <w:pPr>
        <w:pStyle w:val="Heading2"/>
        <w:keepNext/>
      </w:pPr>
      <w:r>
        <w:rPr>
          <w:rFonts w:ascii="Times New Roman" w:hAnsi="Times New Roman" w:cs="Times New Roman" w:eastAsia="Times New Roman"/>
          <w:b/>
          <w:color w:val="000000"/>
          <w:sz w:val="24"/>
        </w:rPr>
        <w:t>7.5 Threats to validity</w:t>
      </w:r>
      <w:bookmarkEnd w:id="51"/>
    </w:p>
    <w:p>
      <w:r>
        <w:rPr>
          <w:rFonts w:ascii="Times New Roman" w:hAnsi="Times New Roman" w:cs="Times New Roman" w:eastAsia="Times New Roman"/>
          <w:b w:val="0"/>
          <w:color w:val="000000"/>
        </w:rPr>
        <w:t>The enterprise dataset is small, includes knowledge-only coding records and inherits an incomplete producer. Its validation set has no policy examples. The external sampler draws from a bounded prefix rather than uniformly from the full dataset. Upstream training overlap with public benchmarks is unresolved. Model-assisted review and generated tests can share errors with their generators.</w:t>
      </w:r>
    </w:p>
    <w:p>
      <w:r>
        <w:rPr>
          <w:rFonts w:ascii="Times New Roman" w:hAnsi="Times New Roman" w:cs="Times New Roman" w:eastAsia="Times New Roman"/>
          <w:b w:val="0"/>
          <w:color w:val="000000"/>
        </w:rPr>
        <w:t>Pruning importance is sample-dependent. Recovery LoRA may fail to restore some lost capabilities, and NF4 can change behaviour after merging. A single GPU run and a single seed provide limited evidence about repeatability. The present numbers quantify data processing, structural reduction and technical execution. Claims about model quality, robustness, efficiency or business usefulness require the remaining comparisons.</w:t>
      </w:r>
    </w:p>
    <w:p>
      <w:bookmarkStart w:id="52" w:name="b4bd7a0c2fbff4ddae180"/>
      <w:pPr>
        <w:pStyle w:val="Heading1"/>
        <w:keepNext/>
        <w:pageBreakBefore/>
      </w:pPr>
      <w:r>
        <w:rPr>
          <w:rFonts w:ascii="Times New Roman" w:hAnsi="Times New Roman" w:cs="Times New Roman" w:eastAsia="Times New Roman"/>
          <w:b/>
          <w:color w:val="000000"/>
          <w:sz w:val="28"/>
        </w:rPr>
        <w:t>8 Evaluation and remaining customisation</w:t>
      </w:r>
      <w:bookmarkEnd w:id="52"/>
    </w:p>
    <w:p>
      <w:bookmarkStart w:id="53" w:name="bdc96ab78879ca150be78"/>
      <w:pPr>
        <w:pStyle w:val="Heading2"/>
        <w:keepNext/>
      </w:pPr>
      <w:r>
        <w:rPr>
          <w:rFonts w:ascii="Times New Roman" w:hAnsi="Times New Roman" w:cs="Times New Roman" w:eastAsia="Times New Roman"/>
          <w:b/>
          <w:color w:val="000000"/>
          <w:sz w:val="24"/>
        </w:rPr>
        <w:t>8.1 Comparison design</w:t>
      </w:r>
      <w:bookmarkEnd w:id="53"/>
    </w:p>
    <w:p>
      <w:commentRangeStart w:id="1"/>
      <w:r>
        <w:rPr>
          <w:rFonts w:ascii="Times New Roman" w:hAnsi="Times New Roman" w:cs="Times New Roman" w:eastAsia="Times New Roman"/>
          <w:b w:val="0"/>
          <w:i/>
          <w:color w:val="000000"/>
          <w:sz w:val="22"/>
        </w:rPr>
        <w:t>Completion note E1: define and freeze evaluation task IDs, source revisions, contamination checks, prompt templates, decoding settings and scoring code. Complete evaluation after the larger run. Results are pending.</w:t>
      </w:r>
      <w:commentRangeEnd w:id="1"/>
      <w:r>
        <w:rPr>
          <w:rStyle w:val="CommentReference"/>
        </w:rPr>
        <w:commentReference w:id="1"/>
      </w:r>
    </w:p>
    <w:p>
      <w:r>
        <w:rPr>
          <w:rFonts w:ascii="Times New Roman" w:hAnsi="Times New Roman" w:cs="Times New Roman" w:eastAsia="Times New Roman"/>
          <w:b w:val="0"/>
          <w:color w:val="000000"/>
        </w:rPr>
        <w:t>The comparison should include the pinned original Qwen3-14B, the pruned checkpoint before recovery, the recovered merged BF16 checkpoint and the final NF4 checkpoint. This separates pruning effects, training effects and final quantization effects. An original NF4 control is useful when isolating the additional benefit or cost of structural pruning. Each condition must use the same task set, prompt information, generation budget and hardware policy.</w:t>
      </w:r>
    </w:p>
    <w:p>
      <w:r>
        <w:rPr>
          <w:rFonts w:ascii="Times New Roman" w:hAnsi="Times New Roman" w:cs="Times New Roman" w:eastAsia="Times New Roman"/>
          <w:b w:val="0"/>
          <w:color w:val="000000"/>
        </w:rPr>
        <w:t>A mixed-data run cannot identify the effect of each training source separately. If the publication attributes a gain specifically to NVIDIA data or to corporate examples, add otherwise matched source-ablation controls and report their additional training cost.</w:t>
      </w:r>
    </w:p>
    <w:p>
      <w:r>
        <w:rPr>
          <w:rFonts w:ascii="Times New Roman" w:hAnsi="Times New Roman" w:cs="Times New Roman" w:eastAsia="Times New Roman"/>
          <w:b w:val="0"/>
          <w:color w:val="000000"/>
        </w:rPr>
        <w:t>Since the coding run has already begun, any newly assembled benchmark must be described honestly as selected after training started. It should be frozen before inspecting model answers, screened against the selected training records, and withheld from model selection. Existing enterprise test records remain held out. The small validation split cannot be reused as a broad policy-evaluation claim.</w:t>
      </w:r>
    </w:p>
    <w:p>
      <w:bookmarkStart w:id="54" w:name="be2bd5aa2f27562d38746"/>
      <w:pPr>
        <w:keepNext/>
        <w:spacing w:line="276" w:lineRule="auto" w:after="120"/>
        <w:jc w:val="left"/>
      </w:pPr>
      <w:r>
        <w:rPr>
          <w:rFonts w:ascii="Times New Roman" w:hAnsi="Times New Roman" w:cs="Times New Roman" w:eastAsia="Times New Roman"/>
          <w:b w:val="0"/>
          <w:color w:val="000000"/>
          <w:sz w:val="22"/>
        </w:rPr>
        <w:t>Table 8.1 Evaluation results to complete</w:t>
      </w:r>
      <w:bookmarkEnd w:id="5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448"/>
        <w:gridCol w:w="1728"/>
        <w:gridCol w:w="2592"/>
      </w:tblGrid>
      <w:tr>
        <w:trPr>
          <w:cantSplit/>
          <w:tblHeader/>
        </w:trPr>
        <w:tc>
          <w:tcPr>
            <w:tcW w:type="dxa" w:w="3312"/>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Condition</w:t>
            </w:r>
          </w:p>
        </w:tc>
        <w:tc>
          <w:tcPr>
            <w:tcW w:type="dxa" w:w="2448"/>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Coding execution score</w:t>
            </w:r>
          </w:p>
        </w:tc>
        <w:tc>
          <w:tcPr>
            <w:tcW w:type="dxa" w:w="1728"/>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Policy score</w:t>
            </w:r>
          </w:p>
        </w:tc>
        <w:tc>
          <w:tcPr>
            <w:tcW w:type="dxa" w:w="2592"/>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Latency and VRAM</w:t>
            </w:r>
          </w:p>
        </w:tc>
      </w:tr>
      <w:tr>
        <w:trPr>
          <w:cantSplit/>
        </w:trPr>
        <w:tc>
          <w:tcPr>
            <w:tcW w:type="dxa" w:w="331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Original BF16</w:t>
            </w:r>
          </w:p>
        </w:tc>
        <w:tc>
          <w:tcPr>
            <w:tcW w:type="dxa" w:w="244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c>
          <w:tcPr>
            <w:tcW w:type="dxa" w:w="17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c>
          <w:tcPr>
            <w:tcW w:type="dxa" w:w="259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r>
      <w:tr>
        <w:trPr>
          <w:cantSplit/>
        </w:trPr>
        <w:tc>
          <w:tcPr>
            <w:tcW w:type="dxa" w:w="331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Pruned before recovery</w:t>
            </w:r>
          </w:p>
        </w:tc>
        <w:tc>
          <w:tcPr>
            <w:tcW w:type="dxa" w:w="244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c>
          <w:tcPr>
            <w:tcW w:type="dxa" w:w="17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c>
          <w:tcPr>
            <w:tcW w:type="dxa" w:w="259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r>
      <w:tr>
        <w:trPr>
          <w:cantSplit/>
        </w:trPr>
        <w:tc>
          <w:tcPr>
            <w:tcW w:type="dxa" w:w="331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Recovered merged BF16</w:t>
            </w:r>
          </w:p>
        </w:tc>
        <w:tc>
          <w:tcPr>
            <w:tcW w:type="dxa" w:w="244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c>
          <w:tcPr>
            <w:tcW w:type="dxa" w:w="17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c>
          <w:tcPr>
            <w:tcW w:type="dxa" w:w="259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r>
      <w:tr>
        <w:trPr>
          <w:cantSplit/>
        </w:trPr>
        <w:tc>
          <w:tcPr>
            <w:tcW w:type="dxa" w:w="331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Final pruned NF4</w:t>
            </w:r>
          </w:p>
        </w:tc>
        <w:tc>
          <w:tcPr>
            <w:tcW w:type="dxa" w:w="244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c>
          <w:tcPr>
            <w:tcW w:type="dxa" w:w="17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c>
          <w:tcPr>
            <w:tcW w:type="dxa" w:w="259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Pending</w:t>
            </w:r>
          </w:p>
        </w:tc>
      </w:tr>
      <w:tr>
        <w:trPr>
          <w:cantSplit/>
        </w:trPr>
        <w:tc>
          <w:tcPr>
            <w:tcW w:type="dxa" w:w="331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Original NF4 control</w:t>
            </w:r>
          </w:p>
        </w:tc>
        <w:tc>
          <w:tcPr>
            <w:tcW w:type="dxa" w:w="244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Optional pending control</w:t>
            </w:r>
          </w:p>
        </w:tc>
        <w:tc>
          <w:tcPr>
            <w:tcW w:type="dxa" w:w="17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Optional pending control</w:t>
            </w:r>
          </w:p>
        </w:tc>
        <w:tc>
          <w:tcPr>
            <w:tcW w:type="dxa" w:w="259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Optional pending control</w:t>
            </w:r>
          </w:p>
        </w:tc>
      </w:tr>
    </w:tbl>
    <w:p>
      <w:pPr>
        <w:keepNext/>
        <w:spacing w:line="240" w:lineRule="auto" w:after="60"/>
      </w:pPr>
      <w:r>
        <w:rPr>
          <w:rFonts w:ascii="Times New Roman" w:hAnsi="Times New Roman" w:cs="Times New Roman" w:eastAsia="Times New Roman"/>
          <w:b w:val="0"/>
          <w:color w:val="000000"/>
        </w:rPr>
      </w:r>
    </w:p>
    <w:p>
      <w:bookmarkStart w:id="55" w:name="b2f6f5ac58d7c8c565c22"/>
      <w:pPr>
        <w:pStyle w:val="Heading2"/>
        <w:keepNext/>
      </w:pPr>
      <w:r>
        <w:rPr>
          <w:rFonts w:ascii="Times New Roman" w:hAnsi="Times New Roman" w:cs="Times New Roman" w:eastAsia="Times New Roman"/>
          <w:b/>
          <w:color w:val="000000"/>
          <w:sz w:val="24"/>
        </w:rPr>
        <w:t>8.2 Coding and enterprise assessment</w:t>
      </w:r>
      <w:bookmarkEnd w:id="55"/>
    </w:p>
    <w:p>
      <w:r>
        <w:rPr>
          <w:rFonts w:ascii="Times New Roman" w:hAnsi="Times New Roman" w:cs="Times New Roman" w:eastAsia="Times New Roman"/>
          <w:b w:val="0"/>
          <w:color w:val="000000"/>
        </w:rPr>
        <w:t>Coding assessment should prioritise independently executed tests. HumanEval or MBPP can be considered with contamination controls and source-specific licences [6, 7]. A pass-at-one result requires a fixed one-solution policy and a documented test harness. Syntax, explanation quality and execution success should be reported separately. Tests require isolation, timeouts and protected hidden cases; generated code should not run freely on the host. Python benchmark gains cannot establish improvement in Kotlin or TypeScript; those repository languages need separate tasks and runtimes.</w:t>
      </w:r>
    </w:p>
    <w:p>
      <w:r>
        <w:rPr>
          <w:rFonts w:ascii="Times New Roman" w:hAnsi="Times New Roman" w:cs="Times New Roman" w:eastAsia="Times New Roman"/>
          <w:b w:val="0"/>
          <w:color w:val="000000"/>
        </w:rPr>
        <w:t>Enterprise assessment should ask about explicit requirements, approval conditions, numeric limits and exceptions. It should also include unsupported questions where the correct behaviour is to acknowledge missing information. A scoring rubric should distinguish a correct answer, a missing condition, an unsupported assertion and an inappropriate disclosure. Human adjudication is needed for ambiguous policy cases. Evidence of fitting policy training targets alone does not demonstrate held-out policy understanding.</w:t>
      </w:r>
    </w:p>
    <w:p>
      <w:r>
        <w:rPr>
          <w:rFonts w:ascii="Times New Roman" w:hAnsi="Times New Roman" w:cs="Times New Roman" w:eastAsia="Times New Roman"/>
          <w:b w:val="0"/>
          <w:color w:val="000000"/>
        </w:rPr>
        <w:t>Distinguish closed-book questions about facts available during adaptation from context-provided questions about held-out policy documents. The latter assess the use of supplied evidence. Unseen company-specific facts must not be scored as though the model had been taught them. Record the information available to each model condition.</w:t>
      </w:r>
    </w:p>
    <w:p>
      <w:bookmarkStart w:id="56" w:name="b10782daec2ef6a4b10b6"/>
      <w:pPr>
        <w:pStyle w:val="Heading2"/>
        <w:keepNext/>
      </w:pPr>
      <w:r>
        <w:rPr>
          <w:rFonts w:ascii="Times New Roman" w:hAnsi="Times New Roman" w:cs="Times New Roman" w:eastAsia="Times New Roman"/>
          <w:b/>
          <w:color w:val="000000"/>
          <w:sz w:val="24"/>
        </w:rPr>
        <w:t>8.3 Efficiency and robustness measurements</w:t>
      </w:r>
      <w:bookmarkEnd w:id="56"/>
    </w:p>
    <w:p>
      <w:commentRangeStart w:id="2"/>
      <w:r>
        <w:rPr>
          <w:rFonts w:ascii="Times New Roman" w:hAnsi="Times New Roman" w:cs="Times New Roman" w:eastAsia="Times New Roman"/>
          <w:b w:val="0"/>
          <w:i/>
          <w:color w:val="000000"/>
          <w:sz w:val="22"/>
        </w:rPr>
        <w:t>Completion note E2: measure peak GPU memory, prompt-processing latency, first-token latency, generation throughput and disk bytes using matched workloads. Record repeated runs and spread, not a single best time. The 80GB GPU choice is capacity headroom, not a measured requirement or demonstrated savings claim.</w:t>
      </w:r>
      <w:commentRangeEnd w:id="2"/>
      <w:r>
        <w:rPr>
          <w:rStyle w:val="CommentReference"/>
        </w:rPr>
        <w:commentReference w:id="2"/>
      </w:r>
    </w:p>
    <w:p>
      <w:commentRangeStart w:id="3"/>
      <w:r>
        <w:rPr>
          <w:rFonts w:ascii="Times New Roman" w:hAnsi="Times New Roman" w:cs="Times New Roman" w:eastAsia="Times New Roman"/>
          <w:b w:val="0"/>
          <w:i/>
          <w:color w:val="000000"/>
          <w:sz w:val="22"/>
        </w:rPr>
        <w:t>Completion note S1: implement and execute the bounded robustness audit. Tests should cover direct and indirect instruction override, attempts to obtain hidden credentials or unrelated source material, and policy conditions that conflict with a user's request. Expected outcomes and failure categories need to be fixed before interpreting success rates. The audit should follow an explicit threat model informed by indirect prompt injection work [12] and OWASP [13]. Passing a finite attack set cannot guarantee absence of all backdoors or leakage.</w:t>
      </w:r>
      <w:commentRangeEnd w:id="3"/>
      <w:r>
        <w:rPr>
          <w:rStyle w:val="CommentReference"/>
        </w:rPr>
        <w:commentReference w:id="3"/>
      </w:r>
    </w:p>
    <w:p>
      <w:bookmarkStart w:id="57" w:name="b9a988ea6c05b73c7d186"/>
      <w:pPr>
        <w:pStyle w:val="Heading2"/>
        <w:keepNext/>
      </w:pPr>
      <w:r>
        <w:rPr>
          <w:rFonts w:ascii="Times New Roman" w:hAnsi="Times New Roman" w:cs="Times New Roman" w:eastAsia="Times New Roman"/>
          <w:b/>
          <w:color w:val="000000"/>
          <w:sz w:val="24"/>
        </w:rPr>
        <w:t>8.4 Further domain customisation</w:t>
      </w:r>
      <w:bookmarkEnd w:id="57"/>
    </w:p>
    <w:p>
      <w:commentRangeStart w:id="4"/>
      <w:r>
        <w:rPr>
          <w:rFonts w:ascii="Times New Roman" w:hAnsi="Times New Roman" w:cs="Times New Roman" w:eastAsia="Times New Roman"/>
          <w:b w:val="0"/>
          <w:i/>
          <w:color w:val="000000"/>
          <w:sz w:val="22"/>
        </w:rPr>
        <w:t>Completion note C1: complete the narrow corporate-response behaviour and any examples that connect policy requirements to code. LoRA adaptation already exists; the separate future customisation interface and its behavioural acceptance tests are unfinished.</w:t>
      </w:r>
      <w:commentRangeEnd w:id="4"/>
      <w:r>
        <w:rPr>
          <w:rStyle w:val="CommentReference"/>
        </w:rPr>
        <w:commentReference w:id="4"/>
      </w:r>
    </w:p>
    <w:p>
      <w:r>
        <w:rPr>
          <w:rFonts w:ascii="Times New Roman" w:hAnsi="Times New Roman" w:cs="Times New Roman" w:eastAsia="Times New Roman"/>
          <w:b w:val="0"/>
          <w:color w:val="000000"/>
        </w:rPr>
        <w:t>A useful task would ask for a software feature that respects a specified policy condition, with tests for the resulting behaviour. Such tasks would need grounded policy references and independent code tests. They are proposed additions, not records claimed to exist in the current dataset. Topic restrictions are also a behavioural objective; structural pruning does not demonstrate removal of a medical knowledge domain.</w:t>
      </w:r>
    </w:p>
    <w:p>
      <w:r>
        <w:rPr>
          <w:rFonts w:ascii="Times New Roman" w:hAnsi="Times New Roman" w:cs="Times New Roman" w:eastAsia="Times New Roman"/>
          <w:b w:val="0"/>
          <w:color w:val="000000"/>
        </w:rPr>
        <w:t>The completion criteria are a documented corporate task scope, accepted examples reviewed for conditions and exceptions, a fixed test rubric and measured results on held-out questions. Whether further training or application-level controls are needed should follow those observations.</w:t>
      </w:r>
    </w:p>
    <w:p>
      <w:bookmarkStart w:id="58" w:name="bfbef9ea3d277aef607e5"/>
      <w:pPr>
        <w:pStyle w:val="Heading1"/>
        <w:keepNext/>
        <w:pageBreakBefore/>
      </w:pPr>
      <w:r>
        <w:rPr>
          <w:rFonts w:ascii="Times New Roman" w:hAnsi="Times New Roman" w:cs="Times New Roman" w:eastAsia="Times New Roman"/>
          <w:b/>
          <w:color w:val="000000"/>
          <w:sz w:val="28"/>
        </w:rPr>
        <w:t>9 Practical application and publication direction</w:t>
      </w:r>
      <w:bookmarkEnd w:id="58"/>
    </w:p>
    <w:p>
      <w:bookmarkStart w:id="59" w:name="bcb066bd14d357c30ebf1"/>
      <w:pPr>
        <w:pStyle w:val="Heading2"/>
        <w:keepNext/>
      </w:pPr>
      <w:r>
        <w:rPr>
          <w:rFonts w:ascii="Times New Roman" w:hAnsi="Times New Roman" w:cs="Times New Roman" w:eastAsia="Times New Roman"/>
          <w:b/>
          <w:color w:val="000000"/>
          <w:sz w:val="24"/>
        </w:rPr>
        <w:t>9.1 Application boundary</w:t>
      </w:r>
      <w:bookmarkEnd w:id="59"/>
    </w:p>
    <w:p>
      <w:r>
        <w:rPr>
          <w:rFonts w:ascii="Times New Roman" w:hAnsi="Times New Roman" w:cs="Times New Roman" w:eastAsia="Times New Roman"/>
          <w:b w:val="0"/>
          <w:color w:val="000000"/>
        </w:rPr>
        <w:t>The present application is a terminal-operated data and compression framework. Operators can restore the prepared enterprise dataset, prepare a bounded external selection, validate it and launch a Linux GPU experiment. Reports and manifests retain the decisions needed to reproduce selected artifacts. Existing accepted data can move between machines without rerunning generation.</w:t>
      </w:r>
    </w:p>
    <w:p>
      <w:r>
        <w:rPr>
          <w:rFonts w:ascii="Times New Roman" w:hAnsi="Times New Roman" w:cs="Times New Roman" w:eastAsia="Times New Roman"/>
          <w:b w:val="0"/>
          <w:color w:val="000000"/>
        </w:rPr>
        <w:t>A later corporate coding assistant could use the final model behind a repository-aware interface. Access control, document retrieval, code execution isolation and deployment operations would still be application responsibilities. Fine-tuning alone does not implement authorisation over confidential material. Production integration and legal compliance certification are outside the current demonstrated scope.</w:t>
      </w:r>
    </w:p>
    <w:p>
      <w:bookmarkStart w:id="60" w:name="b5ddc5b4569740bb7e4d6"/>
      <w:pPr>
        <w:pStyle w:val="Heading2"/>
        <w:keepNext/>
      </w:pPr>
      <w:r>
        <w:rPr>
          <w:rFonts w:ascii="Times New Roman" w:hAnsi="Times New Roman" w:cs="Times New Roman" w:eastAsia="Times New Roman"/>
          <w:b/>
          <w:color w:val="000000"/>
          <w:sz w:val="24"/>
        </w:rPr>
        <w:t>9.2 Experimental evidence and publication scope</w:t>
      </w:r>
      <w:bookmarkEnd w:id="60"/>
    </w:p>
    <w:p>
      <w:r>
        <w:rPr>
          <w:rFonts w:ascii="Times New Roman" w:hAnsi="Times New Roman" w:cs="Times New Roman" w:eastAsia="Times New Roman"/>
          <w:b w:val="0"/>
          <w:color w:val="000000"/>
        </w:rPr>
        <w:t>A publishable account should state the research questions, describe the data selection and model changes precisely, and report each measurement with its experimental conditions. The completed short experiment demonstrates execution through pruning, recovery and NF4 export. The larger run and independent comparison must supply the remaining evidence about coding and enterprise behaviour.</w:t>
      </w:r>
    </w:p>
    <w:p>
      <w:r>
        <w:rPr>
          <w:rFonts w:ascii="Times New Roman" w:hAnsi="Times New Roman" w:cs="Times New Roman" w:eastAsia="Times New Roman"/>
          <w:b w:val="0"/>
          <w:color w:val="000000"/>
        </w:rPr>
        <w:t>The comparison should keep the evaluation tasks, prompt information and generation settings fixed across the original and resulting models. Report functional code-test outcomes separately from policy-answer scores and efficiency measurements. If the study attributes an improvement to a particular training source, matched source-ablation experiments are required. A mixed-data run alone cannot identify that source's contribution.</w:t>
      </w:r>
    </w:p>
    <w:p>
      <w:r>
        <w:rPr>
          <w:rFonts w:ascii="Times New Roman" w:hAnsi="Times New Roman" w:cs="Times New Roman" w:eastAsia="Times New Roman"/>
          <w:b w:val="0"/>
          <w:color w:val="000000"/>
        </w:rPr>
        <w:t>The practical contribution is the implemented data-to-model workflow and its measured outcomes within the stated scope. Tables of pending results must be replaced with observations before submission or publication. Failed and excluded cases, incomplete upstream sources, sampling limitations and the small corporate holdout should remain visible when interpreting those outcomes.</w:t>
      </w:r>
    </w:p>
    <w:p>
      <w:bookmarkStart w:id="61" w:name="b8a254b1beafabf17dba8"/>
      <w:pPr>
        <w:pStyle w:val="Heading2"/>
        <w:keepNext/>
      </w:pPr>
      <w:r>
        <w:rPr>
          <w:rFonts w:ascii="Times New Roman" w:hAnsi="Times New Roman" w:cs="Times New Roman" w:eastAsia="Times New Roman"/>
          <w:b/>
          <w:color w:val="000000"/>
          <w:sz w:val="24"/>
        </w:rPr>
        <w:t>9.3 Release requirements</w:t>
      </w:r>
      <w:bookmarkEnd w:id="61"/>
    </w:p>
    <w:p>
      <w:commentRangeStart w:id="5"/>
      <w:r>
        <w:rPr>
          <w:rFonts w:ascii="Times New Roman" w:hAnsi="Times New Roman" w:cs="Times New Roman" w:eastAsia="Times New Roman"/>
          <w:b w:val="0"/>
          <w:i/>
          <w:color w:val="000000"/>
          <w:sz w:val="22"/>
        </w:rPr>
        <w:t>Completion note P1: archive final server artifacts and configs, add completed evaluation tables, obtain source redistribution clearance and supervisor review, and select the intended venue before making publication claims. A publication package should separate synthetic policy material, permitted repository-derived records, external dataset references, checkpoint licences and private credentials. No article acceptance, production deployment or new state-of-the-art result is claimed.</w:t>
      </w:r>
      <w:commentRangeEnd w:id="5"/>
      <w:r>
        <w:rPr>
          <w:rStyle w:val="CommentReference"/>
        </w:rPr>
        <w:commentReference w:id="5"/>
      </w:r>
    </w:p>
    <w:p>
      <w:bookmarkStart w:id="62" w:name="b97b226f6fe78ee17a5bd"/>
      <w:pPr>
        <w:pStyle w:val="Heading1"/>
        <w:keepNext/>
        <w:pageBreakBefore/>
      </w:pPr>
      <w:r>
        <w:rPr>
          <w:rFonts w:ascii="Times New Roman" w:hAnsi="Times New Roman" w:cs="Times New Roman" w:eastAsia="Times New Roman"/>
          <w:b/>
          <w:color w:val="000000"/>
          <w:sz w:val="28"/>
        </w:rPr>
        <w:t>10 Conclusions and recommendations</w:t>
      </w:r>
      <w:bookmarkEnd w:id="62"/>
    </w:p>
    <w:p>
      <w:r>
        <w:rPr>
          <w:rFonts w:ascii="Times New Roman" w:hAnsi="Times New Roman" w:cs="Times New Roman" w:eastAsia="Times New Roman"/>
          <w:b w:val="0"/>
          <w:color w:val="000000"/>
        </w:rPr>
        <w:t>The implemented framework converts policy and repository material into traceable conversations, preserves validation evidence and source status, and prepares approved external coding records without an eager full-corpus export. Enterprise splitting and a shared fingerprint gate keep the indexed holdouts outside training. The current enterprise dataset contains 206 prepared records, and the larger external selection contains 10,000 approved OpenCodeInstruct records.</w:t>
      </w:r>
    </w:p>
    <w:p>
      <w:r>
        <w:rPr>
          <w:rFonts w:ascii="Times New Roman" w:hAnsi="Times New Roman" w:cs="Times New Roman" w:eastAsia="Times New Roman"/>
          <w:b w:val="0"/>
          <w:color w:val="000000"/>
        </w:rPr>
        <w:t>A completed short RunPod experiment demonstrates physical parameter reduction from 14,768,307,200 to 14,296,448,000 and a saved, reloadable NF4 export of 9,696,947,260 bytes. This establishes a working technical route through pruning, LoRA recovery, merging and 4-bit serialization. The available larger-run log records ongoing optimization, not a completed final model or measured coding improvement.</w:t>
      </w:r>
    </w:p>
    <w:p>
      <w:commentRangeStart w:id="6"/>
      <w:r>
        <w:rPr>
          <w:rFonts w:ascii="Times New Roman" w:hAnsi="Times New Roman" w:cs="Times New Roman" w:eastAsia="Times New Roman"/>
          <w:b w:val="0"/>
          <w:i/>
          <w:color w:val="000000"/>
          <w:sz w:val="22"/>
        </w:rPr>
        <w:t>Completion note R2: revise the final conclusions after the larger-run report, independent coding and enterprise tests, efficiency measurements and robustness assessment are available. Any claim of improved coding, retained policy behaviour or lower operating cost must name its baseline and measurement conditions.</w:t>
      </w:r>
      <w:commentRangeEnd w:id="6"/>
      <w:r>
        <w:rPr>
          <w:rStyle w:val="CommentReference"/>
        </w:rPr>
        <w:commentReference w:id="6"/>
      </w:r>
    </w:p>
    <w:p>
      <w:r>
        <w:rPr>
          <w:rFonts w:ascii="Times New Roman" w:hAnsi="Times New Roman" w:cs="Times New Roman" w:eastAsia="Times New Roman"/>
          <w:b w:val="0"/>
          <w:color w:val="000000"/>
        </w:rPr>
        <w:t>The next research work is to complete and archive the current run, freeze and execute the comparison, and assess the remaining corporate-response behaviour. The source selection and experimental budgets should remain explicit so that later results can be reproduced and their limits understood.</w:t>
      </w:r>
    </w:p>
    <w:p>
      <w:bookmarkStart w:id="63" w:name="b54cf56f1e3305f041119"/>
      <w:pPr>
        <w:pStyle w:val="Heading1"/>
        <w:keepNext/>
        <w:pageBreakBefore/>
      </w:pPr>
      <w:r>
        <w:rPr>
          <w:rFonts w:ascii="Times New Roman" w:hAnsi="Times New Roman" w:cs="Times New Roman" w:eastAsia="Times New Roman"/>
          <w:b/>
          <w:color w:val="000000"/>
          <w:sz w:val="28"/>
        </w:rPr>
        <w:t>Appendix A Evidence and source pins</w:t>
      </w:r>
      <w:bookmarkEnd w:id="63"/>
    </w:p>
    <w:p>
      <w:bookmarkStart w:id="64" w:name="b1c34369f75011b9f9aa7"/>
      <w:pPr>
        <w:keepNext/>
        <w:spacing w:line="276" w:lineRule="auto" w:after="120"/>
        <w:jc w:val="left"/>
      </w:pPr>
      <w:r>
        <w:rPr>
          <w:rFonts w:ascii="Times New Roman" w:hAnsi="Times New Roman" w:cs="Times New Roman" w:eastAsia="Times New Roman"/>
          <w:b w:val="0"/>
          <w:color w:val="000000"/>
          <w:sz w:val="22"/>
        </w:rPr>
        <w:t>Table A.1 Evidence register and limits</w:t>
      </w:r>
      <w:bookmarkEnd w:id="6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032"/>
        <w:gridCol w:w="5184"/>
      </w:tblGrid>
      <w:tr>
        <w:trPr>
          <w:cantSplit/>
          <w:tblHeader/>
        </w:trPr>
        <w:tc>
          <w:tcPr>
            <w:tcW w:type="dxa" w:w="864"/>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ID</w:t>
            </w:r>
          </w:p>
        </w:tc>
        <w:tc>
          <w:tcPr>
            <w:tcW w:type="dxa" w:w="4032"/>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Evidence</w:t>
            </w:r>
          </w:p>
        </w:tc>
        <w:tc>
          <w:tcPr>
            <w:tcW w:type="dxa" w:w="5184"/>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Interpretation</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E01</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Root report.md and implementation sources</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Development history and current method; old status statements belong to their dated stages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E02</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enterprise_ready manifest, report and split files</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Locally inspectable prepared data: 206 records with 186/9/11 splits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E03</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Original policy files inspected read-only</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Ten PDFs, forty pages; extraction accuracy remains task-dependent</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E04</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Operator's RunPod CUDA test output</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One passed, thirteen warnings, 9.04s; tiny model only</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E05</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Operator's completed 14B smoke transcript</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Ten steps, successful merged/NF4 save and reload</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E06</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Operator's smoke report values</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Exact original/pruned counts and exported bytes; remote files not locally archived</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E07</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Attached OpenCode preparation transcript</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10,011 processed, 10,000 accepted, eleven rejected; reason categories still needed</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E08</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Operator's 10k validation screenshot</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All 10,000 approved rows checked; no claim about unselected rows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E09</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Operator's token-count output</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302,284 enterprise and 4,447,806 NVIDIA conversation tokens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E10</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Attached larger-run progress log</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Approximately 184 steps observed; final 650-step result unavailable</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E11</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Recorded post-correction regression result</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375 passed, two local skips; separate from real server CUDA execution</w:t>
            </w:r>
          </w:p>
        </w:tc>
      </w:tr>
    </w:tbl>
    <w:p>
      <w:pPr>
        <w:keepNext/>
        <w:spacing w:line="240" w:lineRule="auto" w:after="60"/>
      </w:pPr>
      <w:r>
        <w:rPr>
          <w:rFonts w:ascii="Times New Roman" w:hAnsi="Times New Roman" w:cs="Times New Roman" w:eastAsia="Times New Roman"/>
          <w:b w:val="0"/>
          <w:color w:val="000000"/>
        </w:rPr>
      </w:r>
    </w:p>
    <w:p>
      <w:bookmarkStart w:id="65" w:name="b90e6bcbc5fa5751e0d8a"/>
      <w:pPr>
        <w:keepNext/>
        <w:spacing w:line="276" w:lineRule="auto" w:after="120"/>
        <w:jc w:val="left"/>
      </w:pPr>
      <w:r>
        <w:rPr>
          <w:rFonts w:ascii="Times New Roman" w:hAnsi="Times New Roman" w:cs="Times New Roman" w:eastAsia="Times New Roman"/>
          <w:b w:val="0"/>
          <w:color w:val="000000"/>
          <w:sz w:val="22"/>
        </w:rPr>
        <w:t>Table A.2 Immutable pins available in the local evidence</w:t>
      </w:r>
      <w:bookmarkEnd w:id="6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Artifact</w:t>
            </w:r>
          </w:p>
        </w:tc>
        <w:tc>
          <w:tcPr>
            <w:tcW w:type="dxa" w:w="6048"/>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Recorded immutable revision</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Enterprise Hub publication</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28c64f71a8917f1c09af94fbd94c738643062ca5</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Qwen3 model/tokenizer used by preparation</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40c069824f4251a91eefaf281ebe4c544efd3e18</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Local 20-row OpenCode source</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8f3ba5bafe4d6e8db46082cf7ae6741bc370604d</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Local 20-row Nemotron source</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9f36020daf067f1a8b39336bf619fe30af30bb02</w:t>
            </w:r>
          </w:p>
        </w:tc>
      </w:tr>
    </w:tbl>
    <w:p>
      <w:pPr>
        <w:keepNext/>
        <w:spacing w:line="240" w:lineRule="auto" w:after="60"/>
      </w:pPr>
      <w:r>
        <w:rPr>
          <w:rFonts w:ascii="Times New Roman" w:hAnsi="Times New Roman" w:cs="Times New Roman" w:eastAsia="Times New Roman"/>
          <w:b w:val="0"/>
          <w:color w:val="000000"/>
        </w:rPr>
      </w:r>
    </w:p>
    <w:p>
      <w:commentRangeStart w:id="7"/>
      <w:r>
        <w:rPr>
          <w:rFonts w:ascii="Times New Roman" w:hAnsi="Times New Roman" w:cs="Times New Roman" w:eastAsia="Times New Roman"/>
          <w:b w:val="0"/>
          <w:i/>
          <w:color w:val="000000"/>
          <w:sz w:val="22"/>
        </w:rPr>
        <w:t>Completion note R3: archive the server's 10k source plan, selected-decision database, dataset licences, compression configuration, final report and checkpoint file hashes. The local 20-row dataset pins must not be silently substituted for an uninspected 10k server plan. All numeric results in Chapter 7 retain their stated evidence scope.</w:t>
      </w:r>
      <w:commentRangeEnd w:id="7"/>
      <w:r>
        <w:rPr>
          <w:rStyle w:val="CommentReference"/>
        </w:rPr>
        <w:commentReference w:id="7"/>
      </w:r>
    </w:p>
    <w:p>
      <w:bookmarkStart w:id="66" w:name="b9f57dc740d989018ad73"/>
      <w:pPr>
        <w:pStyle w:val="Heading1"/>
        <w:keepNext/>
        <w:pageBreakBefore/>
      </w:pPr>
      <w:r>
        <w:rPr>
          <w:rFonts w:ascii="Times New Roman" w:hAnsi="Times New Roman" w:cs="Times New Roman" w:eastAsia="Times New Roman"/>
          <w:b/>
          <w:color w:val="000000"/>
          <w:sz w:val="28"/>
        </w:rPr>
        <w:t>Appendix B Reproduction contract</w:t>
      </w:r>
      <w:bookmarkEnd w:id="66"/>
    </w:p>
    <w:p>
      <w:r>
        <w:rPr>
          <w:rFonts w:ascii="Times New Roman" w:hAnsi="Times New Roman" w:cs="Times New Roman" w:eastAsia="Times New Roman"/>
          <w:b w:val="0"/>
          <w:color w:val="000000"/>
        </w:rPr>
        <w:t>The ordinary data workflow runs without a GPU. The compression workflow requires a Linux environment with one visible CUDA GPU and BF16 support. Install the project's locked training extra, configure private Hub access without exposing the token, and keep large caches and model output on the mounted workspace volume.</w:t>
      </w:r>
    </w:p>
    <w:p>
      <w:bookmarkStart w:id="67" w:name="b8614d2710df0beb05cc7"/>
      <w:pPr>
        <w:keepNext/>
        <w:spacing w:line="276" w:lineRule="auto" w:after="120"/>
        <w:jc w:val="left"/>
      </w:pPr>
      <w:r>
        <w:rPr>
          <w:rFonts w:ascii="Times New Roman" w:hAnsi="Times New Roman" w:cs="Times New Roman" w:eastAsia="Times New Roman"/>
          <w:b w:val="0"/>
          <w:color w:val="000000"/>
          <w:sz w:val="22"/>
        </w:rPr>
        <w:t>Table B.1 Recorded implementation environment</w:t>
      </w:r>
      <w:bookmarkEnd w:id="6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Component</w:t>
            </w:r>
          </w:p>
        </w:tc>
        <w:tc>
          <w:tcPr>
            <w:tcW w:type="dxa" w:w="6048"/>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Recorded version or setting</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Python project requirement</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3.12 or later; server test used 3.12</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Transformers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5.20.2</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PyTorch</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2.9.1 in the training lock</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PEFT and Accelerate</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0.21.2 and 1.15.0</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bitsandbytes</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0.50.2</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Datasets and PyArrow</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4.8.5 and 26.0.0</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Pydantic and LangGraph</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2.14.1 and 1.2.17</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Observed GPU</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One NVIDIA A100-SXM4-80GB</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Model loading and recovery</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BF16; SDPA attention; LoRA rank 16</w:t>
            </w:r>
          </w:p>
        </w:tc>
      </w:tr>
      <w:tr>
        <w:trPr>
          <w:cantSplit/>
        </w:trPr>
        <w:tc>
          <w:tcPr>
            <w:tcW w:type="dxa" w:w="403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Final export</w:t>
            </w:r>
          </w:p>
        </w:tc>
        <w:tc>
          <w:tcPr>
            <w:tcW w:type="dxa" w:w="6048"/>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NF4, double quantization, BF16 compute</w:t>
            </w:r>
          </w:p>
        </w:tc>
      </w:tr>
    </w:tbl>
    <w:p>
      <w:pPr>
        <w:keepNext/>
        <w:spacing w:line="240" w:lineRule="auto" w:after="60"/>
      </w:pPr>
      <w:r>
        <w:rPr>
          <w:rFonts w:ascii="Times New Roman" w:hAnsi="Times New Roman" w:cs="Times New Roman" w:eastAsia="Times New Roman"/>
          <w:b w:val="0"/>
          <w:color w:val="000000"/>
        </w:rPr>
      </w:r>
    </w:p>
    <w:p>
      <w:r>
        <w:rPr>
          <w:rFonts w:ascii="Times New Roman" w:hAnsi="Times New Roman" w:cs="Times New Roman" w:eastAsia="Times New Roman"/>
          <w:b w:val="0"/>
          <w:color w:val="000000"/>
        </w:rPr>
        <w:t>The implementation uses no external teacher endpoint for pruning or recovery. Generation of the original policy/repository examples is a separate endpoint-dependent stage. The following is the larger-run configuration specified for the experiment; the final server configuration must be archived as evidence.</w:t>
      </w:r>
    </w:p>
    <w:p>
      <w:pPr>
        <w:keepNext/>
        <w:keepLines/>
        <w:spacing w:line="252" w:lineRule="auto" w:after="20"/>
        <w:jc w:val="left"/>
      </w:pPr>
      <w:r>
        <w:rPr>
          <w:rFonts w:ascii="Courier New" w:hAnsi="Courier New" w:cs="Times New Roman" w:eastAsia="Times New Roman"/>
          <w:b w:val="0"/>
          <w:color w:val="000000"/>
          <w:sz w:val="20"/>
        </w:rPr>
        <w:t>{</w:t>
      </w:r>
    </w:p>
    <w:p>
      <w:pPr>
        <w:keepNext/>
        <w:keepLines/>
        <w:spacing w:line="252" w:lineRule="auto" w:after="20"/>
        <w:jc w:val="left"/>
      </w:pPr>
      <w:r>
        <w:rPr>
          <w:rFonts w:ascii="Courier New" w:hAnsi="Courier New" w:cs="Times New Roman" w:eastAsia="Times New Roman"/>
          <w:b w:val="0"/>
          <w:color w:val="000000"/>
          <w:sz w:val="20"/>
        </w:rPr>
        <w:t xml:space="preserve">  "prune_ratio": 0.05,</w:t>
      </w:r>
    </w:p>
    <w:p>
      <w:pPr>
        <w:keepNext/>
        <w:keepLines/>
        <w:spacing w:line="252" w:lineRule="auto" w:after="20"/>
        <w:jc w:val="left"/>
      </w:pPr>
      <w:r>
        <w:rPr>
          <w:rFonts w:ascii="Courier New" w:hAnsi="Courier New" w:cs="Times New Roman" w:eastAsia="Times New Roman"/>
          <w:b w:val="0"/>
          <w:color w:val="000000"/>
          <w:sz w:val="20"/>
        </w:rPr>
        <w:t xml:space="preserve">  "calibration_samples": 128,</w:t>
      </w:r>
    </w:p>
    <w:p>
      <w:pPr>
        <w:keepNext/>
        <w:keepLines/>
        <w:spacing w:line="252" w:lineRule="auto" w:after="20"/>
        <w:jc w:val="left"/>
      </w:pPr>
      <w:r>
        <w:rPr>
          <w:rFonts w:ascii="Courier New" w:hAnsi="Courier New" w:cs="Times New Roman" w:eastAsia="Times New Roman"/>
          <w:b w:val="0"/>
          <w:color w:val="000000"/>
          <w:sz w:val="20"/>
        </w:rPr>
        <w:t xml:space="preserve">  "max_tokens": 4096,</w:t>
      </w:r>
    </w:p>
    <w:p>
      <w:pPr>
        <w:keepNext/>
        <w:keepLines/>
        <w:spacing w:line="252" w:lineRule="auto" w:after="20"/>
        <w:jc w:val="left"/>
      </w:pPr>
      <w:r>
        <w:rPr>
          <w:rFonts w:ascii="Courier New" w:hAnsi="Courier New" w:cs="Times New Roman" w:eastAsia="Times New Roman"/>
          <w:b w:val="0"/>
          <w:color w:val="000000"/>
          <w:sz w:val="20"/>
        </w:rPr>
        <w:t xml:space="preserve">  "max_steps": 650,</w:t>
      </w:r>
    </w:p>
    <w:p>
      <w:pPr>
        <w:keepNext/>
        <w:keepLines/>
        <w:spacing w:line="252" w:lineRule="auto" w:after="20"/>
        <w:jc w:val="left"/>
      </w:pPr>
      <w:r>
        <w:rPr>
          <w:rFonts w:ascii="Courier New" w:hAnsi="Courier New" w:cs="Times New Roman" w:eastAsia="Times New Roman"/>
          <w:b w:val="0"/>
          <w:color w:val="000000"/>
          <w:sz w:val="20"/>
        </w:rPr>
        <w:t xml:space="preserve">  "batch_size": 1,</w:t>
      </w:r>
    </w:p>
    <w:p>
      <w:pPr>
        <w:keepNext/>
        <w:keepLines/>
        <w:spacing w:line="252" w:lineRule="auto" w:after="20"/>
        <w:jc w:val="left"/>
      </w:pPr>
      <w:r>
        <w:rPr>
          <w:rFonts w:ascii="Courier New" w:hAnsi="Courier New" w:cs="Times New Roman" w:eastAsia="Times New Roman"/>
          <w:b w:val="0"/>
          <w:color w:val="000000"/>
          <w:sz w:val="20"/>
        </w:rPr>
        <w:t xml:space="preserve">  "gradient_accumulation": 16,</w:t>
      </w:r>
    </w:p>
    <w:p>
      <w:pPr>
        <w:keepNext/>
        <w:keepLines/>
        <w:spacing w:line="252" w:lineRule="auto" w:after="20"/>
        <w:jc w:val="left"/>
      </w:pPr>
      <w:r>
        <w:rPr>
          <w:rFonts w:ascii="Courier New" w:hAnsi="Courier New" w:cs="Times New Roman" w:eastAsia="Times New Roman"/>
          <w:b w:val="0"/>
          <w:color w:val="000000"/>
          <w:sz w:val="20"/>
        </w:rPr>
        <w:t xml:space="preserve">  "enterprise_repeats": 2,</w:t>
      </w:r>
    </w:p>
    <w:p>
      <w:pPr>
        <w:keepNext/>
        <w:keepLines/>
        <w:spacing w:line="252" w:lineRule="auto" w:after="20"/>
        <w:jc w:val="left"/>
      </w:pPr>
      <w:r>
        <w:rPr>
          <w:rFonts w:ascii="Courier New" w:hAnsi="Courier New" w:cs="Times New Roman" w:eastAsia="Times New Roman"/>
          <w:b w:val="0"/>
          <w:color w:val="000000"/>
          <w:sz w:val="20"/>
        </w:rPr>
        <w:t xml:space="preserve">  "learning_rate": 0.00002,</w:t>
      </w:r>
    </w:p>
    <w:p>
      <w:pPr>
        <w:keepNext/>
        <w:keepLines/>
        <w:spacing w:line="252" w:lineRule="auto" w:after="20"/>
        <w:jc w:val="left"/>
      </w:pPr>
      <w:r>
        <w:rPr>
          <w:rFonts w:ascii="Courier New" w:hAnsi="Courier New" w:cs="Times New Roman" w:eastAsia="Times New Roman"/>
          <w:b w:val="0"/>
          <w:color w:val="000000"/>
          <w:sz w:val="20"/>
        </w:rPr>
        <w:t xml:space="preserve">  "save_steps": 50,</w:t>
      </w:r>
    </w:p>
    <w:p>
      <w:pPr>
        <w:keepNext/>
        <w:keepLines/>
        <w:spacing w:line="252" w:lineRule="auto" w:after="20"/>
        <w:jc w:val="left"/>
      </w:pPr>
      <w:r>
        <w:rPr>
          <w:rFonts w:ascii="Courier New" w:hAnsi="Courier New" w:cs="Times New Roman" w:eastAsia="Times New Roman"/>
          <w:b w:val="0"/>
          <w:color w:val="000000"/>
          <w:sz w:val="20"/>
        </w:rPr>
        <w:t xml:space="preserve">  "seed": 42</w:t>
      </w:r>
    </w:p>
    <w:p>
      <w:pPr>
        <w:keepNext w:val="0"/>
        <w:keepLines/>
        <w:spacing w:line="252" w:lineRule="auto" w:after="20"/>
        <w:jc w:val="left"/>
      </w:pPr>
      <w:r>
        <w:rPr>
          <w:rFonts w:ascii="Courier New" w:hAnsi="Courier New" w:cs="Times New Roman" w:eastAsia="Times New Roman"/>
          <w:b w:val="0"/>
          <w:color w:val="000000"/>
          <w:sz w:val="20"/>
        </w:rPr>
        <w:t>}</w:t>
      </w:r>
    </w:p>
    <w:p>
      <w:r>
        <w:rPr>
          <w:rFonts w:ascii="Times New Roman" w:hAnsi="Times New Roman" w:cs="Times New Roman" w:eastAsia="Times New Roman"/>
          <w:b w:val="0"/>
          <w:color w:val="000000"/>
        </w:rPr>
        <w:t>Warmup uses min(max_steps - 1, ceil(0.03 times max_steps)), giving twenty warmup steps for 650 updates. The nominal effective batch contains sixteen rows per optimizer step. With 10,372 rows, 650 updates approximate one pass; exact exposure must come from the completed Trainer state.</w:t>
      </w:r>
    </w:p>
    <w:p>
      <w:r>
        <w:rPr>
          <w:rFonts w:ascii="Times New Roman" w:hAnsi="Times New Roman" w:cs="Times New Roman" w:eastAsia="Times New Roman"/>
          <w:b w:val="0"/>
          <w:color w:val="000000"/>
        </w:rPr>
        <w:t>A reproducible release should include code and lockfile hashes, configuration, dataset revisions, source-plan digest, holdout IDs and hashes, tokenizer/template identity, model structure, retained-channel indices, optimizer checkpoints, final export hashes and evaluation settings. API keys and private source paths require separate handling. No source-code dump is needed in the main dissertation report.</w:t>
      </w:r>
    </w:p>
    <w:p>
      <w:bookmarkStart w:id="68" w:name="bb2bb89087363b6d7282f"/>
      <w:pPr>
        <w:pStyle w:val="Heading1"/>
        <w:keepNext/>
        <w:pageBreakBefore/>
      </w:pPr>
      <w:r>
        <w:rPr>
          <w:rFonts w:ascii="Times New Roman" w:hAnsi="Times New Roman" w:cs="Times New Roman" w:eastAsia="Times New Roman"/>
          <w:b/>
          <w:color w:val="000000"/>
          <w:sz w:val="28"/>
        </w:rPr>
        <w:t>Appendix C Completion notes</w:t>
      </w:r>
      <w:bookmarkEnd w:id="68"/>
    </w:p>
    <w:p>
      <w:bookmarkStart w:id="69" w:name="ba9a0b30c29dd6e0fc472"/>
      <w:pPr>
        <w:keepNext/>
        <w:spacing w:line="276" w:lineRule="auto" w:after="120"/>
        <w:jc w:val="left"/>
      </w:pPr>
      <w:r>
        <w:rPr>
          <w:rFonts w:ascii="Times New Roman" w:hAnsi="Times New Roman" w:cs="Times New Roman" w:eastAsia="Times New Roman"/>
          <w:b w:val="0"/>
          <w:color w:val="000000"/>
          <w:sz w:val="22"/>
        </w:rPr>
        <w:t>Table C.1 Outstanding work before final submission</w:t>
      </w:r>
      <w:bookmarkEnd w:id="6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032"/>
        <w:gridCol w:w="5184"/>
      </w:tblGrid>
      <w:tr>
        <w:trPr>
          <w:cantSplit/>
          <w:tblHeader/>
        </w:trPr>
        <w:tc>
          <w:tcPr>
            <w:tcW w:type="dxa" w:w="864"/>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Note</w:t>
            </w:r>
          </w:p>
        </w:tc>
        <w:tc>
          <w:tcPr>
            <w:tcW w:type="dxa" w:w="4032"/>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Required completion</w:t>
            </w:r>
          </w:p>
        </w:tc>
        <w:tc>
          <w:tcPr>
            <w:tcW w:type="dxa" w:w="5184"/>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Evidence needed</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R1</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Finish larger training run</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Final report, steps, loss, duration, warnings and export hashes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R2</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Update conclusions</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Completed comparison with stated baselines and limitations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R3</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Archive server artifacts</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Config, immutable data pins, decision database and model checksums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E1</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Coding and policy comparison</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Frozen tasks, contamination review, independent scoring and results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E2</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Efficiency comparison</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Matched latency, throughput, peak VRAM and disk measurements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S1</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Robustness audit</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Threat model, fixed attack cases, outcomes and failure analysis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C1</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Further domain customisation</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Task scope, grounded examples and held-out behavioural results</w:t>
            </w:r>
          </w:p>
        </w:tc>
      </w:tr>
      <w:tr>
        <w:trPr>
          <w:cantSplit/>
        </w:trPr>
        <w:tc>
          <w:tcPr>
            <w:tcW w:type="dxa" w:w="86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P1</w:t>
            </w:r>
          </w:p>
        </w:tc>
        <w:tc>
          <w:tcPr>
            <w:tcW w:type="dxa" w:w="40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Application and paper release</w:t>
            </w:r>
          </w:p>
        </w:tc>
        <w:tc>
          <w:tcPr>
            <w:tcW w:type="dxa" w:w="5184"/>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Implemented scope, redistribution review, supervisor review and venue</w:t>
            </w:r>
          </w:p>
        </w:tc>
      </w:tr>
    </w:tbl>
    <w:p>
      <w:pPr>
        <w:keepNext/>
        <w:spacing w:line="240" w:lineRule="auto" w:after="60"/>
      </w:pPr>
      <w:r>
        <w:rPr>
          <w:rFonts w:ascii="Times New Roman" w:hAnsi="Times New Roman" w:cs="Times New Roman" w:eastAsia="Times New Roman"/>
          <w:b w:val="0"/>
          <w:color w:val="000000"/>
        </w:rPr>
      </w:r>
    </w:p>
    <w:p>
      <w:r>
        <w:rPr>
          <w:rFonts w:ascii="Times New Roman" w:hAnsi="Times New Roman" w:cs="Times New Roman" w:eastAsia="Times New Roman"/>
          <w:b w:val="0"/>
          <w:color w:val="000000"/>
        </w:rPr>
        <w:t>The Faculty Mentor and submission date are intentionally left blank at the student's request. The supervisor certificate and student checklist require review and signatures. The one-page abstract and final conclusions must be revisited when the outstanding experimental results are available. The report should be submitted only after those updates and the university's plagiarism and supervisor-review requirements are satisfied.</w:t>
      </w:r>
    </w:p>
    <w:p>
      <w:bookmarkStart w:id="70" w:name="b5d20d0fee3b91643dd8d"/>
      <w:pPr>
        <w:pStyle w:val="Heading1"/>
        <w:keepNext/>
        <w:pageBreakBefore/>
      </w:pPr>
      <w:r>
        <w:rPr>
          <w:rFonts w:ascii="Times New Roman" w:hAnsi="Times New Roman" w:cs="Times New Roman" w:eastAsia="Times New Roman"/>
          <w:b/>
          <w:color w:val="000000"/>
          <w:sz w:val="28"/>
        </w:rPr>
        <w:t>References</w:t>
      </w:r>
      <w:bookmarkEnd w:id="70"/>
    </w:p>
    <w:p>
      <w:pPr>
        <w:keepLines/>
        <w:spacing w:line="300" w:lineRule="auto" w:after="200"/>
        <w:jc w:val="left"/>
      </w:pPr>
      <w:r>
        <w:rPr>
          <w:rFonts w:ascii="Times New Roman" w:hAnsi="Times New Roman" w:cs="Times New Roman" w:eastAsia="Times New Roman"/>
          <w:b w:val="0"/>
          <w:color w:val="000000"/>
          <w:sz w:val="22"/>
        </w:rPr>
        <w:t>[1] A. Yang et al., "Qwen3 Technical Report," arXiv:2505.09388, 2025. https://arxiv.org/abs/2505.09388</w:t>
      </w:r>
    </w:p>
    <w:p>
      <w:pPr>
        <w:keepLines/>
        <w:spacing w:line="300" w:lineRule="auto" w:after="200"/>
        <w:jc w:val="left"/>
      </w:pPr>
      <w:r>
        <w:rPr>
          <w:rFonts w:ascii="Times New Roman" w:hAnsi="Times New Roman" w:cs="Times New Roman" w:eastAsia="Times New Roman"/>
          <w:b w:val="0"/>
          <w:color w:val="000000"/>
          <w:sz w:val="22"/>
        </w:rPr>
        <w:t>[2] BITS Pilani WILP Division, "Guidelines for the preparation of a project report," supplied institutional document dated 6 April 2022, pp. 1-9.</w:t>
      </w:r>
    </w:p>
    <w:p>
      <w:pPr>
        <w:keepLines/>
        <w:spacing w:line="300" w:lineRule="auto" w:after="200"/>
        <w:jc w:val="left"/>
      </w:pPr>
      <w:r>
        <w:rPr>
          <w:rFonts w:ascii="Times New Roman" w:hAnsi="Times New Roman" w:cs="Times New Roman" w:eastAsia="Times New Roman"/>
          <w:b w:val="0"/>
          <w:color w:val="000000"/>
          <w:sz w:val="22"/>
        </w:rPr>
        <w:t>[3] BITS Pilani WILP, "Checklist of items for the final dissertation / project / project work report," supplied institutional checklist, one page, undated.</w:t>
      </w:r>
    </w:p>
    <w:p>
      <w:pPr>
        <w:keepLines/>
        <w:spacing w:line="300" w:lineRule="auto" w:after="200"/>
        <w:jc w:val="left"/>
      </w:pPr>
      <w:r>
        <w:rPr>
          <w:rFonts w:ascii="Times New Roman" w:hAnsi="Times New Roman" w:cs="Times New Roman" w:eastAsia="Times New Roman"/>
          <w:b w:val="0"/>
          <w:color w:val="000000"/>
          <w:sz w:val="22"/>
        </w:rPr>
        <w:t>[4] W. U. Ahmad et al., "OpenCodeInstruct: A Large-scale Instruction Tuning Dataset for Code LLMs," arXiv:2504.04030, 2025. https://arxiv.org/abs/2504.04030</w:t>
      </w:r>
    </w:p>
    <w:p>
      <w:pPr>
        <w:keepLines/>
        <w:spacing w:line="300" w:lineRule="auto" w:after="200"/>
        <w:jc w:val="left"/>
      </w:pPr>
      <w:r>
        <w:rPr>
          <w:rFonts w:ascii="Times New Roman" w:hAnsi="Times New Roman" w:cs="Times New Roman" w:eastAsia="Times New Roman"/>
          <w:b w:val="0"/>
          <w:color w:val="000000"/>
          <w:sz w:val="22"/>
        </w:rPr>
        <w:t>[5] NVIDIA, "Nemotron-Cascade-2-SFT-Data," dataset card and source metadata, 2026. https://huggingface.co/datasets/nvidia/Nemotron-Cascade-2-SFT-Data</w:t>
      </w:r>
    </w:p>
    <w:p>
      <w:pPr>
        <w:keepLines/>
        <w:spacing w:line="300" w:lineRule="auto" w:after="200"/>
        <w:jc w:val="left"/>
      </w:pPr>
      <w:r>
        <w:rPr>
          <w:rFonts w:ascii="Times New Roman" w:hAnsi="Times New Roman" w:cs="Times New Roman" w:eastAsia="Times New Roman"/>
          <w:b w:val="0"/>
          <w:color w:val="000000"/>
          <w:sz w:val="22"/>
        </w:rPr>
        <w:t>[6] M. Chen et al., "Evaluating Large Language Models Trained on Code," arXiv:2107.03374, 2021. https://arxiv.org/abs/2107.03374</w:t>
      </w:r>
    </w:p>
    <w:p>
      <w:pPr>
        <w:keepLines/>
        <w:spacing w:line="300" w:lineRule="auto" w:after="200"/>
        <w:jc w:val="left"/>
      </w:pPr>
      <w:r>
        <w:rPr>
          <w:rFonts w:ascii="Times New Roman" w:hAnsi="Times New Roman" w:cs="Times New Roman" w:eastAsia="Times New Roman"/>
          <w:b w:val="0"/>
          <w:color w:val="000000"/>
          <w:sz w:val="22"/>
        </w:rPr>
        <w:t>[7] J. Austin et al., "Program Synthesis with Large Language Models," arXiv:2108.07732, 2021. https://arxiv.org/abs/2108.07732</w:t>
      </w:r>
    </w:p>
    <w:p>
      <w:pPr>
        <w:keepLines/>
        <w:spacing w:line="300" w:lineRule="auto" w:after="200"/>
        <w:jc w:val="left"/>
      </w:pPr>
      <w:r>
        <w:rPr>
          <w:rFonts w:ascii="Times New Roman" w:hAnsi="Times New Roman" w:cs="Times New Roman" w:eastAsia="Times New Roman"/>
          <w:b w:val="0"/>
          <w:color w:val="000000"/>
          <w:sz w:val="22"/>
        </w:rPr>
        <w:t>[8] E. J. Hu et al., "LoRA: Low-Rank Adaptation of Large Language Models," arXiv:2106.09685, 2021. https://arxiv.org/abs/2106.09685</w:t>
      </w:r>
    </w:p>
    <w:p>
      <w:pPr>
        <w:keepLines/>
        <w:spacing w:line="300" w:lineRule="auto" w:after="200"/>
        <w:jc w:val="left"/>
      </w:pPr>
      <w:r>
        <w:rPr>
          <w:rFonts w:ascii="Times New Roman" w:hAnsi="Times New Roman" w:cs="Times New Roman" w:eastAsia="Times New Roman"/>
          <w:b w:val="0"/>
          <w:color w:val="000000"/>
          <w:sz w:val="22"/>
        </w:rPr>
        <w:t>[9] T. Dettmers, A. Pagnoni, A. Holtzman and L. Zettlemoyer, "QLoRA: Efficient Finetuning of Quantized LLMs," arXiv:2305.14314, 2023. https://arxiv.org/abs/2305.14314</w:t>
      </w:r>
    </w:p>
    <w:p>
      <w:pPr>
        <w:keepLines/>
        <w:spacing w:line="300" w:lineRule="auto" w:after="200"/>
        <w:jc w:val="left"/>
      </w:pPr>
      <w:r>
        <w:rPr>
          <w:rFonts w:ascii="Times New Roman" w:hAnsi="Times New Roman" w:cs="Times New Roman" w:eastAsia="Times New Roman"/>
          <w:b w:val="0"/>
          <w:color w:val="000000"/>
          <w:sz w:val="22"/>
        </w:rPr>
        <w:t>[10] S. Muralidharan et al., "Compact Language Models via Pruning and Knowledge Distillation," arXiv:2407.14679, 2024. https://arxiv.org/abs/2407.14679</w:t>
      </w:r>
    </w:p>
    <w:p>
      <w:pPr>
        <w:keepLines/>
        <w:spacing w:line="300" w:lineRule="auto" w:after="200"/>
        <w:jc w:val="left"/>
      </w:pPr>
      <w:r>
        <w:rPr>
          <w:rFonts w:ascii="Times New Roman" w:hAnsi="Times New Roman" w:cs="Times New Roman" w:eastAsia="Times New Roman"/>
          <w:b w:val="0"/>
          <w:color w:val="000000"/>
          <w:sz w:val="22"/>
        </w:rPr>
        <w:t>[11] Hugging Face, "Bitsandbytes," Transformers documentation, consulted 30 October 2026. https://huggingface.co/docs/transformers/en/quantization/bitsandbytes</w:t>
      </w:r>
    </w:p>
    <w:p>
      <w:pPr>
        <w:keepLines/>
        <w:spacing w:line="300" w:lineRule="auto" w:after="200"/>
        <w:jc w:val="left"/>
      </w:pPr>
      <w:r>
        <w:rPr>
          <w:rFonts w:ascii="Times New Roman" w:hAnsi="Times New Roman" w:cs="Times New Roman" w:eastAsia="Times New Roman"/>
          <w:b w:val="0"/>
          <w:color w:val="000000"/>
          <w:sz w:val="22"/>
        </w:rPr>
        <w:t>[12] K. Greshake et al., "Not what you've signed up for: Compromising Real-World LLM-Integrated Applications with Indirect Prompt Injection," arXiv:2302.12173, 2023. https://arxiv.org/abs/2302.12173</w:t>
      </w:r>
    </w:p>
    <w:p>
      <w:pPr>
        <w:keepLines/>
        <w:spacing w:line="300" w:lineRule="auto" w:after="200"/>
        <w:jc w:val="left"/>
      </w:pPr>
      <w:r>
        <w:rPr>
          <w:rFonts w:ascii="Times New Roman" w:hAnsi="Times New Roman" w:cs="Times New Roman" w:eastAsia="Times New Roman"/>
          <w:b w:val="0"/>
          <w:color w:val="000000"/>
          <w:sz w:val="22"/>
        </w:rPr>
        <w:t>[13] OWASP Foundation, "Top 10 for Large Language Model Applications," 2025 edition. https://genai.owasp.org/llm-top-10/</w:t>
      </w:r>
    </w:p>
    <w:p>
      <w:pPr>
        <w:keepLines/>
        <w:spacing w:line="300" w:lineRule="auto" w:after="200"/>
        <w:jc w:val="left"/>
      </w:pPr>
      <w:r>
        <w:rPr>
          <w:rFonts w:ascii="Times New Roman" w:hAnsi="Times New Roman" w:cs="Times New Roman" w:eastAsia="Times New Roman"/>
          <w:b w:val="0"/>
          <w:color w:val="000000"/>
          <w:sz w:val="22"/>
        </w:rPr>
        <w:t>[14] LangChain, "Persistence," LangGraph documentation, consulted 30 October 2026. https://docs.langchain.com/oss/python/langgraph/persistence</w:t>
      </w:r>
    </w:p>
    <w:p>
      <w:pPr>
        <w:keepLines/>
        <w:spacing w:line="300" w:lineRule="auto" w:after="200"/>
        <w:jc w:val="left"/>
      </w:pPr>
      <w:r>
        <w:rPr>
          <w:rFonts w:ascii="Times New Roman" w:hAnsi="Times New Roman" w:cs="Times New Roman" w:eastAsia="Times New Roman"/>
          <w:b w:val="0"/>
          <w:color w:val="000000"/>
          <w:sz w:val="22"/>
        </w:rPr>
        <w:t>[15] Artifex, "PyMuPDF4LLM," documentation, consulted 30 October 2026. https://pymupdf.readthedocs.io/en/latest/pymupdf4llm/</w:t>
      </w:r>
    </w:p>
    <w:p>
      <w:pPr>
        <w:keepLines/>
        <w:spacing w:line="300" w:lineRule="auto" w:after="200"/>
        <w:jc w:val="left"/>
      </w:pPr>
      <w:r>
        <w:rPr>
          <w:rFonts w:ascii="Times New Roman" w:hAnsi="Times New Roman" w:cs="Times New Roman" w:eastAsia="Times New Roman"/>
          <w:b w:val="0"/>
          <w:color w:val="000000"/>
          <w:sz w:val="22"/>
        </w:rPr>
        <w:t>[16] Hugging Face, "Dataset streaming," Datasets documentation, consulted 30 October 2026. https://huggingface.co/docs/datasets/stream</w:t>
      </w:r>
    </w:p>
    <w:p>
      <w:pPr>
        <w:keepLines/>
        <w:spacing w:line="300" w:lineRule="auto" w:after="200"/>
        <w:jc w:val="left"/>
      </w:pPr>
      <w:r>
        <w:rPr>
          <w:rFonts w:ascii="Times New Roman" w:hAnsi="Times New Roman" w:cs="Times New Roman" w:eastAsia="Times New Roman"/>
          <w:b w:val="0"/>
          <w:color w:val="000000"/>
          <w:sz w:val="22"/>
        </w:rPr>
        <w:t>[17] Hugging Face, "LoRA," PEFT documentation, consulted 30 October 2026. https://huggingface.co/docs/peft/main/en/conceptual_guides/lora</w:t>
      </w:r>
    </w:p>
    <w:p>
      <w:bookmarkStart w:id="71" w:name="b7427cf697be16a4ec1d9"/>
      <w:pPr>
        <w:pStyle w:val="Heading1"/>
        <w:keepNext/>
        <w:pageBreakBefore/>
      </w:pPr>
      <w:r>
        <w:rPr>
          <w:rFonts w:ascii="Times New Roman" w:hAnsi="Times New Roman" w:cs="Times New Roman" w:eastAsia="Times New Roman"/>
          <w:b/>
          <w:color w:val="000000"/>
          <w:sz w:val="28"/>
        </w:rPr>
        <w:t>Glossary</w:t>
      </w:r>
      <w:bookmarkEnd w:id="7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128"/>
        <w:gridCol w:w="1008"/>
      </w:tblGrid>
      <w:tr>
        <w:trPr>
          <w:cantSplit/>
          <w:tblHeader/>
        </w:trPr>
        <w:tc>
          <w:tcPr>
            <w:tcW w:type="dxa" w:w="1944"/>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1"/>
              </w:rPr>
              <w:t>Term</w:t>
            </w:r>
          </w:p>
        </w:tc>
        <w:tc>
          <w:tcPr>
            <w:tcW w:type="dxa" w:w="7128"/>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Meaning in this report</w:t>
            </w:r>
          </w:p>
        </w:tc>
        <w:tc>
          <w:tcPr>
            <w:tcW w:type="dxa" w:w="1008"/>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1"/>
              </w:rPr>
              <w:t>First page</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Accepted record</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A record that passed stated automated gates; no universal correctness claim</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37</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Calibration</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Training-only examples used to estimate channel importance</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6</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Conversation tokens</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Tokens in the complete rendered chat, including masked prompt text</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15</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Holdout</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Data reserved from calibration and training for development or final assessment</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14</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LoRA</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Low-rank trainable weight updates over a frozen base</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4</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MLP channel</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An intermediate gated-MLP dimension linked across gate/up/down projections</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4</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NF4</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NormalFloat 4-bit weight representation used by bitsandbytes</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4</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Provenance</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Recorded origin, references, transformations and verification evidence</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12</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Pruning</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Physical removal of selected model dimensions in this implementation</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2</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Recovery</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Post-pruning training intended to restore useful task behaviour</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2</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Source plan</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A pinned, checksummed description of approved native dataset coordinates</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13</w:t>
            </w:r>
          </w:p>
        </w:tc>
      </w:tr>
      <w:tr>
        <w:trPr>
          <w:cantSplit/>
        </w:trPr>
        <w:tc>
          <w:tcPr>
            <w:tcW w:type="dxa" w:w="1944"/>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1"/>
              </w:rPr>
              <w:t>SFT</w:t>
            </w:r>
          </w:p>
        </w:tc>
        <w:tc>
          <w:tcPr>
            <w:tcW w:type="dxa" w:w="712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Supervised fine-tuning on instruction and answer conversations</w:t>
            </w:r>
          </w:p>
        </w:tc>
        <w:tc>
          <w:tcPr>
            <w:tcW w:type="dxa" w:w="1008"/>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1"/>
              </w:rPr>
              <w:t>3</w:t>
            </w:r>
          </w:p>
        </w:tc>
      </w:tr>
    </w:tbl>
    <w:p>
      <w:pPr>
        <w:keepNext/>
        <w:spacing w:line="240" w:lineRule="auto" w:after="60"/>
      </w:pPr>
      <w:r>
        <w:rPr>
          <w:rFonts w:ascii="Times New Roman" w:hAnsi="Times New Roman" w:cs="Times New Roman" w:eastAsia="Times New Roman"/>
          <w:b w:val="0"/>
          <w:color w:val="000000"/>
        </w:rPr>
      </w:r>
    </w:p>
    <w:p>
      <w:r>
        <w:br w:type="page"/>
      </w:r>
    </w:p>
    <w:p>
      <w:bookmarkStart w:id="72" w:name="b18355efb4ca6855284ba"/>
      <w:pPr>
        <w:spacing w:line="288" w:lineRule="auto" w:after="280"/>
        <w:jc w:val="center"/>
      </w:pPr>
      <w:r>
        <w:rPr>
          <w:rFonts w:ascii="Times New Roman" w:hAnsi="Times New Roman" w:cs="Times New Roman" w:eastAsia="Times New Roman"/>
          <w:b/>
          <w:color w:val="000000"/>
          <w:sz w:val="28"/>
        </w:rPr>
        <w:t>Final report checklist</w:t>
      </w:r>
      <w:bookmarkEnd w:id="72"/>
    </w:p>
    <w:p>
      <w:pPr>
        <w:spacing w:line="240" w:lineRule="auto" w:after="100"/>
      </w:pPr>
      <w:r>
        <w:rPr>
          <w:rFonts w:ascii="Times New Roman" w:hAnsi="Times New Roman" w:cs="Times New Roman" w:eastAsia="Times New Roman"/>
          <w:b/>
          <w:color w:val="000000"/>
          <w:sz w:val="21"/>
        </w:rPr>
        <w:t>Checklist of items for the Final Dissertation / Project / Project Work Report</w:t>
      </w:r>
    </w:p>
    <w:p>
      <w:pPr>
        <w:spacing w:line="240" w:lineRule="auto" w:after="120"/>
      </w:pPr>
      <w:r>
        <w:rPr>
          <w:rFonts w:ascii="Times New Roman" w:hAnsi="Times New Roman" w:cs="Times New Roman" w:eastAsia="Times New Roman"/>
          <w:b w:val="0"/>
          <w:color w:val="000000"/>
          <w:sz w:val="21"/>
        </w:rPr>
        <w:t>Complete, verify and sign this sheet after the outstanding work and supervisor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056"/>
        <w:gridCol w:w="2232"/>
      </w:tblGrid>
      <w:tr>
        <w:trPr>
          <w:cantSplit/>
          <w:tblHeader/>
        </w:trPr>
        <w:tc>
          <w:tcPr>
            <w:tcW w:type="dxa" w:w="792"/>
            <w:vAlign w:val="center"/>
            <w:tcMar>
              <w:top w:w="75" w:type="dxa"/>
              <w:bottom w:w="75" w:type="dxa"/>
              <w:left w:w="90" w:type="dxa"/>
              <w:right w:w="90" w:type="dxa"/>
            </w:tcMar>
            <w:shd w:fill="E7E7E7"/>
          </w:tcPr>
          <w:p>
            <w:pPr>
              <w:keepNext/>
              <w:spacing w:line="264" w:lineRule="auto" w:after="20" w:before="0"/>
              <w:jc w:val="left"/>
            </w:pPr>
            <w:r>
              <w:rPr>
                <w:rFonts w:ascii="Times New Roman" w:hAnsi="Times New Roman" w:cs="Times New Roman" w:eastAsia="Times New Roman"/>
                <w:b/>
                <w:color w:val="000000"/>
                <w:sz w:val="20"/>
              </w:rPr>
              <w:t>Item</w:t>
            </w:r>
          </w:p>
        </w:tc>
        <w:tc>
          <w:tcPr>
            <w:tcW w:type="dxa" w:w="7056"/>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0"/>
              </w:rPr>
              <w:t>Verification</w:t>
            </w:r>
          </w:p>
        </w:tc>
        <w:tc>
          <w:tcPr>
            <w:tcW w:type="dxa" w:w="2232"/>
            <w:vAlign w:val="center"/>
            <w:tcMar>
              <w:top w:w="75" w:type="dxa"/>
              <w:bottom w:w="75" w:type="dxa"/>
              <w:left w:w="90" w:type="dxa"/>
              <w:right w:w="90" w:type="dxa"/>
            </w:tcMar>
            <w:shd w:fill="E7E7E7"/>
          </w:tcPr>
          <w:p>
            <w:pPr>
              <w:keepNext/>
              <w:spacing w:line="264" w:lineRule="auto" w:after="20" w:before="0"/>
              <w:jc w:val="center"/>
            </w:pPr>
            <w:r>
              <w:rPr>
                <w:rFonts w:ascii="Times New Roman" w:hAnsi="Times New Roman" w:cs="Times New Roman" w:eastAsia="Times New Roman"/>
                <w:b/>
                <w:color w:val="000000"/>
                <w:sz w:val="20"/>
              </w:rPr>
              <w:t>Status</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1</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Technical-report elements and neat formatting</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Final review</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2</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Cover follows the supplied Appendix A specimen</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Prepared</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3</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Inner title page follows Appendix B</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Prepared</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4(a)</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Supervisor certificate included for approval</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Review pending</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4(b)</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Supervisor certificate signed</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Pending</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5</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One-page abstract, at most 200 words, with keywords</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Prepared</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6</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Title reflects the completed scope</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Final scope review</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7</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Abbreviations and acronyms included</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Prepared</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8</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Literature survey included</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Prepared</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9</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Contents, page numbers, figures, tables, captions and appendices checked</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Final verification</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10</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Conclusions follow the completed results</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Pending evaluation</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11</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References included and cited in the text</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Prepared</w:t>
            </w:r>
          </w:p>
        </w:tc>
      </w:tr>
      <w:tr>
        <w:trPr>
          <w:cantSplit/>
        </w:trPr>
        <w:tc>
          <w:tcPr>
            <w:tcW w:type="dxa" w:w="792"/>
            <w:vAlign w:val="center"/>
            <w:tcMar>
              <w:top w:w="75" w:type="dxa"/>
              <w:bottom w:w="75" w:type="dxa"/>
              <w:left w:w="90" w:type="dxa"/>
              <w:right w:w="90" w:type="dxa"/>
            </w:tcMar>
          </w:tcPr>
          <w:p>
            <w:pPr>
              <w:keepNext w:val="0"/>
              <w:spacing w:line="264" w:lineRule="auto" w:after="20" w:before="0"/>
              <w:jc w:val="left"/>
            </w:pPr>
            <w:r>
              <w:rPr>
                <w:rFonts w:ascii="Times New Roman" w:hAnsi="Times New Roman" w:cs="Times New Roman" w:eastAsia="Times New Roman"/>
                <w:b w:val="0"/>
                <w:color w:val="000000"/>
                <w:sz w:val="20"/>
              </w:rPr>
              <w:t>12</w:t>
            </w:r>
          </w:p>
        </w:tc>
        <w:tc>
          <w:tcPr>
            <w:tcW w:type="dxa" w:w="7056"/>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Format and content meet the guidelines; no source-code dump</w:t>
            </w:r>
          </w:p>
        </w:tc>
        <w:tc>
          <w:tcPr>
            <w:tcW w:type="dxa" w:w="2232"/>
            <w:vAlign w:val="center"/>
            <w:tcMar>
              <w:top w:w="75" w:type="dxa"/>
              <w:bottom w:w="75" w:type="dxa"/>
              <w:left w:w="90" w:type="dxa"/>
              <w:right w:w="90" w:type="dxa"/>
            </w:tcMar>
          </w:tcPr>
          <w:p>
            <w:pPr>
              <w:keepNext w:val="0"/>
              <w:spacing w:line="264" w:lineRule="auto" w:after="20" w:before="0"/>
              <w:jc w:val="center"/>
            </w:pPr>
            <w:r>
              <w:rPr>
                <w:rFonts w:ascii="Times New Roman" w:hAnsi="Times New Roman" w:cs="Times New Roman" w:eastAsia="Times New Roman"/>
                <w:b w:val="0"/>
                <w:color w:val="000000"/>
                <w:sz w:val="20"/>
              </w:rPr>
              <w:t>Final review</w:t>
            </w:r>
          </w:p>
        </w:tc>
      </w:tr>
    </w:tbl>
    <w:p>
      <w:pPr>
        <w:keepNext/>
        <w:spacing w:line="240" w:lineRule="auto" w:after="60"/>
      </w:pPr>
      <w:r>
        <w:rPr>
          <w:rFonts w:ascii="Times New Roman" w:hAnsi="Times New Roman" w:cs="Times New Roman" w:eastAsia="Times New Roman"/>
          <w:b w:val="0"/>
          <w:color w:val="000000"/>
        </w:rPr>
      </w:r>
    </w:p>
    <w:p>
      <w:pPr>
        <w:spacing w:line="240" w:lineRule="auto" w:after="80"/>
      </w:pPr>
      <w:r>
        <w:rPr>
          <w:rFonts w:ascii="Times New Roman" w:hAnsi="Times New Roman" w:cs="Times New Roman" w:eastAsia="Times New Roman"/>
          <w:b/>
          <w:color w:val="000000"/>
          <w:sz w:val="21"/>
        </w:rPr>
        <w:t>Declaration by student</w:t>
      </w:r>
    </w:p>
    <w:p>
      <w:pPr>
        <w:spacing w:line="264" w:lineRule="auto" w:after="180"/>
      </w:pPr>
      <w:r>
        <w:rPr>
          <w:rFonts w:ascii="Times New Roman" w:hAnsi="Times New Roman" w:cs="Times New Roman" w:eastAsia="Times New Roman"/>
          <w:b w:val="0"/>
          <w:color w:val="000000"/>
          <w:sz w:val="21"/>
        </w:rPr>
        <w:t>I certify that I have verified all items in this checklist and that the completed report meets the format specified in the course handout.</w:t>
      </w:r>
    </w:p>
    <w:p>
      <w:pPr>
        <w:spacing w:line="276" w:lineRule="auto" w:after="160"/>
      </w:pPr>
      <w:r>
        <w:rPr>
          <w:rFonts w:ascii="Times New Roman" w:hAnsi="Times New Roman" w:cs="Times New Roman" w:eastAsia="Times New Roman"/>
          <w:b w:val="0"/>
          <w:color w:val="000000"/>
          <w:sz w:val="21"/>
        </w:rPr>
        <w:t>Place: ____________________    Student signature: ____________________</w:t>
      </w:r>
    </w:p>
    <w:p>
      <w:pPr>
        <w:spacing w:line="276" w:lineRule="auto" w:after="160"/>
      </w:pPr>
      <w:r>
        <w:rPr>
          <w:rFonts w:ascii="Times New Roman" w:hAnsi="Times New Roman" w:cs="Times New Roman" w:eastAsia="Times New Roman"/>
          <w:b w:val="0"/>
          <w:color w:val="000000"/>
          <w:sz w:val="21"/>
        </w:rPr>
        <w:t>Date: ____________________    Name: Mohammed Alaa Marzouq Sallout</w:t>
      </w:r>
    </w:p>
    <w:p>
      <w:pPr>
        <w:spacing w:line="276" w:lineRule="auto" w:after="0"/>
      </w:pPr>
      <w:r>
        <w:rPr>
          <w:rFonts w:ascii="Times New Roman" w:hAnsi="Times New Roman" w:cs="Times New Roman" w:eastAsia="Times New Roman"/>
          <w:b w:val="0"/>
          <w:color w:val="000000"/>
          <w:sz w:val="21"/>
        </w:rPr>
        <w:t>ID No.: 2024tm93522</w:t>
      </w:r>
    </w:p>
    <w:sectPr w:rsidR="00FC693F" w:rsidRPr="0006063C" w:rsidSect="00034616">
      <w:footerReference w:type="default" r:id="rId11"/>
      <w:pgSz w:w="12960" w:h="15840"/>
      <w:pgMar w:top="1440" w:right="1440" w:bottom="1440" w:left="1440" w:header="648" w:footer="648" w:gutter="0"/>
      <w:cols w:space="720"/>
      <w:docGrid w:linePitch="360"/>
      <w:pgNumType w:fmt="decimal"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mpletion notes" w:initials="CN" w:date="2026-10-30T17:32:41Z">
    <w:p>
      <w:pPr>
        <w:pStyle w:val="CommentText"/>
      </w:pPr>
      <w:r>
        <w:rPr>
          <w:rStyle w:val="CommentReference"/>
        </w:rPr>
        <w:annotationRef/>
      </w:r>
      <w:r>
        <w:t>Completion note R1: replace this progress snapshot with the final larger-run report, exact data/model pins, training duration, final export checksums and observed warnings. Keep the ten-step experiment separate from the larger run. Do not promote its success to an unobserved 650-step result.</w:t>
      </w:r>
    </w:p>
  </w:comment>
  <w:comment w:id="1" w:author="Completion notes" w:initials="CN" w:date="2026-10-30T17:32:41Z">
    <w:p>
      <w:pPr>
        <w:pStyle w:val="CommentText"/>
      </w:pPr>
      <w:r>
        <w:rPr>
          <w:rStyle w:val="CommentReference"/>
        </w:rPr>
        <w:annotationRef/>
      </w:r>
      <w:r>
        <w:t>Completion note E1: define and freeze evaluation task IDs, source revisions, contamination checks, prompt templates, decoding settings and scoring code. Complete evaluation after the larger run. Results are pending.</w:t>
      </w:r>
    </w:p>
  </w:comment>
  <w:comment w:id="2" w:author="Completion notes" w:initials="CN" w:date="2026-10-30T17:32:41Z">
    <w:p>
      <w:pPr>
        <w:pStyle w:val="CommentText"/>
      </w:pPr>
      <w:r>
        <w:rPr>
          <w:rStyle w:val="CommentReference"/>
        </w:rPr>
        <w:annotationRef/>
      </w:r>
      <w:r>
        <w:t>Completion note E2: measure peak GPU memory, prompt-processing latency, first-token latency, generation throughput and disk bytes using matched workloads. Record repeated runs and spread, not a single best time. The 80GB GPU choice is capacity headroom, not a measured requirement or demonstrated savings claim.</w:t>
      </w:r>
    </w:p>
  </w:comment>
  <w:comment w:id="3" w:author="Completion notes" w:initials="CN" w:date="2026-10-30T17:32:41Z">
    <w:p>
      <w:pPr>
        <w:pStyle w:val="CommentText"/>
      </w:pPr>
      <w:r>
        <w:rPr>
          <w:rStyle w:val="CommentReference"/>
        </w:rPr>
        <w:annotationRef/>
      </w:r>
      <w:r>
        <w:t>Completion note S1: implement and execute the bounded robustness audit. Tests should cover direct and indirect instruction override, attempts to obtain hidden credentials or unrelated source material, and policy conditions that conflict with a user's request. Expected outcomes and failure categories need to be fixed before interpreting success rates. The audit should follow an explicit threat model informed by indirect prompt injection work [12] and OWASP [13]. Passing a finite attack set cannot guarantee absence of all backdoors or leakage.</w:t>
      </w:r>
    </w:p>
  </w:comment>
  <w:comment w:id="4" w:author="Completion notes" w:initials="CN" w:date="2026-10-30T17:32:41Z">
    <w:p>
      <w:pPr>
        <w:pStyle w:val="CommentText"/>
      </w:pPr>
      <w:r>
        <w:rPr>
          <w:rStyle w:val="CommentReference"/>
        </w:rPr>
        <w:annotationRef/>
      </w:r>
      <w:r>
        <w:t>Completion note C1: complete the narrow corporate-response behaviour and any examples that connect policy requirements to code. LoRA adaptation already exists; the separate future customisation interface and its behavioural acceptance tests are unfinished.</w:t>
      </w:r>
    </w:p>
  </w:comment>
  <w:comment w:id="5" w:author="Completion notes" w:initials="CN" w:date="2026-10-30T17:32:41Z">
    <w:p>
      <w:pPr>
        <w:pStyle w:val="CommentText"/>
      </w:pPr>
      <w:r>
        <w:rPr>
          <w:rStyle w:val="CommentReference"/>
        </w:rPr>
        <w:annotationRef/>
      </w:r>
      <w:r>
        <w:t>Completion note P1: archive final server artifacts and configs, add completed evaluation tables, obtain source redistribution clearance and supervisor review, and select the intended venue before making publication claims. A publication package should separate synthetic policy material, permitted repository-derived records, external dataset references, checkpoint licences and private credentials. No article acceptance, production deployment or new state-of-the-art result is claimed.</w:t>
      </w:r>
    </w:p>
  </w:comment>
  <w:comment w:id="6" w:author="Completion notes" w:initials="CN" w:date="2026-10-30T17:32:41Z">
    <w:p>
      <w:pPr>
        <w:pStyle w:val="CommentText"/>
      </w:pPr>
      <w:r>
        <w:rPr>
          <w:rStyle w:val="CommentReference"/>
        </w:rPr>
        <w:annotationRef/>
      </w:r>
      <w:r>
        <w:t>Completion note R2: revise the final conclusions after the larger-run report, independent coding and enterprise tests, efficiency measurements and robustness assessment are available. Any claim of improved coding, retained policy behaviour or lower operating cost must name its baseline and measurement conditions.</w:t>
      </w:r>
    </w:p>
  </w:comment>
  <w:comment w:id="7" w:author="Completion notes" w:initials="CN" w:date="2026-10-30T17:32:41Z">
    <w:p>
      <w:pPr>
        <w:pStyle w:val="CommentText"/>
      </w:pPr>
      <w:r>
        <w:rPr>
          <w:rStyle w:val="CommentReference"/>
        </w:rPr>
        <w:annotationRef/>
      </w:r>
      <w:r>
        <w:t>Completion note R3: archive the server's 10k source plan, selected-decision database, dataset licences, compression configuration, final report and checkpoint file hashes. The local 20-row dataset pins must not be silently substituted for an uninspected 10k server plan. All numeric results in Chapter 7 retain their stated evidence scope.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60" w:line="288"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00" w:after="160" w:line="288"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60" w:line="288"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Bridging the Chasm: A Tri-Phase Framework for Enterprise AI (Corporate Data Transformation, Tuning for Compliance, and Robustness Auditing)</dc:title>
  <dc:subject>Dissertation on corporate data transformation and Qwen3 model compression</dc:subject>
  <dc:creator>Mohammed Alaa Marzouq Sallout</dc:creator>
  <cp:keywords>Qwen3; corporate policy; coding; LoRA; structured pruning; quantization</cp:keywords>
  <dc:description>generated by python-docx</dc:description>
  <cp:lastModifiedBy/>
  <cp:revision>1</cp:revision>
  <dcterms:created xsi:type="dcterms:W3CDTF">2013-12-23T23:15:00Z</dcterms:created>
  <dcterms:modified xsi:type="dcterms:W3CDTF">2013-12-23T23:15:00Z</dcterms:modified>
  <cp:category/>
</cp:coreProperties>
</file>