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题目上传规则与模板 1.4</w:t>
      </w:r>
    </w:p>
    <w:p>
      <w:r>
        <w:t>适用平台：数海 MathSea。更新日期：2026-09-09。</w:t>
      </w:r>
    </w:p>
    <w:p>
      <w:r>
        <w:t>本版统一10个TAG，采用内容初审和用户反馈流程，兼容旧版文件。教材目录以项目提供的《普通高中〈数学〉（共5册）课本目录（人教A版） - 知乎.pdf》为准。</w:t>
      </w:r>
    </w:p>
    <w:p>
      <w:pPr>
        <w:pStyle w:val="Heading1"/>
      </w:pPr>
      <w:r>
        <w:t>一、准备文件与上传流程</w:t>
      </w:r>
    </w:p>
    <w:p>
      <w:r>
        <w:t>1. 一道题一个UTF-8编码的 .md 文件。Windows换行和UTF-8 BOM均可识别。</w:t>
      </w:r>
    </w:p>
    <w:p>
      <w:r>
        <w:t>2. 一张试卷一个文件夹，文件名建议与原始 id 相同。图片放在对应题目的同一文件夹，支持PNG、JPG/JPEG、GIF、WebP。</w:t>
      </w:r>
    </w:p>
    <w:p>
      <w:r>
        <w:t>3. 后台“题目管理 → 批量导入”可以选择一张试卷目录，也可以选择包含多张试卷的年份目录。逐一确认完整试卷名称，必须区分年份、卷别、文理科；已有试卷选择已有记录。</w:t>
      </w:r>
    </w:p>
    <w:p>
      <w:r>
        <w:t>4. 导入只创建草稿。初审只核对题干、答案、解析和配图。内容无误后审核发布；分类、难度、教材章节不要求在初审逐项确认。</w:t>
      </w:r>
    </w:p>
    <w:p>
      <w:r>
        <w:t>5. id 是原始资料标识；网站显示的八位题号由系统在首次发布时生成，写MD时不要手工分配。</w:t>
      </w:r>
    </w:p>
    <w:p>
      <w:r>
        <w:t>目录示例：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2026/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 xml:space="preserve">  2026新高考Ⅱ卷/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 xml:space="preserve">    2026新高考Ⅱ卷T1.md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 xml:space="preserve">    2026新高考Ⅱ卷T2.md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 xml:space="preserve">    T2-题图.png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 xml:space="preserve">    T2-解析图.png</w:t>
      </w:r>
    </w:p>
    <w:p>
      <w:r>
        <w:t>同目录的图片文件名应唯一，跨试卷同名图片会分别关联。建议先用少量题目验证排版和配图，再导入整批文件。</w:t>
      </w:r>
    </w:p>
    <w:p>
      <w:pPr>
        <w:pStyle w:val="Heading1"/>
      </w:pPr>
      <w:r>
        <w:t>二、元数据格式</w:t>
      </w:r>
    </w:p>
    <w:p>
      <w:r>
        <w:t>文件以两行独立的 --- 包住元数据，每行一个 字段:值。字段值写在同一行，不要写YAML缩进列表、JSON数组或多行字符串，也不要给整个字段值加外层引号。多个知识点或章节使用英文逗号分隔。中英文冒号均兼容，推荐统一使用英文冒号。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填写规则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原始资料标识，建议“年份＋来源＋原卷题号”，如2026新高考Ⅱ卷T2；可含中文。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题目标题，可省略；省略时使用id。不是数学正文。</w:t>
            </w:r>
          </w:p>
        </w:tc>
      </w:tr>
      <w:tr>
        <w:tc>
          <w:tcPr>
            <w:tcW w:type="dxa" w:w="4320"/>
          </w:tcPr>
          <w:p>
            <w:r>
              <w:t>year</w:t>
            </w:r>
          </w:p>
        </w:tc>
        <w:tc>
          <w:tcPr>
            <w:tcW w:type="dxa" w:w="4320"/>
          </w:tcPr>
          <w:p>
            <w:r>
              <w:t>四位年份，如2026。课本题、自编题或年份不明时填0000。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题目来源名称，见第三节。</w:t>
            </w:r>
          </w:p>
        </w:tc>
      </w:tr>
      <w:tr>
        <w:tc>
          <w:tcPr>
            <w:tcW w:type="dxa" w:w="4320"/>
          </w:tcPr>
          <w:p>
            <w:r>
              <w:t>source_category</w:t>
            </w:r>
          </w:p>
        </w:tc>
        <w:tc>
          <w:tcPr>
            <w:tcW w:type="dxa" w:w="4320"/>
          </w:tcPr>
          <w:p>
            <w:r>
              <w:t>G高考、E其他正式考试、T课本、N其他。新文件建议明确填写，避免自动识别产生误判。</w:t>
            </w:r>
          </w:p>
        </w:tc>
      </w:tr>
      <w:tr>
        <w:tc>
          <w:tcPr>
            <w:tcW w:type="dxa" w:w="4320"/>
          </w:tcPr>
          <w:p>
            <w:r>
              <w:t>question_type</w:t>
            </w:r>
          </w:p>
        </w:tc>
        <w:tc>
          <w:tcPr>
            <w:tcW w:type="dxa" w:w="4320"/>
          </w:tcPr>
          <w:p>
            <w:r>
              <w:t>单选题、多选题、填空题、解答题，四选一。</w:t>
            </w:r>
          </w:p>
        </w:tc>
      </w:tr>
      <w:tr>
        <w:tc>
          <w:tcPr>
            <w:tcW w:type="dxa" w:w="4320"/>
          </w:tcPr>
          <w:p>
            <w:r>
              <w:t>number</w:t>
            </w:r>
          </w:p>
        </w:tc>
        <w:tc>
          <w:tcPr>
            <w:tcW w:type="dxa" w:w="4320"/>
          </w:tcPr>
          <w:p>
            <w:r>
              <w:t>试卷原题号，如T2或2。同一试卷必须唯一。非试卷题按资料集内固定序号1、2、3……编号，资料集作为单独目录确认。</w:t>
            </w:r>
          </w:p>
        </w:tc>
      </w:tr>
      <w:tr>
        <w:tc>
          <w:tcPr>
            <w:tcW w:type="dxa" w:w="4320"/>
          </w:tcPr>
          <w:p>
            <w:r>
              <w:t>difficulty</w:t>
            </w:r>
          </w:p>
        </w:tc>
        <w:tc>
          <w:tcPr>
            <w:tcW w:type="dxa" w:w="4320"/>
          </w:tcPr>
          <w:p>
            <w:r>
              <w:t>D1～D7，不填写BLACK、WHITE。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使用本版10个大类，如集合与逻辑,函数与导数；允许多个TAG。旧细标签自动归并，同义名称不重复创建。</w:t>
            </w:r>
          </w:p>
        </w:tc>
      </w:tr>
      <w:tr>
        <w:tc>
          <w:tcPr>
            <w:tcW w:type="dxa" w:w="4320"/>
          </w:tcPr>
          <w:p>
            <w:r>
              <w:t>curriculum</w:t>
            </w:r>
          </w:p>
        </w:tc>
        <w:tc>
          <w:tcPr>
            <w:tcW w:type="dxa" w:w="4320"/>
          </w:tcPr>
          <w:p>
            <w:r>
              <w:t>本版固定填写PEP-A-2019。表示本次核定的人教A版五册教材，不表示题目来源必须是课本。</w:t>
            </w:r>
          </w:p>
        </w:tc>
      </w:tr>
      <w:tr>
        <w:tc>
          <w:tcPr>
            <w:tcW w:type="dxa" w:w="4320"/>
          </w:tcPr>
          <w:p>
            <w:r>
              <w:t>chapters</w:t>
            </w:r>
          </w:p>
        </w:tc>
        <w:tc>
          <w:tcPr>
            <w:tcW w:type="dxa" w:w="4320"/>
          </w:tcPr>
          <w:p>
            <w:r>
              <w:t>做题必需的教材章节代码，如A11,A42；可留空，表示尚未标注。代码表见第四节。</w:t>
            </w:r>
          </w:p>
        </w:tc>
      </w:tr>
    </w:tbl>
    <w:p>
      <w:r>
        <w:t>number:0 只作为旧版兼容输入，不建议新文件继续使用：同一资料集多个0会触发题号冲突。id 相同不代表可以跨卷覆盖：系统按确认的试卷身份和原题号检查重复。</w:t>
      </w:r>
    </w:p>
    <w:p>
      <w:r>
        <w:t>旧字段 creator_uid、created_at、updated_at、problem_number 可以保留，作为来源记录；它们不决定实际操作人、平台题号或平台时间。系统以登录管理员及实际保存、发布记录为准。不要在MD中填写密码、令牌等信息。</w:t>
      </w:r>
    </w:p>
    <w:p>
      <w:pPr>
        <w:pStyle w:val="Heading1"/>
      </w:pPr>
      <w:r>
        <w:t>三、来源与平台题号</w:t>
      </w:r>
    </w:p>
    <w:p>
      <w:r>
        <w:t>来源名称继续沿用1.2的约定：</w:t>
      </w:r>
    </w:p>
    <w:p>
      <w:r>
        <w:t>- 高考：全国卷、全国卷Ⅰ、全国卷Ⅱ、全国卷Ⅲ、全国甲卷、全国乙卷、新高考Ⅰ卷、新高考Ⅱ卷；地方卷如北京卷、山东卷；大纲卷统一填写大纲卷。</w:t>
      </w:r>
    </w:p>
    <w:p>
      <w:r>
        <w:t>- 2010年以前的历史资料可继续使用“2009年及更早的高考试卷”，但导入时必须确认具体试卷完整名称，以区分年份和文理科。</w:t>
      </w:r>
    </w:p>
    <w:p>
      <w:r>
        <w:t>- 其他正式考试如自主招生、强基计划、高考适应性测试卷、高联，填写对应来源，并选择E。</w:t>
      </w:r>
    </w:p>
    <w:p>
      <w:r>
        <w:t>- 课本题填写明确教材名称，如“人教A版必修第一册”，来源类别T。</w:t>
      </w:r>
    </w:p>
    <w:p>
      <w:r>
        <w:t>- 自编练习、来源不明的模拟材料等选择N；模拟题是否属于正式考试按实际来源判断，不仅凭“模拟”二字决定类别。未填写类别时系统会尝试识别，请在后台复核。</w:t>
      </w:r>
    </w:p>
    <w:p>
      <w:r>
        <w:t>网站题号是“来源字母＋题型字母＋六位全库流水号”：G/E/T/N，加C单选、M多选、F填空、S解答，再加000001～999999。各前缀共用同一个序列，例如GC000001、EC000002、NM000003。草稿不占号。后期更正来源类别或题型只改变前缀，六位流水号保留，旧链接仍可访问。</w:t>
      </w:r>
    </w:p>
    <w:p>
      <w:pPr>
        <w:pStyle w:val="Heading1"/>
      </w:pPr>
      <w:r>
        <w:t>四、教材章节代码表</w:t>
      </w:r>
    </w:p>
    <w:p>
      <w:r>
        <w:t>代码规则：A表示本版教材体系；第二位是五册的顺序；第三位是该册目录中的第几个章。例如A21是必修第二册的第一个章，即课本中的“第六章”，不是“第二章”。代码只负责标识，不按字符串大小推算学习进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</w:tcPr>
          <w:p>
            <w:r>
              <w:t>代码</w:t>
            </w:r>
          </w:p>
        </w:tc>
        <w:tc>
          <w:tcPr>
            <w:tcW w:type="dxa" w:w="2880"/>
          </w:tcPr>
          <w:p>
            <w:r>
              <w:t>册次</w:t>
            </w:r>
          </w:p>
        </w:tc>
        <w:tc>
          <w:tcPr>
            <w:tcW w:type="dxa" w:w="2880"/>
          </w:tcPr>
          <w:p>
            <w:r>
              <w:t>教材章节名称</w:t>
            </w:r>
          </w:p>
        </w:tc>
      </w:tr>
      <w:tr>
        <w:tc>
          <w:tcPr>
            <w:tcW w:type="dxa" w:w="2880"/>
          </w:tcPr>
          <w:p>
            <w:r>
              <w:t>A11</w:t>
            </w:r>
          </w:p>
        </w:tc>
        <w:tc>
          <w:tcPr>
            <w:tcW w:type="dxa" w:w="2880"/>
          </w:tcPr>
          <w:p>
            <w:r>
              <w:t>必修第一册</w:t>
            </w:r>
          </w:p>
        </w:tc>
        <w:tc>
          <w:tcPr>
            <w:tcW w:type="dxa" w:w="2880"/>
          </w:tcPr>
          <w:p>
            <w:r>
              <w:t>第一章 集合与常用逻辑用语</w:t>
            </w:r>
          </w:p>
        </w:tc>
      </w:tr>
      <w:tr>
        <w:tc>
          <w:tcPr>
            <w:tcW w:type="dxa" w:w="2880"/>
          </w:tcPr>
          <w:p>
            <w:r>
              <w:t>A12</w:t>
            </w:r>
          </w:p>
        </w:tc>
        <w:tc>
          <w:tcPr>
            <w:tcW w:type="dxa" w:w="2880"/>
          </w:tcPr>
          <w:p>
            <w:r>
              <w:t>必修第一册</w:t>
            </w:r>
          </w:p>
        </w:tc>
        <w:tc>
          <w:tcPr>
            <w:tcW w:type="dxa" w:w="2880"/>
          </w:tcPr>
          <w:p>
            <w:r>
              <w:t>第二章 一元二次函数、方程和不等式</w:t>
            </w:r>
          </w:p>
        </w:tc>
      </w:tr>
      <w:tr>
        <w:tc>
          <w:tcPr>
            <w:tcW w:type="dxa" w:w="2880"/>
          </w:tcPr>
          <w:p>
            <w:r>
              <w:t>A13</w:t>
            </w:r>
          </w:p>
        </w:tc>
        <w:tc>
          <w:tcPr>
            <w:tcW w:type="dxa" w:w="2880"/>
          </w:tcPr>
          <w:p>
            <w:r>
              <w:t>必修第一册</w:t>
            </w:r>
          </w:p>
        </w:tc>
        <w:tc>
          <w:tcPr>
            <w:tcW w:type="dxa" w:w="2880"/>
          </w:tcPr>
          <w:p>
            <w:r>
              <w:t>第三章 函数的概念与性质</w:t>
            </w:r>
          </w:p>
        </w:tc>
      </w:tr>
      <w:tr>
        <w:tc>
          <w:tcPr>
            <w:tcW w:type="dxa" w:w="2880"/>
          </w:tcPr>
          <w:p>
            <w:r>
              <w:t>A14</w:t>
            </w:r>
          </w:p>
        </w:tc>
        <w:tc>
          <w:tcPr>
            <w:tcW w:type="dxa" w:w="2880"/>
          </w:tcPr>
          <w:p>
            <w:r>
              <w:t>必修第一册</w:t>
            </w:r>
          </w:p>
        </w:tc>
        <w:tc>
          <w:tcPr>
            <w:tcW w:type="dxa" w:w="2880"/>
          </w:tcPr>
          <w:p>
            <w:r>
              <w:t>第四章 指数函数与对数函数</w:t>
            </w:r>
          </w:p>
        </w:tc>
      </w:tr>
      <w:tr>
        <w:tc>
          <w:tcPr>
            <w:tcW w:type="dxa" w:w="2880"/>
          </w:tcPr>
          <w:p>
            <w:r>
              <w:t>A15</w:t>
            </w:r>
          </w:p>
        </w:tc>
        <w:tc>
          <w:tcPr>
            <w:tcW w:type="dxa" w:w="2880"/>
          </w:tcPr>
          <w:p>
            <w:r>
              <w:t>必修第一册</w:t>
            </w:r>
          </w:p>
        </w:tc>
        <w:tc>
          <w:tcPr>
            <w:tcW w:type="dxa" w:w="2880"/>
          </w:tcPr>
          <w:p>
            <w:r>
              <w:t>第五章 三角函数</w:t>
            </w:r>
          </w:p>
        </w:tc>
      </w:tr>
      <w:tr>
        <w:tc>
          <w:tcPr>
            <w:tcW w:type="dxa" w:w="2880"/>
          </w:tcPr>
          <w:p>
            <w:r>
              <w:t>A21</w:t>
            </w:r>
          </w:p>
        </w:tc>
        <w:tc>
          <w:tcPr>
            <w:tcW w:type="dxa" w:w="2880"/>
          </w:tcPr>
          <w:p>
            <w:r>
              <w:t>必修第二册</w:t>
            </w:r>
          </w:p>
        </w:tc>
        <w:tc>
          <w:tcPr>
            <w:tcW w:type="dxa" w:w="2880"/>
          </w:tcPr>
          <w:p>
            <w:r>
              <w:t>第六章 平面向量及其应用</w:t>
            </w:r>
          </w:p>
        </w:tc>
      </w:tr>
      <w:tr>
        <w:tc>
          <w:tcPr>
            <w:tcW w:type="dxa" w:w="2880"/>
          </w:tcPr>
          <w:p>
            <w:r>
              <w:t>A22</w:t>
            </w:r>
          </w:p>
        </w:tc>
        <w:tc>
          <w:tcPr>
            <w:tcW w:type="dxa" w:w="2880"/>
          </w:tcPr>
          <w:p>
            <w:r>
              <w:t>必修第二册</w:t>
            </w:r>
          </w:p>
        </w:tc>
        <w:tc>
          <w:tcPr>
            <w:tcW w:type="dxa" w:w="2880"/>
          </w:tcPr>
          <w:p>
            <w:r>
              <w:t>第七章 复数</w:t>
            </w:r>
          </w:p>
        </w:tc>
      </w:tr>
      <w:tr>
        <w:tc>
          <w:tcPr>
            <w:tcW w:type="dxa" w:w="2880"/>
          </w:tcPr>
          <w:p>
            <w:r>
              <w:t>A23</w:t>
            </w:r>
          </w:p>
        </w:tc>
        <w:tc>
          <w:tcPr>
            <w:tcW w:type="dxa" w:w="2880"/>
          </w:tcPr>
          <w:p>
            <w:r>
              <w:t>必修第二册</w:t>
            </w:r>
          </w:p>
        </w:tc>
        <w:tc>
          <w:tcPr>
            <w:tcW w:type="dxa" w:w="2880"/>
          </w:tcPr>
          <w:p>
            <w:r>
              <w:t>第八章 立体几何初步</w:t>
            </w:r>
          </w:p>
        </w:tc>
      </w:tr>
      <w:tr>
        <w:tc>
          <w:tcPr>
            <w:tcW w:type="dxa" w:w="2880"/>
          </w:tcPr>
          <w:p>
            <w:r>
              <w:t>A24</w:t>
            </w:r>
          </w:p>
        </w:tc>
        <w:tc>
          <w:tcPr>
            <w:tcW w:type="dxa" w:w="2880"/>
          </w:tcPr>
          <w:p>
            <w:r>
              <w:t>必修第二册</w:t>
            </w:r>
          </w:p>
        </w:tc>
        <w:tc>
          <w:tcPr>
            <w:tcW w:type="dxa" w:w="2880"/>
          </w:tcPr>
          <w:p>
            <w:r>
              <w:t>第九章 统计</w:t>
            </w:r>
          </w:p>
        </w:tc>
      </w:tr>
      <w:tr>
        <w:tc>
          <w:tcPr>
            <w:tcW w:type="dxa" w:w="2880"/>
          </w:tcPr>
          <w:p>
            <w:r>
              <w:t>A25</w:t>
            </w:r>
          </w:p>
        </w:tc>
        <w:tc>
          <w:tcPr>
            <w:tcW w:type="dxa" w:w="2880"/>
          </w:tcPr>
          <w:p>
            <w:r>
              <w:t>必修第二册</w:t>
            </w:r>
          </w:p>
        </w:tc>
        <w:tc>
          <w:tcPr>
            <w:tcW w:type="dxa" w:w="2880"/>
          </w:tcPr>
          <w:p>
            <w:r>
              <w:t>第十章 概率</w:t>
            </w:r>
          </w:p>
        </w:tc>
      </w:tr>
      <w:tr>
        <w:tc>
          <w:tcPr>
            <w:tcW w:type="dxa" w:w="2880"/>
          </w:tcPr>
          <w:p>
            <w:r>
              <w:t>A31</w:t>
            </w:r>
          </w:p>
        </w:tc>
        <w:tc>
          <w:tcPr>
            <w:tcW w:type="dxa" w:w="2880"/>
          </w:tcPr>
          <w:p>
            <w:r>
              <w:t>选择性必修第一册</w:t>
            </w:r>
          </w:p>
        </w:tc>
        <w:tc>
          <w:tcPr>
            <w:tcW w:type="dxa" w:w="2880"/>
          </w:tcPr>
          <w:p>
            <w:r>
              <w:t>第一章 空间向量与立体几何</w:t>
            </w:r>
          </w:p>
        </w:tc>
      </w:tr>
      <w:tr>
        <w:tc>
          <w:tcPr>
            <w:tcW w:type="dxa" w:w="2880"/>
          </w:tcPr>
          <w:p>
            <w:r>
              <w:t>A32</w:t>
            </w:r>
          </w:p>
        </w:tc>
        <w:tc>
          <w:tcPr>
            <w:tcW w:type="dxa" w:w="2880"/>
          </w:tcPr>
          <w:p>
            <w:r>
              <w:t>选择性必修第一册</w:t>
            </w:r>
          </w:p>
        </w:tc>
        <w:tc>
          <w:tcPr>
            <w:tcW w:type="dxa" w:w="2880"/>
          </w:tcPr>
          <w:p>
            <w:r>
              <w:t>第二章 直线和圆的方程</w:t>
            </w:r>
          </w:p>
        </w:tc>
      </w:tr>
      <w:tr>
        <w:tc>
          <w:tcPr>
            <w:tcW w:type="dxa" w:w="2880"/>
          </w:tcPr>
          <w:p>
            <w:r>
              <w:t>A33</w:t>
            </w:r>
          </w:p>
        </w:tc>
        <w:tc>
          <w:tcPr>
            <w:tcW w:type="dxa" w:w="2880"/>
          </w:tcPr>
          <w:p>
            <w:r>
              <w:t>选择性必修第一册</w:t>
            </w:r>
          </w:p>
        </w:tc>
        <w:tc>
          <w:tcPr>
            <w:tcW w:type="dxa" w:w="2880"/>
          </w:tcPr>
          <w:p>
            <w:r>
              <w:t>第三章 圆锥曲线的方程</w:t>
            </w:r>
          </w:p>
        </w:tc>
      </w:tr>
      <w:tr>
        <w:tc>
          <w:tcPr>
            <w:tcW w:type="dxa" w:w="2880"/>
          </w:tcPr>
          <w:p>
            <w:r>
              <w:t>A41</w:t>
            </w:r>
          </w:p>
        </w:tc>
        <w:tc>
          <w:tcPr>
            <w:tcW w:type="dxa" w:w="2880"/>
          </w:tcPr>
          <w:p>
            <w:r>
              <w:t>选择性必修第二册</w:t>
            </w:r>
          </w:p>
        </w:tc>
        <w:tc>
          <w:tcPr>
            <w:tcW w:type="dxa" w:w="2880"/>
          </w:tcPr>
          <w:p>
            <w:r>
              <w:t>第四章 数列</w:t>
            </w:r>
          </w:p>
        </w:tc>
      </w:tr>
      <w:tr>
        <w:tc>
          <w:tcPr>
            <w:tcW w:type="dxa" w:w="2880"/>
          </w:tcPr>
          <w:p>
            <w:r>
              <w:t>A42</w:t>
            </w:r>
          </w:p>
        </w:tc>
        <w:tc>
          <w:tcPr>
            <w:tcW w:type="dxa" w:w="2880"/>
          </w:tcPr>
          <w:p>
            <w:r>
              <w:t>选择性必修第二册</w:t>
            </w:r>
          </w:p>
        </w:tc>
        <w:tc>
          <w:tcPr>
            <w:tcW w:type="dxa" w:w="2880"/>
          </w:tcPr>
          <w:p>
            <w:r>
              <w:t>第五章 一元函数的导数及其应用</w:t>
            </w:r>
          </w:p>
        </w:tc>
      </w:tr>
      <w:tr>
        <w:tc>
          <w:tcPr>
            <w:tcW w:type="dxa" w:w="2880"/>
          </w:tcPr>
          <w:p>
            <w:r>
              <w:t>A51</w:t>
            </w:r>
          </w:p>
        </w:tc>
        <w:tc>
          <w:tcPr>
            <w:tcW w:type="dxa" w:w="2880"/>
          </w:tcPr>
          <w:p>
            <w:r>
              <w:t>选择性必修第三册</w:t>
            </w:r>
          </w:p>
        </w:tc>
        <w:tc>
          <w:tcPr>
            <w:tcW w:type="dxa" w:w="2880"/>
          </w:tcPr>
          <w:p>
            <w:r>
              <w:t>第六章 计数原理</w:t>
            </w:r>
          </w:p>
        </w:tc>
      </w:tr>
      <w:tr>
        <w:tc>
          <w:tcPr>
            <w:tcW w:type="dxa" w:w="2880"/>
          </w:tcPr>
          <w:p>
            <w:r>
              <w:t>A52</w:t>
            </w:r>
          </w:p>
        </w:tc>
        <w:tc>
          <w:tcPr>
            <w:tcW w:type="dxa" w:w="2880"/>
          </w:tcPr>
          <w:p>
            <w:r>
              <w:t>选择性必修第三册</w:t>
            </w:r>
          </w:p>
        </w:tc>
        <w:tc>
          <w:tcPr>
            <w:tcW w:type="dxa" w:w="2880"/>
          </w:tcPr>
          <w:p>
            <w:r>
              <w:t>第七章 随机变量及其分布</w:t>
            </w:r>
          </w:p>
        </w:tc>
      </w:tr>
      <w:tr>
        <w:tc>
          <w:tcPr>
            <w:tcW w:type="dxa" w:w="2880"/>
          </w:tcPr>
          <w:p>
            <w:r>
              <w:t>A53</w:t>
            </w:r>
          </w:p>
        </w:tc>
        <w:tc>
          <w:tcPr>
            <w:tcW w:type="dxa" w:w="2880"/>
          </w:tcPr>
          <w:p>
            <w:r>
              <w:t>选择性必修第三册</w:t>
            </w:r>
          </w:p>
        </w:tc>
        <w:tc>
          <w:tcPr>
            <w:tcW w:type="dxa" w:w="2880"/>
          </w:tcPr>
          <w:p>
            <w:r>
              <w:t>第八章 成对数据的统计分析</w:t>
            </w:r>
          </w:p>
        </w:tc>
      </w:tr>
    </w:tbl>
    <w:p>
      <w:r>
        <w:t>章级标签不代表选学了所有阅读材料、带星号小节或拓展知识。第一版暂不细分到小节；涉及超出通常章级教学范围的方法时，请在解析中说明并谨慎用于同步练习。</w:t>
      </w:r>
    </w:p>
    <w:p>
      <w:pPr>
        <w:pStyle w:val="Heading1"/>
      </w:pPr>
      <w:r>
        <w:t>五、怎样标注章节</w:t>
      </w:r>
    </w:p>
    <w:p>
      <w:r>
        <w:t>1. tags 使用标准大类名称；chapters 单独保存教材章节，两者不能混填。例如 tags:集合与逻辑,函数与导数，chapters:A11,A42。</w:t>
      </w:r>
    </w:p>
    <w:p>
      <w:r>
        <w:t>2. 根据确认的解法勾选全部实质必需章节。不要只标难度最高的一章，也不要把无关章补进去。</w:t>
      </w:r>
    </w:p>
    <w:p>
      <w:r>
        <w:t>3. 题面出现某个词不一定代表考查该章；纯粹作为书写约定的集合符号，不需要机械增加集合章。反之，必须做集合运算，就应标A11。</w:t>
      </w:r>
    </w:p>
    <w:p>
      <w:r>
        <w:t>4. 不要求将每一道题都标上全部先修章节。标明这道题解法实际用到的章节；初中基础运算不在本版18章中单独编码。</w:t>
      </w:r>
    </w:p>
    <w:p>
      <w:r>
        <w:t>5. 例如题目需要集合运算和导数，则填A11,A42。学生只学A11时不能进入“当前可做”；两章都学过时才可以。难度由D1～D7另行判断。</w:t>
      </w:r>
    </w:p>
    <w:p>
      <w:r>
        <w:t>6. 多种解法第一版以管理员确认的解法为准。不要自动认为“存在不用导数的解法”就适合低年级，须人工核对。</w:t>
      </w:r>
    </w:p>
    <w:p>
      <w:r>
        <w:t>7. 留空表示未标注；未知代码会提示错误，请修正后重试。不同章的相近名称不能互换：A23立体几何初步与A31空间向量、A25概率与A52随机变量需按实际知识区分。</w:t>
      </w:r>
    </w:p>
    <w:p>
      <w:r>
        <w:t>所有MD导入的章节均为待确认，文件不能授予“已确认”状态。即使填写 chapters_confirmed:true 等字段，也不会跳过人工核对。后台在题目信息中确认章节并发布后，人工标注优先用于学习进度筛选。没有人工确认时，按TAG所覆盖的全部章节保守估计；该估计不会冒充人工确认。</w:t>
      </w:r>
    </w:p>
    <w:p>
      <w:r>
        <w:t>未标注或未确认题目可以发布，并通过TAG映射参与学习进度粗略筛选。无TAG、含无法映射标签的题目暂不参与自动映射；章节专项仍只使用已确认章节。批量替换章节会清除原章节并重置为待确认；保存草稿、历史恢复均不直接改变公开题目的章节。</w:t>
      </w:r>
    </w:p>
    <w:p>
      <w:r>
        <w:t>学生可选学期预设，再精确勾选已学章节；系统要求“题目所需章节全部已学”。章节专项表示“涉及任一所选章”，可以与已学范围叠加。学期预设由负责人维护，不是全国统一教学进度，不需要写入每道题的MD。</w:t>
      </w:r>
    </w:p>
    <w:p>
      <w:pPr>
        <w:pStyle w:val="Heading1"/>
      </w:pPr>
      <w:r>
        <w:t>六、难度、正文、答案和配图</w:t>
      </w:r>
    </w:p>
    <w:p>
      <w:r>
        <w:t>D1～D7依次对应RED、ORANGE、YELLOW、GREEN、CYAN、BLUE、PURPLE；BLACK、WHITE暂为保留值。平台保留1.2的六种试卷难度模板，管理员可以选择模板查看建议，建议不会自动覆盖原难度。未知卷型请人工复核。</w:t>
      </w:r>
    </w:p>
    <w:p>
      <w:r>
        <w:t>元数据结束后分别写 content:、answer:、solution:。推荐三段都填写；没有可靠答案或解析时可以留空，严禁为凑齐字段编造内容。</w:t>
      </w:r>
    </w:p>
    <w:p>
      <w:r>
        <w:t>- 中文文字直接写，行内公式使用 $...$，独立公式使用 $$...$$。</w:t>
      </w:r>
    </w:p>
    <w:p>
      <w:r>
        <w:t>- 正文不要包在整个Markdown代码块中。无需将全部中文放入LaTeX；普通Markdown标题、表格和HTML不是本平台完整富文本排版协议，需以预览为准。</w:t>
      </w:r>
    </w:p>
    <w:p>
      <w:r>
        <w:t>- 选择题建议各选项单独一行，避免把四个选项塞进一个超长公式；手机上超长公式会横向滚动。</w:t>
      </w:r>
    </w:p>
    <w:p>
      <w:r>
        <w:t>- 普通中文使用宋体，英文数字使用Times New Roman，公式保留数学字体。材料段独立写 :::material 开始，独立一行 ::: 结束，其中文字使用楷体。</w:t>
      </w:r>
    </w:p>
    <w:p>
      <w:r>
        <w:t>- 图片文件名可以任意命名，不再要求与id相同。推荐用 ![题图](T2-题图.png) 放在需要的位置；解析图放在solution段，答案图可放answer段。</w:t>
      </w:r>
    </w:p>
    <w:p>
      <w:r>
        <w:t>- 旧格式 img:{T2-题图.png} 继续兼容，多个图片写作 img:{图1.png}{图2.png}，作为题干附图。已用Markdown引用的图片不需要再重复写进img段。</w:t>
      </w:r>
    </w:p>
    <w:p>
      <w:r>
        <w:t>- 无附图写 img:0。不使用外部图片网址、绝对路径、../ 路径或HTML标签。请把原图一起放入目录上传。</w:t>
      </w:r>
    </w:p>
    <w:p>
      <w:r>
        <w:t>- 单张图片不超过10MB、MD不超过2MB；当前服务器整道题上传请求限制12MB。配图过大时压缩，或先导入文字再在工作台逐张补传。</w:t>
      </w:r>
    </w:p>
    <w:p>
      <w:r>
        <w:t>材料示例：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content: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:::material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某研究小组记录了一组数据……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:::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根据材料回答下列问题。</w:t>
      </w:r>
    </w:p>
    <w:p>
      <w:pPr>
        <w:pStyle w:val="Heading1"/>
      </w:pPr>
      <w:r>
        <w:t>七、完整MD示例</w:t>
      </w:r>
    </w:p>
    <w:p>
      <w:r>
        <w:t>以下示例可直接保存为 示例卷T1.md；在导入时作为自编练习资料集单独确认，不要归入真实高考试卷。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---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id:示例卷T1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title:集合与导数综合题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year:0000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source:自编练习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source_category:N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question_type:填空题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number:T1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difficulty:D2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tags:集合与逻辑,函数与导数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curriculum:PEP-A-2019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chapters:A11,A42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---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content: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设 $f(x)=x^2-2x$，集合 $A=\{x\in\mathbb{R}\mid f'(x)&gt;0\}$，$B=(-\infty,3)$，则 $A\cap B=$ ______。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answer: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$(1,3)$。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solution: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由 $f'(x)=2x-2&gt;0$，得 $x&gt;1$，故 $A=(1,+\infty)$。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所以 $A\cap B=(1,3)$。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img:0</w:t>
      </w:r>
    </w:p>
    <w:p>
      <w:pPr>
        <w:pStyle w:val="Heading1"/>
      </w:pPr>
      <w:r>
        <w:t>八、重复导入与后期修改</w:t>
      </w:r>
    </w:p>
    <w:p>
      <w:r>
        <w:t>- 同一试卷、同一原题号，文件及图片均未变化时跳过；内容变化时提示冲突，打开原草稿人工比较，不自动覆盖。</w:t>
      </w:r>
    </w:p>
    <w:p>
      <w:r>
        <w:t>- 不要靠改id来替换已发布题目。进入“已发布题目 → 校对 / 修改”，原公开版本继续可见，新版审核发布后才替换。</w:t>
      </w:r>
    </w:p>
    <w:p>
      <w:r>
        <w:t>- 可使用“保存并下一题”连续复核；Ctrl+S保存，Ctrl+Shift+S保存并下一题，macOS使用Command。</w:t>
      </w:r>
    </w:p>
    <w:p>
      <w:r>
        <w:t>- 领取任务避免多人重复编辑；版本冲突时保留本地草稿并比较。历史记录可恢复成草稿，再走复核流程。</w:t>
      </w:r>
    </w:p>
    <w:p>
      <w:r>
        <w:t>- 更改题干或解法后请重新核对章节。来源资料的旧标签只是线索，不能作为完整章节标注的保证。</w:t>
      </w:r>
    </w:p>
    <w:p>
      <w:pPr>
        <w:pStyle w:val="Heading1"/>
      </w:pPr>
      <w:r>
        <w:t>九、相对1.2的变化</w:t>
      </w:r>
    </w:p>
    <w:p>
      <w:r>
        <w:t>新增curriculum、chapters与source_category推荐字段；区分原始id与系统题号；图片支持任意文件名、多图及正文指定位置；增加答案解析段、章节人工确认与进度筛选说明。旧文件仍可导入，章节可留空，由TAG提供保守估计。原有难度模板继续使用，未定义的卷型不自动套用通用比例。</w:t>
      </w:r>
    </w:p>
    <w:p>
      <w:pPr>
        <w:pStyle w:val="Heading1"/>
      </w:pPr>
      <w:r>
        <w:t>附录：难度模板</w:t>
      </w:r>
    </w:p>
    <w:p>
      <w:r>
        <w:t>沿用1.2中已明确的六种模板。表内题号按原卷顺序；选考题需结合实际卷型核对。</w:t>
      </w:r>
    </w:p>
    <w:p>
      <w:pPr>
        <w:pStyle w:val="Heading2"/>
      </w:pPr>
      <w:r>
        <w:t>新高考19题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t>原题号</w:t>
            </w:r>
          </w:p>
        </w:tc>
        <w:tc>
          <w:tcPr>
            <w:tcW w:type="dxa" w:w="4320"/>
          </w:tcPr>
          <w:p>
            <w:r>
              <w:t>难度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D7</w:t>
            </w:r>
          </w:p>
        </w:tc>
      </w:tr>
    </w:tbl>
    <w:p>
      <w:pPr>
        <w:pStyle w:val="Heading2"/>
      </w:pPr>
      <w:r>
        <w:t>新高考22题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t>原题号</w:t>
            </w:r>
          </w:p>
        </w:tc>
        <w:tc>
          <w:tcPr>
            <w:tcW w:type="dxa" w:w="4320"/>
          </w:tcPr>
          <w:p>
            <w:r>
              <w:t>难度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22</w:t>
            </w:r>
          </w:p>
        </w:tc>
        <w:tc>
          <w:tcPr>
            <w:tcW w:type="dxa" w:w="4320"/>
          </w:tcPr>
          <w:p>
            <w:r>
              <w:t>D7</w:t>
            </w:r>
          </w:p>
        </w:tc>
      </w:tr>
    </w:tbl>
    <w:p>
      <w:pPr>
        <w:pStyle w:val="Heading2"/>
      </w:pPr>
      <w:r>
        <w:t>老高考23题（含选考）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t>原题号</w:t>
            </w:r>
          </w:p>
        </w:tc>
        <w:tc>
          <w:tcPr>
            <w:tcW w:type="dxa" w:w="4320"/>
          </w:tcPr>
          <w:p>
            <w:r>
              <w:t>难度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4320"/>
          </w:tcPr>
          <w:p>
            <w:r>
              <w:t>D7</w:t>
            </w:r>
          </w:p>
        </w:tc>
      </w:tr>
      <w:tr>
        <w:tc>
          <w:tcPr>
            <w:tcW w:type="dxa" w:w="4320"/>
          </w:tcPr>
          <w:p>
            <w:r>
              <w:t>22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23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</w:tbl>
    <w:p>
      <w:pPr>
        <w:pStyle w:val="Heading2"/>
      </w:pPr>
      <w:r>
        <w:t>天津20题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t>原题号</w:t>
            </w:r>
          </w:p>
        </w:tc>
        <w:tc>
          <w:tcPr>
            <w:tcW w:type="dxa" w:w="4320"/>
          </w:tcPr>
          <w:p>
            <w:r>
              <w:t>难度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D7</w:t>
            </w:r>
          </w:p>
        </w:tc>
      </w:tr>
    </w:tbl>
    <w:p>
      <w:pPr>
        <w:pStyle w:val="Heading2"/>
      </w:pPr>
      <w:r>
        <w:t>上海21题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t>原题号</w:t>
            </w:r>
          </w:p>
        </w:tc>
        <w:tc>
          <w:tcPr>
            <w:tcW w:type="dxa" w:w="4320"/>
          </w:tcPr>
          <w:p>
            <w:r>
              <w:t>难度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4320"/>
          </w:tcPr>
          <w:p>
            <w:r>
              <w:t>D7</w:t>
            </w:r>
          </w:p>
        </w:tc>
      </w:tr>
    </w:tbl>
    <w:p>
      <w:pPr>
        <w:pStyle w:val="Heading2"/>
      </w:pPr>
      <w:r>
        <w:t>北京21题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t>原题号</w:t>
            </w:r>
          </w:p>
        </w:tc>
        <w:tc>
          <w:tcPr>
            <w:tcW w:type="dxa" w:w="4320"/>
          </w:tcPr>
          <w:p>
            <w:r>
              <w:t>难度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4320"/>
          </w:tcPr>
          <w:p>
            <w:r>
              <w:t>D7</w:t>
            </w:r>
          </w:p>
        </w:tc>
      </w:tr>
    </w:tbl>
    <w:p>
      <w:pPr>
        <w:pStyle w:val="Heading1"/>
      </w:pPr>
      <w:r>
        <w:t>十、标准TAG与学习进度映射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t>TAG</w:t>
            </w:r>
          </w:p>
        </w:tc>
        <w:tc>
          <w:tcPr>
            <w:tcW w:type="dxa" w:w="4320"/>
          </w:tcPr>
          <w:p>
            <w:r>
              <w:t>自动映射章节</w:t>
            </w:r>
          </w:p>
        </w:tc>
      </w:tr>
      <w:tr>
        <w:tc>
          <w:tcPr>
            <w:tcW w:type="dxa" w:w="4320"/>
          </w:tcPr>
          <w:p>
            <w:r>
              <w:t>集合与逻辑</w:t>
            </w:r>
          </w:p>
        </w:tc>
        <w:tc>
          <w:tcPr>
            <w:tcW w:type="dxa" w:w="4320"/>
          </w:tcPr>
          <w:p>
            <w:r>
              <w:t>A11</w:t>
            </w:r>
          </w:p>
        </w:tc>
      </w:tr>
      <w:tr>
        <w:tc>
          <w:tcPr>
            <w:tcW w:type="dxa" w:w="4320"/>
          </w:tcPr>
          <w:p>
            <w:r>
              <w:t>函数与导数</w:t>
            </w:r>
          </w:p>
        </w:tc>
        <w:tc>
          <w:tcPr>
            <w:tcW w:type="dxa" w:w="4320"/>
          </w:tcPr>
          <w:p>
            <w:r>
              <w:t>A13, A14, A42</w:t>
            </w:r>
          </w:p>
        </w:tc>
      </w:tr>
      <w:tr>
        <w:tc>
          <w:tcPr>
            <w:tcW w:type="dxa" w:w="4320"/>
          </w:tcPr>
          <w:p>
            <w:r>
              <w:t>三角与解三角形</w:t>
            </w:r>
          </w:p>
        </w:tc>
        <w:tc>
          <w:tcPr>
            <w:tcW w:type="dxa" w:w="4320"/>
          </w:tcPr>
          <w:p>
            <w:r>
              <w:t>A15, A21</w:t>
            </w:r>
          </w:p>
        </w:tc>
      </w:tr>
      <w:tr>
        <w:tc>
          <w:tcPr>
            <w:tcW w:type="dxa" w:w="4320"/>
          </w:tcPr>
          <w:p>
            <w:r>
              <w:t>数列</w:t>
            </w:r>
          </w:p>
        </w:tc>
        <w:tc>
          <w:tcPr>
            <w:tcW w:type="dxa" w:w="4320"/>
          </w:tcPr>
          <w:p>
            <w:r>
              <w:t>A41</w:t>
            </w:r>
          </w:p>
        </w:tc>
      </w:tr>
      <w:tr>
        <w:tc>
          <w:tcPr>
            <w:tcW w:type="dxa" w:w="4320"/>
          </w:tcPr>
          <w:p>
            <w:r>
              <w:t>不等式</w:t>
            </w:r>
          </w:p>
        </w:tc>
        <w:tc>
          <w:tcPr>
            <w:tcW w:type="dxa" w:w="4320"/>
          </w:tcPr>
          <w:p>
            <w:r>
              <w:t>A12</w:t>
            </w:r>
          </w:p>
        </w:tc>
      </w:tr>
      <w:tr>
        <w:tc>
          <w:tcPr>
            <w:tcW w:type="dxa" w:w="4320"/>
          </w:tcPr>
          <w:p>
            <w:r>
              <w:t>平面向量</w:t>
            </w:r>
          </w:p>
        </w:tc>
        <w:tc>
          <w:tcPr>
            <w:tcW w:type="dxa" w:w="4320"/>
          </w:tcPr>
          <w:p>
            <w:r>
              <w:t>A21</w:t>
            </w:r>
          </w:p>
        </w:tc>
      </w:tr>
      <w:tr>
        <w:tc>
          <w:tcPr>
            <w:tcW w:type="dxa" w:w="4320"/>
          </w:tcPr>
          <w:p>
            <w:r>
              <w:t>解析几何</w:t>
            </w:r>
          </w:p>
        </w:tc>
        <w:tc>
          <w:tcPr>
            <w:tcW w:type="dxa" w:w="4320"/>
          </w:tcPr>
          <w:p>
            <w:r>
              <w:t>A32, A33</w:t>
            </w:r>
          </w:p>
        </w:tc>
      </w:tr>
      <w:tr>
        <w:tc>
          <w:tcPr>
            <w:tcW w:type="dxa" w:w="4320"/>
          </w:tcPr>
          <w:p>
            <w:r>
              <w:t>立体几何</w:t>
            </w:r>
          </w:p>
        </w:tc>
        <w:tc>
          <w:tcPr>
            <w:tcW w:type="dxa" w:w="4320"/>
          </w:tcPr>
          <w:p>
            <w:r>
              <w:t>A23, A31</w:t>
            </w:r>
          </w:p>
        </w:tc>
      </w:tr>
      <w:tr>
        <w:tc>
          <w:tcPr>
            <w:tcW w:type="dxa" w:w="4320"/>
          </w:tcPr>
          <w:p>
            <w:r>
              <w:t>概率与统计</w:t>
            </w:r>
          </w:p>
        </w:tc>
        <w:tc>
          <w:tcPr>
            <w:tcW w:type="dxa" w:w="4320"/>
          </w:tcPr>
          <w:p>
            <w:r>
              <w:t>A24, A25, A51, A52, A53</w:t>
            </w:r>
          </w:p>
        </w:tc>
      </w:tr>
      <w:tr>
        <w:tc>
          <w:tcPr>
            <w:tcW w:type="dxa" w:w="4320"/>
          </w:tcPr>
          <w:p>
            <w:r>
              <w:t>复数</w:t>
            </w:r>
          </w:p>
        </w:tc>
        <w:tc>
          <w:tcPr>
            <w:tcW w:type="dxa" w:w="4320"/>
          </w:tcPr>
          <w:p>
            <w:r>
              <w:t>A22</w:t>
            </w:r>
          </w:p>
        </w:tc>
      </w:tr>
    </w:tbl>
    <w:p>
      <w:r>
        <w:t>一道题有多个TAG时，取所有对应章节的并集，必须全部已学才会入选。例如函数与导数覆盖A13、A14、A42，因此未学导数时会少选一部分普通函数题；人工确认精确章节后可改善这一点。TAG只代表知识范围，不能保证题目难度适合，也不能替代对解法的判断。</w:t>
      </w:r>
    </w:p>
    <w:p>
      <w:r>
        <w:t>旧标签示例：集合→集合与逻辑；导数→函数与导数；双曲线、抛物线→解析几何；排列组合→概率与统计。未识别标签保留在原始文件和迁移记录中，不自动创建新TAG。初审不因此阻塞；整理后可在题目信息中解除自动映射限制。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