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</w:pPr>
      <w:r>
        <w:t xml:space="preserve">Synthetic external-image DOCX fixture.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3000000" cy="1500000"/>
            <a:graphic>
              <a:graphicData uri="http://schemas.openxmlformats.org/drawingml/2006/picture">
                <pic:pic>
                  <pic:blipFill>
                    <a:blip r:embed="rIdExternalImage"/>
                  </pic:blipFill>
                </pic:pic>
              </a:graphicData>
            </a:graphic>
          </wp:inline>
        </w:drawing>
      </w:r>
    </w:p>
    <w:p>
      <w:pPr>
        <w:pStyle w:val="Normal"/>
      </w:pPr>
      <w:r>
        <w:t xml:space="preserve">External image must be reported as missing; do not publish silently.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ExternalImage" Type="http://schemas.openxmlformats.org/officeDocument/2006/relationships/image" Target="https://example.invalid/missing-image.png" TargetMode="External"/></Relationships>
</file>

<file path=docProps/core.xml><?xml version="1.0" encoding="utf-8"?>
<cp:coreProperties xmlns:cp="http://schemas.openxmlformats.org/package/2006/metadata/core-properties" xmlns:dc="http://purl.org/dc/elements/1.1/">
  <dc:title>IELTS Phase 0 Synthetic Fixture</dc:title>
  <dc:creator>IELTS Author Studio</dc:creator>
</cp:coreProperties>
</file>