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Synthetic floating-text-box DOCX fixture.</w:t>
      </w:r>
    </w:p>
    <w:p>
      <w:r>
        <w:pict xmlns:v="urn:schemas-microsoft-com:vml" xmlns:o="urn:schemas-microsoft-com:office:office">
          <v:shape id="TextBox1" style="position:absolute;width:300pt;height:80pt">
            <v:textbox>
              <w:txbxContent>
                <w:p>
                  <w:r>
                    <w:t>Questions 1-2 are inside a floating text box.</w:t>
                  </w:r>
                </w:p>
              </w:txbxContent>
            </v:textbox>
          </v:shape>
        </w:pict>
      </w:r>
    </w:p>
    <w:p>
      <w:pPr>
        <w:pStyle w:val="Normal"/>
      </w:pPr>
      <w:r>
        <w:t xml:space="preserve">1. Floating prompt answer: __________</w:t>
      </w:r>
    </w:p>
    <w:p>
      <w:pPr>
        <w:pStyle w:val="Normal"/>
      </w:pPr>
      <w:r>
        <w:t xml:space="preserve">2. Floating prompt answer: __________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IELTS Phase 0 Synthetic Fixture</dc:title>
  <dc:creator>IELTS Author Studio</dc:creator>
</cp:coreProperties>
</file>