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Synthetic section-columns DOCX fixture.</w:t>
      </w:r>
    </w:p>
    <w:p>
      <w:pPr>
        <w:pStyle w:val="Normal"/>
      </w:pPr>
      <w:r>
        <w:t xml:space="preserve">Column one contains the passage. Column two contains the question instruction.</w:t>
      </w:r>
    </w:p>
    <w:p>
      <w:pPr>
        <w:pStyle w:val="Normal"/>
      </w:pPr>
      <w:r>
        <w:t xml:space="preserve">Questions 1-4: Match each statement to a column.</w:t>
      </w:r>
    </w:p>
    <w:sectPr>
      <w:pgSz w:w="11906" w:h="16838"/>
      <w:pgMar w:top="1440" w:right="1440" w:bottom="1440" w:left="1440"/>
      <w:cols w:num="2"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IELTS Phase 0 Synthetic Fixture</dc:title>
  <dc:creator>IELTS Author Studio</dc:creator>
</cp:coreProperties>
</file>