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left"/>
      </w:pPr>
    </w:p>
    <w:p>
      <w:pPr>
        <w:spacing w:before="0" w:after="60"/>
        <w:jc w:val="left"/>
      </w:pPr>
    </w:p>
    <w:p>
      <w:pPr>
        <w:spacing w:before="0" w:after="60"/>
        <w:jc w:val="left"/>
      </w:pPr>
    </w:p>
    <w:p>
      <w:pPr>
        <w:spacing w:before="0" w:after="60"/>
        <w:jc w:val="left"/>
      </w:pPr>
    </w:p>
    <w:p>
      <w:pPr>
        <w:spacing w:before="0" w:after="60"/>
        <w:jc w:val="left"/>
      </w:pPr>
    </w:p>
    <w:p>
      <w:pPr>
        <w:spacing w:before="0" w:after="60"/>
        <w:jc w:val="left"/>
      </w:pPr>
    </w:p>
    <w:p>
      <w:pPr>
        <w:spacing w:before="0" w:after="6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500"/>
              <w:left w:type="dxa" w:w="400"/>
              <w:bottom w:type="dxa" w:w="500"/>
              <w:right w:type="dxa" w:w="400"/>
            </w:tcMar>
          </w:tcPr>
          <w:p>
            <w:pPr>
              <w:spacing w:before="0" w:after="60"/>
              <w:jc w:val="center"/>
            </w:pPr>
            <w:r>
              <w:rPr>
                <w:rFonts w:ascii="Arial" w:cs="Arial" w:eastAsia="Arial" w:hAnsi="Arial"/>
                <w:b/>
                <w:bCs/>
                <w:color w:val="FFFFFF"/>
                <w:sz w:val="44"/>
                <w:szCs w:val="44"/>
              </w:rPr>
              <w:t xml:space="preserve">COURSE FACTORY</w:t>
            </w:r>
          </w:p>
          <w:p>
            <w:pPr>
              <w:spacing w:before="0" w:after="80"/>
              <w:jc w:val="center"/>
            </w:pPr>
            <w:r>
              <w:rPr>
                <w:rFonts w:ascii="Arial" w:cs="Arial" w:eastAsia="Arial" w:hAnsi="Arial"/>
                <w:b/>
                <w:bCs/>
                <w:color w:val="D6E8F7"/>
                <w:sz w:val="34"/>
                <w:szCs w:val="34"/>
              </w:rPr>
              <w:t xml:space="preserve">USER GUIDE</w:t>
            </w:r>
          </w:p>
          <w:p>
            <w:pPr>
              <w:spacing w:before="0" w:after="140"/>
              <w:jc w:val="center"/>
            </w:pPr>
            <w:r>
              <w:rPr>
                <w:rFonts w:ascii="Arial" w:cs="Arial" w:eastAsia="Arial" w:hAnsi="Arial"/>
                <w:b/>
                <w:bCs/>
                <w:color w:val="1A7A6C"/>
                <w:sz w:val="22"/>
                <w:szCs w:val="22"/>
              </w:rPr>
              <w:t xml:space="preserve">How to Build a Great Course (Step-by-Step)</w:t>
            </w:r>
          </w:p>
          <w:p>
            <w:pPr>
              <w:spacing w:before="0" w:after="60"/>
              <w:jc w:val="center"/>
            </w:pPr>
            <w:r>
              <w:rPr>
                <w:rFonts w:ascii="Arial" w:cs="Arial" w:eastAsia="Arial" w:hAnsi="Arial"/>
                <w:b w:val="false"/>
                <w:bCs w:val="false"/>
                <w:color w:val="E2E6EA"/>
                <w:sz w:val="20"/>
                <w:szCs w:val="20"/>
              </w:rPr>
              <w:t xml:space="preserve">For Course Designers, Subject Experts, and Team Leads</w:t>
            </w:r>
          </w:p>
        </w:tc>
      </w:tr>
    </w:tbl>
    <w:p>
      <w:pPr>
        <w:spacing w:before="0" w:after="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8F7" w:sz="4"/>
              <w:left w:val="single" w:color="D6E8F7" w:sz="4"/>
              <w:bottom w:val="single" w:color="D6E8F7" w:sz="4"/>
              <w:right w:val="single" w:color="D6E8F7" w:sz="4"/>
            </w:tcBorders>
            <w:shd w:fill="D6E8F7" w:val="clear"/>
            <w:tcMar>
              <w:top w:type="dxa" w:w="140"/>
              <w:left w:type="dxa" w:w="300"/>
              <w:bottom w:type="dxa" w:w="140"/>
              <w:right w:type="dxa" w:w="300"/>
            </w:tcMar>
          </w:tcPr>
          <w:p>
            <w:pPr>
              <w:spacing w:before="0" w:after="20"/>
              <w:jc w:val="center"/>
            </w:pPr>
            <w:r>
              <w:rPr>
                <w:rFonts w:ascii="Arial" w:cs="Arial" w:eastAsia="Arial" w:hAnsi="Arial"/>
                <w:b w:val="false"/>
                <w:bCs w:val="false"/>
                <w:color w:val="2E5090"/>
                <w:sz w:val="20"/>
                <w:szCs w:val="20"/>
              </w:rPr>
              <w:t xml:space="preserve">This guide walks you through the complete course-building process</w:t>
            </w:r>
          </w:p>
          <w:p>
            <w:pPr>
              <w:spacing w:before="0" w:after="60"/>
              <w:jc w:val="center"/>
            </w:pPr>
            <w:r>
              <w:rPr>
                <w:rFonts w:ascii="Arial" w:cs="Arial" w:eastAsia="Arial" w:hAnsi="Arial"/>
                <w:b w:val="false"/>
                <w:bCs w:val="false"/>
                <w:color w:val="6B7280"/>
                <w:sz w:val="18"/>
                <w:szCs w:val="18"/>
              </w:rPr>
              <w:t xml:space="preserve">Plain language • Real examples • No technical jargon</w:t>
            </w:r>
          </w:p>
        </w:tc>
      </w:tr>
    </w:tbl>
    <w:p>
      <w:r>
        <w:br w:type="page"/>
      </w:r>
    </w:p>
    <w:p>
      <w:pPr>
        <w:pStyle w:val="Heading1"/>
        <w:spacing w:before="320" w:after="120"/>
      </w:pPr>
      <w:r>
        <w:rPr>
          <w:rFonts w:ascii="Arial" w:cs="Arial" w:eastAsia="Arial" w:hAnsi="Arial"/>
          <w:b/>
          <w:bCs/>
          <w:color w:val="1B2A4A"/>
          <w:sz w:val="30"/>
          <w:szCs w:val="30"/>
        </w:rPr>
        <w:t xml:space="preserve">1. Welcome to the Course Factory</w:t>
      </w:r>
    </w:p>
    <w:p>
      <w:pPr>
        <w:spacing w:before="0" w:after="100"/>
        <w:jc w:val="left"/>
      </w:pPr>
      <w:r>
        <w:rPr>
          <w:rFonts w:ascii="Arial" w:cs="Arial" w:eastAsia="Arial" w:hAnsi="Arial"/>
          <w:b w:val="false"/>
          <w:bCs w:val="false"/>
          <w:color w:val="1B2A4A"/>
          <w:sz w:val="21"/>
          <w:szCs w:val="21"/>
        </w:rPr>
        <w:t xml:space="preserve">This guide will teach you how to create professional training courses using the Course Factory system. You don't need any special technical skills — just follow the steps in order.</w:t>
      </w:r>
    </w:p>
    <w:p>
      <w:pPr>
        <w:pStyle w:val="Heading2"/>
        <w:spacing w:before="240" w:after="100"/>
      </w:pPr>
      <w:r>
        <w:rPr>
          <w:rFonts w:ascii="Arial" w:cs="Arial" w:eastAsia="Arial" w:hAnsi="Arial"/>
          <w:b/>
          <w:bCs/>
          <w:color w:val="2E5090"/>
          <w:sz w:val="24"/>
          <w:szCs w:val="24"/>
        </w:rPr>
        <w:t xml:space="preserve">1.1 What Is the Course Factory?</w:t>
      </w:r>
    </w:p>
    <w:p>
      <w:pPr>
        <w:spacing w:before="0" w:after="40"/>
        <w:jc w:val="left"/>
      </w:pPr>
      <w:r>
        <w:rPr>
          <w:rFonts w:ascii="Arial" w:cs="Arial" w:eastAsia="Arial" w:hAnsi="Arial"/>
          <w:b w:val="false"/>
          <w:bCs w:val="false"/>
          <w:color w:val="1B2A4A"/>
          <w:sz w:val="20"/>
          <w:szCs w:val="20"/>
        </w:rPr>
        <w:t xml:space="preserve">Think of the Course Factory like an assembly line for creating training. Instead of everyone building courses their own way, we all follow the same proven process. This ensures every course is:</w:t>
      </w:r>
    </w:p>
    <w:p>
      <w:pPr>
        <w:pStyle w:val="ListParagraph"/>
        <w:numPr>
          <w:ilvl w:val="0"/>
          <w:numId w:val="2"/>
        </w:numPr>
        <w:spacing w:before="0" w:after="20"/>
        <w:jc w:val="left"/>
      </w:pPr>
      <w:r>
        <w:rPr>
          <w:rFonts w:ascii="Arial" w:cs="Arial" w:eastAsia="Arial" w:hAnsi="Arial"/>
          <w:b w:val="false"/>
          <w:bCs w:val="false"/>
          <w:color w:val="1B2A4A"/>
          <w:sz w:val="20"/>
          <w:szCs w:val="20"/>
        </w:rPr>
        <w:t xml:space="preserve">High quality — tested and proven to work</w:t>
      </w:r>
    </w:p>
    <w:p>
      <w:pPr>
        <w:pStyle w:val="ListParagraph"/>
        <w:numPr>
          <w:ilvl w:val="0"/>
          <w:numId w:val="2"/>
        </w:numPr>
        <w:spacing w:before="0" w:after="20"/>
        <w:jc w:val="left"/>
      </w:pPr>
      <w:r>
        <w:rPr>
          <w:rFonts w:ascii="Arial" w:cs="Arial" w:eastAsia="Arial" w:hAnsi="Arial"/>
          <w:b w:val="false"/>
          <w:bCs w:val="false"/>
          <w:color w:val="1B2A4A"/>
          <w:sz w:val="20"/>
          <w:szCs w:val="20"/>
        </w:rPr>
        <w:t xml:space="preserve">Consistent — learners know what to expect</w:t>
      </w:r>
    </w:p>
    <w:p>
      <w:pPr>
        <w:pStyle w:val="ListParagraph"/>
        <w:numPr>
          <w:ilvl w:val="0"/>
          <w:numId w:val="2"/>
        </w:numPr>
        <w:spacing w:before="0" w:after="20"/>
        <w:jc w:val="left"/>
      </w:pPr>
      <w:r>
        <w:rPr>
          <w:rFonts w:ascii="Arial" w:cs="Arial" w:eastAsia="Arial" w:hAnsi="Arial"/>
          <w:b w:val="false"/>
          <w:bCs w:val="false"/>
          <w:color w:val="1B2A4A"/>
          <w:sz w:val="20"/>
          <w:szCs w:val="20"/>
        </w:rPr>
        <w:t xml:space="preserve">Deliverable via Slack — no need for complex learning platforms</w:t>
      </w:r>
    </w:p>
    <w:p>
      <w:pPr>
        <w:pStyle w:val="ListParagraph"/>
        <w:numPr>
          <w:ilvl w:val="0"/>
          <w:numId w:val="2"/>
        </w:numPr>
        <w:spacing w:before="0" w:after="80"/>
        <w:jc w:val="left"/>
      </w:pPr>
      <w:r>
        <w:rPr>
          <w:rFonts w:ascii="Arial" w:cs="Arial" w:eastAsia="Arial" w:hAnsi="Arial"/>
          <w:b w:val="false"/>
          <w:bCs w:val="false"/>
          <w:color w:val="1B2A4A"/>
          <w:sz w:val="20"/>
          <w:szCs w:val="20"/>
        </w:rPr>
        <w:t xml:space="preserve">Trackable — we can see who completed what</w:t>
      </w:r>
    </w:p>
    <w:p>
      <w:pPr>
        <w:pStyle w:val="Heading2"/>
        <w:spacing w:before="240" w:after="100"/>
      </w:pPr>
      <w:r>
        <w:rPr>
          <w:rFonts w:ascii="Arial" w:cs="Arial" w:eastAsia="Arial" w:hAnsi="Arial"/>
          <w:b/>
          <w:bCs/>
          <w:color w:val="2E5090"/>
          <w:sz w:val="24"/>
          <w:szCs w:val="24"/>
        </w:rPr>
        <w:t xml:space="preserve">1.2 The Big Picture: How a Course Gets Built</w:t>
      </w:r>
    </w:p>
    <w:p>
      <w:pPr>
        <w:spacing w:before="0" w:after="60"/>
        <w:jc w:val="left"/>
      </w:pPr>
      <w:r>
        <w:rPr>
          <w:rFonts w:ascii="Arial" w:cs="Arial" w:eastAsia="Arial" w:hAnsi="Arial"/>
          <w:b w:val="false"/>
          <w:bCs w:val="false"/>
          <w:color w:val="1B2A4A"/>
          <w:sz w:val="20"/>
          <w:szCs w:val="20"/>
        </w:rPr>
        <w:t xml:space="preserve">Here's the journey from "I have an idea" to "learners are taking my course":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5090" w:sz="4"/>
              <w:left w:val="single" w:color="2E5090" w:sz="4"/>
              <w:bottom w:val="single" w:color="2E5090" w:sz="4"/>
              <w:right w:val="single" w:color="2E5090" w:sz="4"/>
            </w:tcBorders>
            <w:shd w:fill="D6E8F7" w:val="clear"/>
            <w:tcMar>
              <w:top w:type="dxa" w:w="100"/>
              <w:left w:type="dxa" w:w="200"/>
              <w:bottom w:type="dxa" w:w="100"/>
              <w:right w:type="dxa" w:w="200"/>
            </w:tcMar>
          </w:tcPr>
          <w:p>
            <w:pPr>
              <w:spacing w:before="0" w:after="30"/>
              <w:jc w:val="left"/>
            </w:pPr>
            <w:r>
              <w:rPr>
                <w:rFonts w:ascii="Arial" w:cs="Arial" w:eastAsia="Arial" w:hAnsi="Arial"/>
                <w:b/>
                <w:bCs/>
                <w:color w:val="2E5090"/>
                <w:sz w:val="22"/>
                <w:szCs w:val="22"/>
              </w:rPr>
              <w:t xml:space="preserve">Phase 1: Intake (You fill out a form)</w:t>
            </w:r>
          </w:p>
          <w:p>
            <w:pPr>
              <w:spacing w:before="0" w:after="60"/>
              <w:jc w:val="left"/>
            </w:pPr>
            <w:r>
              <w:rPr>
                <w:rFonts w:ascii="Arial" w:cs="Arial" w:eastAsia="Arial" w:hAnsi="Arial"/>
                <w:b w:val="false"/>
                <w:bCs w:val="false"/>
                <w:color w:val="1B2A4A"/>
                <w:sz w:val="20"/>
                <w:szCs w:val="20"/>
              </w:rPr>
              <w:t xml:space="preserve">Tell us: Who is this for? What should they learn? Where's the source material?</w:t>
            </w:r>
          </w:p>
        </w:tc>
      </w:tr>
      <w:tr>
        <w:tc>
          <w:tcPr>
            <w:tcW w:type="dxa" w:w="9360"/>
            <w:tcBorders>
              <w:top w:val="single" w:color="CCCCCC" w:sz="4"/>
              <w:left w:val="single" w:color="CCCCCC" w:sz="4"/>
              <w:bottom w:val="single" w:color="CCCCCC" w:sz="4"/>
              <w:right w:val="single" w:color="CCCCCC" w:sz="4"/>
            </w:tcBorders>
            <w:tcMar>
              <w:top w:type="dxa" w:w="40"/>
              <w:left w:type="dxa" w:w="200"/>
              <w:bottom w:type="dxa" w:w="40"/>
              <w:right w:type="dxa" w:w="200"/>
            </w:tcMar>
          </w:tcPr>
          <w:p>
            <w:pPr>
              <w:spacing w:before="0" w:after="60"/>
              <w:jc w:val="center"/>
            </w:pPr>
            <w:r>
              <w:rPr>
                <w:rFonts w:ascii="Arial" w:cs="Arial" w:eastAsia="Arial" w:hAnsi="Arial"/>
                <w:b w:val="false"/>
                <w:bCs w:val="false"/>
                <w:color w:val="2E5090"/>
                <w:sz w:val="32"/>
                <w:szCs w:val="32"/>
              </w:rPr>
              <w:t xml:space="preserve">↓</w:t>
            </w:r>
          </w:p>
        </w:tc>
      </w:tr>
      <w:tr>
        <w:tc>
          <w:tcPr>
            <w:tcW w:type="dxa" w:w="9360"/>
            <w:tcBorders>
              <w:top w:val="single" w:color="1A7A6C" w:sz="4"/>
              <w:left w:val="single" w:color="1A7A6C" w:sz="4"/>
              <w:bottom w:val="single" w:color="1A7A6C" w:sz="4"/>
              <w:right w:val="single" w:color="1A7A6C" w:sz="4"/>
            </w:tcBorders>
            <w:shd w:fill="D4EDEB" w:val="clear"/>
            <w:tcMar>
              <w:top w:type="dxa" w:w="100"/>
              <w:left w:type="dxa" w:w="200"/>
              <w:bottom w:type="dxa" w:w="100"/>
              <w:right w:type="dxa" w:w="200"/>
            </w:tcMar>
          </w:tcPr>
          <w:p>
            <w:pPr>
              <w:spacing w:before="0" w:after="30"/>
              <w:jc w:val="left"/>
            </w:pPr>
            <w:r>
              <w:rPr>
                <w:rFonts w:ascii="Arial" w:cs="Arial" w:eastAsia="Arial" w:hAnsi="Arial"/>
                <w:b/>
                <w:bCs/>
                <w:color w:val="1A7A6C"/>
                <w:sz w:val="22"/>
                <w:szCs w:val="22"/>
              </w:rPr>
              <w:t xml:space="preserve">Phase 2: Design (You plan the lessons)</w:t>
            </w:r>
          </w:p>
          <w:p>
            <w:pPr>
              <w:spacing w:before="0" w:after="60"/>
              <w:jc w:val="left"/>
            </w:pPr>
            <w:r>
              <w:rPr>
                <w:rFonts w:ascii="Arial" w:cs="Arial" w:eastAsia="Arial" w:hAnsi="Arial"/>
                <w:b w:val="false"/>
                <w:bCs w:val="false"/>
                <w:color w:val="1B2A4A"/>
                <w:sz w:val="20"/>
                <w:szCs w:val="20"/>
              </w:rPr>
              <w:t xml:space="preserve">Break your topic into units. Choose a teaching approach for each. Write the lessons.</w:t>
            </w:r>
          </w:p>
        </w:tc>
      </w:tr>
      <w:tr>
        <w:tc>
          <w:tcPr>
            <w:tcW w:type="dxa" w:w="9360"/>
            <w:tcBorders>
              <w:top w:val="single" w:color="CCCCCC" w:sz="4"/>
              <w:left w:val="single" w:color="CCCCCC" w:sz="4"/>
              <w:bottom w:val="single" w:color="CCCCCC" w:sz="4"/>
              <w:right w:val="single" w:color="CCCCCC" w:sz="4"/>
            </w:tcBorders>
            <w:tcMar>
              <w:top w:type="dxa" w:w="40"/>
              <w:left w:type="dxa" w:w="200"/>
              <w:bottom w:type="dxa" w:w="40"/>
              <w:right w:type="dxa" w:w="200"/>
            </w:tcMar>
          </w:tcPr>
          <w:p>
            <w:pPr>
              <w:spacing w:before="0" w:after="60"/>
              <w:jc w:val="center"/>
            </w:pPr>
            <w:r>
              <w:rPr>
                <w:rFonts w:ascii="Arial" w:cs="Arial" w:eastAsia="Arial" w:hAnsi="Arial"/>
                <w:b w:val="false"/>
                <w:bCs w:val="false"/>
                <w:color w:val="1A7A6C"/>
                <w:sz w:val="32"/>
                <w:szCs w:val="32"/>
              </w:rPr>
              <w:t xml:space="preserve">↓</w:t>
            </w:r>
          </w:p>
        </w:tc>
      </w:tr>
      <w:tr>
        <w:tc>
          <w:tcPr>
            <w:tcW w:type="dxa" w:w="9360"/>
            <w:tcBorders>
              <w:top w:val="single" w:color="C97B00" w:sz="4"/>
              <w:left w:val="single" w:color="C97B00" w:sz="4"/>
              <w:bottom w:val="single" w:color="C97B00" w:sz="4"/>
              <w:right w:val="single" w:color="C97B00" w:sz="4"/>
            </w:tcBorders>
            <w:shd w:fill="FFF0D4" w:val="clear"/>
            <w:tcMar>
              <w:top w:type="dxa" w:w="100"/>
              <w:left w:type="dxa" w:w="200"/>
              <w:bottom w:type="dxa" w:w="100"/>
              <w:right w:type="dxa" w:w="200"/>
            </w:tcMar>
          </w:tcPr>
          <w:p>
            <w:pPr>
              <w:spacing w:before="0" w:after="30"/>
              <w:jc w:val="left"/>
            </w:pPr>
            <w:r>
              <w:rPr>
                <w:rFonts w:ascii="Arial" w:cs="Arial" w:eastAsia="Arial" w:hAnsi="Arial"/>
                <w:b/>
                <w:bCs/>
                <w:color w:val="C97B00"/>
                <w:sz w:val="22"/>
                <w:szCs w:val="22"/>
              </w:rPr>
              <w:t xml:space="preserve">Phase 3: Review (We check your work)</w:t>
            </w:r>
          </w:p>
          <w:p>
            <w:pPr>
              <w:spacing w:before="0" w:after="60"/>
              <w:jc w:val="left"/>
            </w:pPr>
            <w:r>
              <w:rPr>
                <w:rFonts w:ascii="Arial" w:cs="Arial" w:eastAsia="Arial" w:hAnsi="Arial"/>
                <w:b w:val="false"/>
                <w:bCs w:val="false"/>
                <w:color w:val="1B2A4A"/>
                <w:sz w:val="20"/>
                <w:szCs w:val="20"/>
              </w:rPr>
              <w:t xml:space="preserve">Your course goes through quality checks. We make sure it meets all the rules.</w:t>
            </w:r>
          </w:p>
        </w:tc>
      </w:tr>
      <w:tr>
        <w:tc>
          <w:tcPr>
            <w:tcW w:type="dxa" w:w="9360"/>
            <w:tcBorders>
              <w:top w:val="single" w:color="CCCCCC" w:sz="4"/>
              <w:left w:val="single" w:color="CCCCCC" w:sz="4"/>
              <w:bottom w:val="single" w:color="CCCCCC" w:sz="4"/>
              <w:right w:val="single" w:color="CCCCCC" w:sz="4"/>
            </w:tcBorders>
            <w:tcMar>
              <w:top w:type="dxa" w:w="40"/>
              <w:left w:type="dxa" w:w="200"/>
              <w:bottom w:type="dxa" w:w="40"/>
              <w:right w:type="dxa" w:w="200"/>
            </w:tcMar>
          </w:tcPr>
          <w:p>
            <w:pPr>
              <w:spacing w:before="0" w:after="60"/>
              <w:jc w:val="center"/>
            </w:pPr>
            <w:r>
              <w:rPr>
                <w:rFonts w:ascii="Arial" w:cs="Arial" w:eastAsia="Arial" w:hAnsi="Arial"/>
                <w:b w:val="false"/>
                <w:bCs w:val="false"/>
                <w:color w:val="C97B00"/>
                <w:sz w:val="32"/>
                <w:szCs w:val="32"/>
              </w:rPr>
              <w:t xml:space="preserve">↓</w:t>
            </w:r>
          </w:p>
        </w:tc>
      </w:tr>
      <w:tr>
        <w:tc>
          <w:tcPr>
            <w:tcW w:type="dxa" w:w="9360"/>
            <w:tcBorders>
              <w:top w:val="single" w:color="2E7D32" w:sz="4"/>
              <w:left w:val="single" w:color="2E7D32" w:sz="4"/>
              <w:bottom w:val="single" w:color="2E7D32" w:sz="4"/>
              <w:right w:val="single" w:color="2E7D32" w:sz="4"/>
            </w:tcBorders>
            <w:shd w:fill="E2F5E3" w:val="clear"/>
            <w:tcMar>
              <w:top w:type="dxa" w:w="100"/>
              <w:left w:type="dxa" w:w="200"/>
              <w:bottom w:type="dxa" w:w="100"/>
              <w:right w:type="dxa" w:w="200"/>
            </w:tcMar>
          </w:tcPr>
          <w:p>
            <w:pPr>
              <w:spacing w:before="0" w:after="30"/>
              <w:jc w:val="left"/>
            </w:pPr>
            <w:r>
              <w:rPr>
                <w:rFonts w:ascii="Arial" w:cs="Arial" w:eastAsia="Arial" w:hAnsi="Arial"/>
                <w:b/>
                <w:bCs/>
                <w:color w:val="2E7D32"/>
                <w:sz w:val="22"/>
                <w:szCs w:val="22"/>
              </w:rPr>
              <w:t xml:space="preserve">Phase 4: Launch (Learners start taking it)</w:t>
            </w:r>
          </w:p>
          <w:p>
            <w:pPr>
              <w:spacing w:before="0" w:after="60"/>
              <w:jc w:val="left"/>
            </w:pPr>
            <w:r>
              <w:rPr>
                <w:rFonts w:ascii="Arial" w:cs="Arial" w:eastAsia="Arial" w:hAnsi="Arial"/>
                <w:b w:val="false"/>
                <w:bCs w:val="false"/>
                <w:color w:val="1B2A4A"/>
                <w:sz w:val="20"/>
                <w:szCs w:val="20"/>
              </w:rPr>
              <w:t xml:space="preserve">Your course goes live in Slack. Learners get lessons automatically.</w:t>
            </w:r>
          </w:p>
        </w:tc>
      </w:tr>
    </w:tbl>
    <w:p>
      <w:pPr>
        <w:spacing w:before="0" w:after="100"/>
        <w:jc w:val="left"/>
      </w:pPr>
    </w:p>
    <w:p>
      <w:pPr>
        <w:pStyle w:val="Heading2"/>
        <w:spacing w:before="240" w:after="100"/>
      </w:pPr>
      <w:r>
        <w:rPr>
          <w:rFonts w:ascii="Arial" w:cs="Arial" w:eastAsia="Arial" w:hAnsi="Arial"/>
          <w:b/>
          <w:bCs/>
          <w:color w:val="2E5090"/>
          <w:sz w:val="24"/>
          <w:szCs w:val="24"/>
        </w:rPr>
        <w:t xml:space="preserve">1.3 What Makes a Good Course?</w:t>
      </w:r>
    </w:p>
    <w:p>
      <w:pPr>
        <w:spacing w:before="0" w:after="40"/>
        <w:jc w:val="left"/>
      </w:pPr>
      <w:r>
        <w:rPr>
          <w:rFonts w:ascii="Arial" w:cs="Arial" w:eastAsia="Arial" w:hAnsi="Arial"/>
          <w:b w:val="false"/>
          <w:bCs w:val="false"/>
          <w:color w:val="1B2A4A"/>
          <w:sz w:val="20"/>
          <w:szCs w:val="20"/>
        </w:rPr>
        <w:t xml:space="preserve">Before you start building, understand what success looks like. A good course:</w:t>
      </w:r>
    </w:p>
    <w:p>
      <w:pPr>
        <w:pStyle w:val="ListParagraph"/>
        <w:numPr>
          <w:ilvl w:val="0"/>
          <w:numId w:val="2"/>
        </w:numPr>
        <w:spacing w:before="0" w:after="20"/>
        <w:jc w:val="left"/>
      </w:pPr>
      <w:r>
        <w:rPr>
          <w:rFonts w:ascii="Arial" w:cs="Arial" w:eastAsia="Arial" w:hAnsi="Arial"/>
          <w:b w:val="false"/>
          <w:bCs w:val="false"/>
          <w:color w:val="1B2A4A"/>
          <w:sz w:val="20"/>
          <w:szCs w:val="20"/>
        </w:rPr>
        <w:t xml:space="preserve">Teaches ONE clear thing per lesson (not five things crammed together)</w:t>
      </w:r>
    </w:p>
    <w:p>
      <w:pPr>
        <w:pStyle w:val="ListParagraph"/>
        <w:numPr>
          <w:ilvl w:val="0"/>
          <w:numId w:val="2"/>
        </w:numPr>
        <w:spacing w:before="0" w:after="20"/>
        <w:jc w:val="left"/>
      </w:pPr>
      <w:r>
        <w:rPr>
          <w:rFonts w:ascii="Arial" w:cs="Arial" w:eastAsia="Arial" w:hAnsi="Arial"/>
          <w:b w:val="false"/>
          <w:bCs w:val="false"/>
          <w:color w:val="1B2A4A"/>
          <w:sz w:val="20"/>
          <w:szCs w:val="20"/>
        </w:rPr>
        <w:t xml:space="preserve">Can be completed in 5-10 minutes per lesson (micro-learning)</w:t>
      </w:r>
    </w:p>
    <w:p>
      <w:pPr>
        <w:pStyle w:val="ListParagraph"/>
        <w:numPr>
          <w:ilvl w:val="0"/>
          <w:numId w:val="2"/>
        </w:numPr>
        <w:spacing w:before="0" w:after="20"/>
        <w:jc w:val="left"/>
      </w:pPr>
      <w:r>
        <w:rPr>
          <w:rFonts w:ascii="Arial" w:cs="Arial" w:eastAsia="Arial" w:hAnsi="Arial"/>
          <w:b w:val="false"/>
          <w:bCs w:val="false"/>
          <w:color w:val="1B2A4A"/>
          <w:sz w:val="20"/>
          <w:szCs w:val="20"/>
        </w:rPr>
        <w:t xml:space="preserve">Has a clear action for the learner ("Do this" not "Maybe think about this")</w:t>
      </w:r>
    </w:p>
    <w:p>
      <w:pPr>
        <w:pStyle w:val="ListParagraph"/>
        <w:numPr>
          <w:ilvl w:val="0"/>
          <w:numId w:val="2"/>
        </w:numPr>
        <w:spacing w:before="0" w:after="20"/>
        <w:jc w:val="left"/>
      </w:pPr>
      <w:r>
        <w:rPr>
          <w:rFonts w:ascii="Arial" w:cs="Arial" w:eastAsia="Arial" w:hAnsi="Arial"/>
          <w:b w:val="false"/>
          <w:bCs w:val="false"/>
          <w:color w:val="1B2A4A"/>
          <w:sz w:val="20"/>
          <w:szCs w:val="20"/>
        </w:rPr>
        <w:t xml:space="preserve">Proves the learner did it (checkbox, quiz, submission)</w:t>
      </w:r>
    </w:p>
    <w:p>
      <w:pPr>
        <w:pStyle w:val="ListParagraph"/>
        <w:numPr>
          <w:ilvl w:val="0"/>
          <w:numId w:val="2"/>
        </w:numPr>
        <w:spacing w:before="0" w:after="80"/>
        <w:jc w:val="left"/>
      </w:pPr>
      <w:r>
        <w:rPr>
          <w:rFonts w:ascii="Arial" w:cs="Arial" w:eastAsia="Arial" w:hAnsi="Arial"/>
          <w:b w:val="false"/>
          <w:bCs w:val="false"/>
          <w:color w:val="1B2A4A"/>
          <w:sz w:val="20"/>
          <w:szCs w:val="20"/>
        </w:rPr>
        <w:t xml:space="preserve">Works in Slack (no complex software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EDE9FE" w:val="clear"/>
            <w:tcMar>
              <w:top w:type="dxa" w:w="120"/>
              <w:left w:type="dxa" w:w="200"/>
              <w:bottom w:type="dxa" w:w="120"/>
              <w:right w:type="dxa" w:w="200"/>
            </w:tcMar>
          </w:tcPr>
          <w:p>
            <w:pPr>
              <w:spacing w:before="0" w:after="40"/>
              <w:jc w:val="left"/>
            </w:pPr>
            <w:r>
              <w:rPr>
                <w:rFonts w:ascii="Arial" w:cs="Arial" w:eastAsia="Arial" w:hAnsi="Arial"/>
                <w:b/>
                <w:bCs/>
                <w:color w:val="7C3AED"/>
                <w:sz w:val="22"/>
                <w:szCs w:val="22"/>
              </w:rPr>
              <w:t xml:space="preserve">Important: Start Small</w:t>
            </w:r>
          </w:p>
          <w:p>
            <w:pPr>
              <w:spacing w:before="0" w:after="20"/>
              <w:jc w:val="left"/>
            </w:pPr>
            <w:r>
              <w:rPr>
                <w:rFonts w:ascii="Arial" w:cs="Arial" w:eastAsia="Arial" w:hAnsi="Arial"/>
                <w:b w:val="false"/>
                <w:bCs w:val="false"/>
                <w:color w:val="1B2A4A"/>
                <w:sz w:val="20"/>
                <w:szCs w:val="20"/>
              </w:rPr>
              <w:t xml:space="preserve">If this is your first course, start with a 3-lesson course on one specific skill. Don't try to build a 12-week program on your first try. Walk before you run.</w:t>
            </w:r>
          </w:p>
        </w:tc>
      </w:tr>
    </w:tbl>
    <w:p>
      <w:r>
        <w:br w:type="page"/>
      </w:r>
    </w:p>
    <w:p>
      <w:pPr>
        <w:pStyle w:val="Heading1"/>
        <w:spacing w:before="320" w:after="120"/>
      </w:pPr>
      <w:r>
        <w:rPr>
          <w:rFonts w:ascii="Arial" w:cs="Arial" w:eastAsia="Arial" w:hAnsi="Arial"/>
          <w:b/>
          <w:bCs/>
          <w:color w:val="1B2A4A"/>
          <w:sz w:val="30"/>
          <w:szCs w:val="30"/>
        </w:rPr>
        <w:t xml:space="preserve">2. Before You Start: The Six Questions</w:t>
      </w:r>
    </w:p>
    <w:p>
      <w:pPr>
        <w:spacing w:before="0" w:after="100"/>
        <w:jc w:val="left"/>
      </w:pPr>
      <w:r>
        <w:rPr>
          <w:rFonts w:ascii="Arial" w:cs="Arial" w:eastAsia="Arial" w:hAnsi="Arial"/>
          <w:b w:val="false"/>
          <w:bCs w:val="false"/>
          <w:color w:val="1B2A4A"/>
          <w:sz w:val="21"/>
          <w:szCs w:val="21"/>
        </w:rPr>
        <w:t xml:space="preserve">Before you can fill out the intake form or write any lessons, answer these six questions. Write down your answers — you'll need them in Phase 1.</w:t>
      </w:r>
    </w:p>
    <w:p>
      <w:pPr>
        <w:pStyle w:val="Heading2"/>
        <w:spacing w:before="240" w:after="100"/>
      </w:pPr>
      <w:r>
        <w:rPr>
          <w:rFonts w:ascii="Arial" w:cs="Arial" w:eastAsia="Arial" w:hAnsi="Arial"/>
          <w:b/>
          <w:bCs/>
          <w:color w:val="2E5090"/>
          <w:sz w:val="24"/>
          <w:szCs w:val="24"/>
        </w:rPr>
        <w:t xml:space="preserve">Question 1: Who Is This Course For?</w:t>
      </w:r>
    </w:p>
    <w:p>
      <w:pPr>
        <w:spacing w:before="0" w:after="60"/>
        <w:jc w:val="left"/>
      </w:pPr>
      <w:r>
        <w:rPr>
          <w:rFonts w:ascii="Arial" w:cs="Arial" w:eastAsia="Arial" w:hAnsi="Arial"/>
          <w:b w:val="false"/>
          <w:bCs w:val="false"/>
          <w:color w:val="1B2A4A"/>
          <w:sz w:val="20"/>
          <w:szCs w:val="20"/>
        </w:rPr>
        <w:t xml:space="preserve">Be specific. Don't say "everyone" or "anyone who wants to learn."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Bad Answer</w:t>
            </w:r>
          </w:p>
        </w:tc>
        <w:tc>
          <w:tcPr>
            <w:tcW w:type="dxa" w:w="576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Good Answer</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Everyone</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New hires in their first 30 days</w:t>
            </w:r>
          </w:p>
        </w:tc>
      </w:tr>
      <w:tr>
        <w:tc>
          <w:tcPr>
            <w:tcW w:type="dxa" w:w="360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Sales team</w:t>
            </w:r>
          </w:p>
        </w:tc>
        <w:tc>
          <w:tcPr>
            <w:tcW w:type="dxa" w:w="576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Junior account executives who just completed onboarding</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Managers</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First-time managers with 1-5 direct reports</w:t>
            </w:r>
          </w:p>
        </w:tc>
      </w:tr>
    </w:tbl>
    <w:p>
      <w:pPr>
        <w:spacing w:before="0" w:after="6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C" w:sz="4"/>
              <w:left w:val="single" w:color="1A7A6C" w:sz="4"/>
              <w:bottom w:val="single" w:color="1A7A6C" w:sz="4"/>
              <w:right w:val="single" w:color="1A7A6C" w:sz="4"/>
            </w:tcBorders>
            <w:shd w:fill="D4EDEB" w:val="clear"/>
            <w:tcMar>
              <w:top w:type="dxa" w:w="120"/>
              <w:left w:type="dxa" w:w="200"/>
              <w:bottom w:type="dxa" w:w="120"/>
              <w:right w:type="dxa" w:w="200"/>
            </w:tcMar>
          </w:tcPr>
          <w:p>
            <w:pPr>
              <w:spacing w:before="0" w:after="40"/>
              <w:jc w:val="left"/>
            </w:pPr>
            <w:r>
              <w:rPr>
                <w:rFonts w:ascii="Arial" w:cs="Arial" w:eastAsia="Arial" w:hAnsi="Arial"/>
                <w:b/>
                <w:bCs/>
                <w:color w:val="1A7A6C"/>
                <w:sz w:val="22"/>
                <w:szCs w:val="22"/>
              </w:rPr>
              <w:t xml:space="preserve">Why This Matters</w:t>
            </w:r>
          </w:p>
          <w:p>
            <w:pPr>
              <w:spacing w:before="0" w:after="20"/>
              <w:jc w:val="left"/>
            </w:pPr>
            <w:r>
              <w:rPr>
                <w:rFonts w:ascii="Arial" w:cs="Arial" w:eastAsia="Arial" w:hAnsi="Arial"/>
                <w:b w:val="false"/>
                <w:bCs w:val="false"/>
                <w:color w:val="1B2A4A"/>
                <w:sz w:val="20"/>
                <w:szCs w:val="20"/>
              </w:rPr>
              <w:t xml:space="preserve">If you don't know who your learner is, you can't write content that fits their level. A lesson for a CEO looks different than a lesson for an intern.</w:t>
            </w:r>
          </w:p>
        </w:tc>
      </w:tr>
    </w:tbl>
    <w:p>
      <w:pPr>
        <w:spacing w:before="0" w:after="100"/>
        <w:jc w:val="left"/>
      </w:pPr>
    </w:p>
    <w:p>
      <w:pPr>
        <w:pStyle w:val="Heading2"/>
        <w:spacing w:before="240" w:after="100"/>
      </w:pPr>
      <w:r>
        <w:rPr>
          <w:rFonts w:ascii="Arial" w:cs="Arial" w:eastAsia="Arial" w:hAnsi="Arial"/>
          <w:b/>
          <w:bCs/>
          <w:color w:val="2E5090"/>
          <w:sz w:val="24"/>
          <w:szCs w:val="24"/>
        </w:rPr>
        <w:t xml:space="preserve">Question 2: What Should They Be Able to DO Differently?</w:t>
      </w:r>
    </w:p>
    <w:p>
      <w:pPr>
        <w:spacing w:before="0" w:after="60"/>
        <w:jc w:val="left"/>
      </w:pPr>
      <w:r>
        <w:rPr>
          <w:rFonts w:ascii="Arial" w:cs="Arial" w:eastAsia="Arial" w:hAnsi="Arial"/>
          <w:b w:val="false"/>
          <w:bCs w:val="false"/>
          <w:color w:val="1B2A4A"/>
          <w:sz w:val="20"/>
          <w:szCs w:val="20"/>
        </w:rPr>
        <w:t xml:space="preserve">Notice the word DO. Not "know" or "understand." What will change in their behavior or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Bad Answer (Too Vague)</w:t>
            </w:r>
          </w:p>
        </w:tc>
        <w:tc>
          <w:tcPr>
            <w:tcW w:type="dxa" w:w="576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Good Answer (Specific Behavior)</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Understand our values</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Use the company values framework to make a hiring decision</w:t>
            </w:r>
          </w:p>
        </w:tc>
      </w:tr>
      <w:tr>
        <w:tc>
          <w:tcPr>
            <w:tcW w:type="dxa" w:w="360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Learn about time management</w:t>
            </w:r>
          </w:p>
        </w:tc>
        <w:tc>
          <w:tcPr>
            <w:tcW w:type="dxa" w:w="576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Block focus time on their calendar for deep work</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Know the sales process</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Conduct a discovery call using the SPIN questioning method</w:t>
            </w:r>
          </w:p>
        </w:tc>
      </w:tr>
    </w:tbl>
    <w:p>
      <w:pPr>
        <w:spacing w:before="0" w:after="6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C" w:sz="4"/>
              <w:left w:val="single" w:color="1A7A6C" w:sz="4"/>
              <w:bottom w:val="single" w:color="1A7A6C" w:sz="4"/>
              <w:right w:val="single" w:color="1A7A6C" w:sz="4"/>
            </w:tcBorders>
            <w:shd w:fill="D4EDEB" w:val="clear"/>
            <w:tcMar>
              <w:top w:type="dxa" w:w="120"/>
              <w:left w:type="dxa" w:w="200"/>
              <w:bottom w:type="dxa" w:w="120"/>
              <w:right w:type="dxa" w:w="200"/>
            </w:tcMar>
          </w:tcPr>
          <w:p>
            <w:pPr>
              <w:spacing w:before="0" w:after="40"/>
              <w:jc w:val="left"/>
            </w:pPr>
            <w:r>
              <w:rPr>
                <w:rFonts w:ascii="Arial" w:cs="Arial" w:eastAsia="Arial" w:hAnsi="Arial"/>
                <w:b/>
                <w:bCs/>
                <w:color w:val="1A7A6C"/>
                <w:sz w:val="22"/>
                <w:szCs w:val="22"/>
              </w:rPr>
              <w:t xml:space="preserve">The DO Test</w:t>
            </w:r>
          </w:p>
          <w:p>
            <w:pPr>
              <w:spacing w:before="0" w:after="20"/>
              <w:jc w:val="left"/>
            </w:pPr>
            <w:r>
              <w:rPr>
                <w:rFonts w:ascii="Arial" w:cs="Arial" w:eastAsia="Arial" w:hAnsi="Arial"/>
                <w:b w:val="false"/>
                <w:bCs w:val="false"/>
                <w:color w:val="1B2A4A"/>
                <w:sz w:val="20"/>
                <w:szCs w:val="20"/>
              </w:rPr>
              <w:t xml:space="preserve">If you can't watch someone do it or see the result, it's not a good learning outcome. "Feel more confident" is not measurable. "Complete 3 successful cold calls" is.</w:t>
            </w:r>
          </w:p>
        </w:tc>
      </w:tr>
    </w:tbl>
    <w:p>
      <w:pPr>
        <w:spacing w:before="0" w:after="100"/>
        <w:jc w:val="left"/>
      </w:pPr>
    </w:p>
    <w:p>
      <w:pPr>
        <w:pStyle w:val="Heading2"/>
        <w:spacing w:before="240" w:after="100"/>
      </w:pPr>
      <w:r>
        <w:rPr>
          <w:rFonts w:ascii="Arial" w:cs="Arial" w:eastAsia="Arial" w:hAnsi="Arial"/>
          <w:b/>
          <w:bCs/>
          <w:color w:val="2E5090"/>
          <w:sz w:val="24"/>
          <w:szCs w:val="24"/>
        </w:rPr>
        <w:t xml:space="preserve">Question 3: Where's the Source Material?</w:t>
      </w:r>
    </w:p>
    <w:p>
      <w:pPr>
        <w:spacing w:before="0" w:after="60"/>
        <w:jc w:val="left"/>
      </w:pPr>
      <w:r>
        <w:rPr>
          <w:rFonts w:ascii="Arial" w:cs="Arial" w:eastAsia="Arial" w:hAnsi="Arial"/>
          <w:b w:val="false"/>
          <w:bCs w:val="false"/>
          <w:color w:val="1B2A4A"/>
          <w:sz w:val="20"/>
          <w:szCs w:val="20"/>
        </w:rPr>
        <w:t xml:space="preserve">You can't build a course from your head. You need official documentation. This is your "source of truth."</w:t>
      </w:r>
    </w:p>
    <w:p>
      <w:pPr>
        <w:spacing w:before="0" w:after="30"/>
        <w:jc w:val="left"/>
      </w:pPr>
      <w:r>
        <w:rPr>
          <w:rFonts w:ascii="Arial" w:cs="Arial" w:eastAsia="Arial" w:hAnsi="Arial"/>
          <w:b/>
          <w:bCs/>
          <w:color w:val="1B2A4A"/>
          <w:sz w:val="20"/>
          <w:szCs w:val="20"/>
        </w:rPr>
        <w:t xml:space="preserve">Examples of good source material:</w:t>
      </w:r>
    </w:p>
    <w:p>
      <w:pPr>
        <w:pStyle w:val="ListParagraph"/>
        <w:numPr>
          <w:ilvl w:val="0"/>
          <w:numId w:val="2"/>
        </w:numPr>
        <w:spacing w:before="0" w:after="20"/>
        <w:jc w:val="left"/>
      </w:pPr>
      <w:r>
        <w:rPr>
          <w:rFonts w:ascii="Arial" w:cs="Arial" w:eastAsia="Arial" w:hAnsi="Arial"/>
          <w:b w:val="false"/>
          <w:bCs w:val="false"/>
          <w:color w:val="1B2A4A"/>
          <w:sz w:val="20"/>
          <w:szCs w:val="20"/>
        </w:rPr>
        <w:t xml:space="preserve">An official SOP (Standard Operating Procedure)</w:t>
      </w:r>
    </w:p>
    <w:p>
      <w:pPr>
        <w:pStyle w:val="ListParagraph"/>
        <w:numPr>
          <w:ilvl w:val="0"/>
          <w:numId w:val="2"/>
        </w:numPr>
        <w:spacing w:before="0" w:after="20"/>
        <w:jc w:val="left"/>
      </w:pPr>
      <w:r>
        <w:rPr>
          <w:rFonts w:ascii="Arial" w:cs="Arial" w:eastAsia="Arial" w:hAnsi="Arial"/>
          <w:b w:val="false"/>
          <w:bCs w:val="false"/>
          <w:color w:val="1B2A4A"/>
          <w:sz w:val="20"/>
          <w:szCs w:val="20"/>
        </w:rPr>
        <w:t xml:space="preserve">A company playbook or handbook</w:t>
      </w:r>
    </w:p>
    <w:p>
      <w:pPr>
        <w:pStyle w:val="ListParagraph"/>
        <w:numPr>
          <w:ilvl w:val="0"/>
          <w:numId w:val="2"/>
        </w:numPr>
        <w:spacing w:before="0" w:after="20"/>
        <w:jc w:val="left"/>
      </w:pPr>
      <w:r>
        <w:rPr>
          <w:rFonts w:ascii="Arial" w:cs="Arial" w:eastAsia="Arial" w:hAnsi="Arial"/>
          <w:b w:val="false"/>
          <w:bCs w:val="false"/>
          <w:color w:val="1B2A4A"/>
          <w:sz w:val="20"/>
          <w:szCs w:val="20"/>
        </w:rPr>
        <w:t xml:space="preserve">A role competency framework</w:t>
      </w:r>
    </w:p>
    <w:p>
      <w:pPr>
        <w:pStyle w:val="ListParagraph"/>
        <w:numPr>
          <w:ilvl w:val="0"/>
          <w:numId w:val="2"/>
        </w:numPr>
        <w:spacing w:before="0" w:after="20"/>
        <w:jc w:val="left"/>
      </w:pPr>
      <w:r>
        <w:rPr>
          <w:rFonts w:ascii="Arial" w:cs="Arial" w:eastAsia="Arial" w:hAnsi="Arial"/>
          <w:b w:val="false"/>
          <w:bCs w:val="false"/>
          <w:color w:val="1B2A4A"/>
          <w:sz w:val="20"/>
          <w:szCs w:val="20"/>
        </w:rPr>
        <w:t xml:space="preserve">A compliance or regulatory document</w:t>
      </w:r>
    </w:p>
    <w:p>
      <w:pPr>
        <w:pStyle w:val="ListParagraph"/>
        <w:numPr>
          <w:ilvl w:val="0"/>
          <w:numId w:val="2"/>
        </w:numPr>
        <w:spacing w:before="0" w:after="60"/>
        <w:jc w:val="left"/>
      </w:pPr>
      <w:r>
        <w:rPr>
          <w:rFonts w:ascii="Arial" w:cs="Arial" w:eastAsia="Arial" w:hAnsi="Arial"/>
          <w:b w:val="false"/>
          <w:bCs w:val="false"/>
          <w:color w:val="1B2A4A"/>
          <w:sz w:val="20"/>
          <w:szCs w:val="20"/>
        </w:rPr>
        <w:t xml:space="preserve">A policy approved by leadership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3B3B" w:sz="4"/>
              <w:left w:val="single" w:color="B93B3B" w:sz="4"/>
              <w:bottom w:val="single" w:color="B93B3B" w:sz="4"/>
              <w:right w:val="single" w:color="B93B3B" w:sz="4"/>
            </w:tcBorders>
            <w:shd w:fill="F9E0E0" w:val="clear"/>
            <w:tcMar>
              <w:top w:type="dxa" w:w="120"/>
              <w:left w:type="dxa" w:w="200"/>
              <w:bottom w:type="dxa" w:w="120"/>
              <w:right w:type="dxa" w:w="200"/>
            </w:tcMar>
          </w:tcPr>
          <w:p>
            <w:pPr>
              <w:spacing w:before="0" w:after="40"/>
              <w:jc w:val="left"/>
            </w:pPr>
            <w:r>
              <w:rPr>
                <w:rFonts w:ascii="Arial" w:cs="Arial" w:eastAsia="Arial" w:hAnsi="Arial"/>
                <w:b/>
                <w:bCs/>
                <w:color w:val="B93B3B"/>
                <w:sz w:val="22"/>
                <w:szCs w:val="22"/>
              </w:rPr>
              <w:t xml:space="preserve">Why This Matters</w:t>
            </w:r>
          </w:p>
          <w:p>
            <w:pPr>
              <w:spacing w:before="0" w:after="20"/>
              <w:jc w:val="left"/>
            </w:pPr>
            <w:r>
              <w:rPr>
                <w:rFonts w:ascii="Arial" w:cs="Arial" w:eastAsia="Arial" w:hAnsi="Arial"/>
                <w:b w:val="false"/>
                <w:bCs w:val="false"/>
                <w:color w:val="1B2A4A"/>
                <w:sz w:val="20"/>
                <w:szCs w:val="20"/>
              </w:rPr>
              <w:t xml:space="preserve">Your course content CANNOT contradict the official source. If the SOP says "always check references," your lesson can't say "references are optional." Lock in your source first.</w:t>
            </w:r>
          </w:p>
        </w:tc>
      </w:tr>
    </w:tbl>
    <w:p>
      <w:pPr>
        <w:spacing w:before="0" w:after="100"/>
        <w:jc w:val="left"/>
      </w:pPr>
    </w:p>
    <w:p>
      <w:pPr>
        <w:pStyle w:val="Heading2"/>
        <w:spacing w:before="240" w:after="100"/>
      </w:pPr>
      <w:r>
        <w:rPr>
          <w:rFonts w:ascii="Arial" w:cs="Arial" w:eastAsia="Arial" w:hAnsi="Arial"/>
          <w:b/>
          <w:bCs/>
          <w:color w:val="2E5090"/>
          <w:sz w:val="24"/>
          <w:szCs w:val="24"/>
        </w:rPr>
        <w:t xml:space="preserve">Question 4: Is This One Lesson or Many?</w:t>
      </w:r>
    </w:p>
    <w:p>
      <w:pPr>
        <w:spacing w:before="0" w:after="60"/>
        <w:jc w:val="left"/>
      </w:pPr>
      <w:r>
        <w:rPr>
          <w:rFonts w:ascii="Arial" w:cs="Arial" w:eastAsia="Arial" w:hAnsi="Arial"/>
          <w:b w:val="false"/>
          <w:bCs w:val="false"/>
          <w:color w:val="1B2A4A"/>
          <w:sz w:val="20"/>
          <w:szCs w:val="20"/>
        </w:rPr>
        <w:t xml:space="preserve">How much are you teaching? Choose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Option</w:t>
            </w:r>
          </w:p>
        </w:tc>
        <w:tc>
          <w:tcPr>
            <w:tcW w:type="dxa" w:w="328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When to Use</w:t>
            </w:r>
          </w:p>
        </w:tc>
        <w:tc>
          <w:tcPr>
            <w:tcW w:type="dxa" w:w="328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Example</w:t>
            </w:r>
          </w:p>
        </w:tc>
      </w:tr>
      <w:tr>
        <w:tc>
          <w:tcPr>
            <w:tcW w:type="dxa" w:w="28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Single Lesson</w:t>
            </w:r>
          </w:p>
        </w:tc>
        <w:tc>
          <w:tcPr>
            <w:tcW w:type="dxa" w:w="328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Teaching one specific skill or concept. Takes 5-10 minutes.</w:t>
            </w:r>
          </w:p>
        </w:tc>
        <w:tc>
          <w:tcPr>
            <w:tcW w:type="dxa" w:w="328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How to write a subject line for a recruiting email</w:t>
            </w:r>
          </w:p>
        </w:tc>
      </w:tr>
      <w:tr>
        <w:tc>
          <w:tcPr>
            <w:tcW w:type="dxa" w:w="280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Multi-Lesson Course</w:t>
            </w:r>
          </w:p>
        </w:tc>
        <w:tc>
          <w:tcPr>
            <w:tcW w:type="dxa" w:w="328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Teaching a process with 3-7 steps or concepts. Takes a few days.</w:t>
            </w:r>
          </w:p>
        </w:tc>
        <w:tc>
          <w:tcPr>
            <w:tcW w:type="dxa" w:w="328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How to run a candidate phone screen (5 lessons)</w:t>
            </w:r>
          </w:p>
        </w:tc>
      </w:tr>
      <w:tr>
        <w:tc>
          <w:tcPr>
            <w:tcW w:type="dxa" w:w="28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Multi-Week Pathway</w:t>
            </w:r>
          </w:p>
        </w:tc>
        <w:tc>
          <w:tcPr>
            <w:tcW w:type="dxa" w:w="328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Teaching a complete role or certification. Takes weeks or months.</w:t>
            </w:r>
          </w:p>
        </w:tc>
        <w:tc>
          <w:tcPr>
            <w:tcW w:type="dxa" w:w="328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New hire onboarding (12 weeks)</w:t>
            </w:r>
          </w:p>
        </w:tc>
      </w:tr>
    </w:tbl>
    <w:p>
      <w:pPr>
        <w:spacing w:before="0" w:after="100"/>
        <w:jc w:val="left"/>
      </w:pPr>
    </w:p>
    <w:p>
      <w:pPr>
        <w:pStyle w:val="Heading2"/>
        <w:spacing w:before="240" w:after="100"/>
      </w:pPr>
      <w:r>
        <w:rPr>
          <w:rFonts w:ascii="Arial" w:cs="Arial" w:eastAsia="Arial" w:hAnsi="Arial"/>
          <w:b/>
          <w:bCs/>
          <w:color w:val="2E5090"/>
          <w:sz w:val="24"/>
          <w:szCs w:val="24"/>
        </w:rPr>
        <w:t xml:space="preserve">Question 5: How Will You Deliver It?</w:t>
      </w:r>
    </w:p>
    <w:p>
      <w:pPr>
        <w:spacing w:before="0" w:after="60"/>
        <w:jc w:val="left"/>
      </w:pPr>
      <w:r>
        <w:rPr>
          <w:rFonts w:ascii="Arial" w:cs="Arial" w:eastAsia="Arial" w:hAnsi="Arial"/>
          <w:b w:val="false"/>
          <w:bCs w:val="false"/>
          <w:color w:val="1B2A4A"/>
          <w:sz w:val="20"/>
          <w:szCs w:val="20"/>
        </w:rPr>
        <w:t xml:space="preserve">All courses in the Course Factory go through Slack. Choose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Delivery Method</w:t>
            </w:r>
          </w:p>
        </w:tc>
        <w:tc>
          <w:tcPr>
            <w:tcW w:type="dxa" w:w="576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When to Use</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Slack DM (direct message)</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One-on-one training. Onboarding. Personalized coaching. The learner gets lessons privately.</w:t>
            </w:r>
          </w:p>
        </w:tc>
      </w:tr>
      <w:tr>
        <w:tc>
          <w:tcPr>
            <w:tcW w:type="dxa" w:w="360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Slack Channel</w:t>
            </w:r>
          </w:p>
        </w:tc>
        <w:tc>
          <w:tcPr>
            <w:tcW w:type="dxa" w:w="576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Group training. Team-wide announcements. Cohort-based learning. Everyone in the channel sees the same lessons.</w:t>
            </w:r>
          </w:p>
        </w:tc>
      </w:tr>
    </w:tbl>
    <w:p>
      <w:pPr>
        <w:spacing w:before="0" w:after="100"/>
        <w:jc w:val="left"/>
      </w:pPr>
    </w:p>
    <w:p>
      <w:pPr>
        <w:pStyle w:val="Heading2"/>
        <w:spacing w:before="240" w:after="100"/>
      </w:pPr>
      <w:r>
        <w:rPr>
          <w:rFonts w:ascii="Arial" w:cs="Arial" w:eastAsia="Arial" w:hAnsi="Arial"/>
          <w:b/>
          <w:bCs/>
          <w:color w:val="2E5090"/>
          <w:sz w:val="24"/>
          <w:szCs w:val="24"/>
        </w:rPr>
        <w:t xml:space="preserve">Question 6: What Type of Learning Is This?</w:t>
      </w:r>
    </w:p>
    <w:p>
      <w:pPr>
        <w:spacing w:before="0" w:after="60"/>
        <w:jc w:val="left"/>
      </w:pPr>
      <w:r>
        <w:rPr>
          <w:rFonts w:ascii="Arial" w:cs="Arial" w:eastAsia="Arial" w:hAnsi="Arial"/>
          <w:b w:val="false"/>
          <w:bCs w:val="false"/>
          <w:color w:val="1B2A4A"/>
          <w:sz w:val="20"/>
          <w:szCs w:val="20"/>
        </w:rPr>
        <w:t xml:space="preserve">This is the most important question. There are six types of learning goals, called "intents." You'll learn more about these in Section 4, but here's the quick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Intent</w:t>
            </w:r>
          </w:p>
        </w:tc>
        <w:tc>
          <w:tcPr>
            <w:tcW w:type="dxa" w:w="328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What It Means</w:t>
            </w:r>
          </w:p>
        </w:tc>
        <w:tc>
          <w:tcPr>
            <w:tcW w:type="dxa" w:w="328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Example</w:t>
            </w:r>
          </w:p>
        </w:tc>
      </w:tr>
      <w:tr>
        <w:tc>
          <w:tcPr>
            <w:tcW w:type="dxa" w:w="28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Orient</w:t>
            </w:r>
          </w:p>
        </w:tc>
        <w:tc>
          <w:tcPr>
            <w:tcW w:type="dxa" w:w="328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Show me the map. Where am I? What's the big picture?</w:t>
            </w:r>
          </w:p>
        </w:tc>
        <w:tc>
          <w:tcPr>
            <w:tcW w:type="dxa" w:w="328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"Here's how onboarding works and what to expect"</w:t>
            </w:r>
          </w:p>
        </w:tc>
      </w:tr>
      <w:tr>
        <w:tc>
          <w:tcPr>
            <w:tcW w:type="dxa" w:w="280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Explain</w:t>
            </w:r>
          </w:p>
        </w:tc>
        <w:tc>
          <w:tcPr>
            <w:tcW w:type="dxa" w:w="328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Teach me the concept. How does this work?</w:t>
            </w:r>
          </w:p>
        </w:tc>
        <w:tc>
          <w:tcPr>
            <w:tcW w:type="dxa" w:w="328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"Here's how our CRM system tracks candidates"</w:t>
            </w:r>
          </w:p>
        </w:tc>
      </w:tr>
      <w:tr>
        <w:tc>
          <w:tcPr>
            <w:tcW w:type="dxa" w:w="28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Practise</w:t>
            </w:r>
          </w:p>
        </w:tc>
        <w:tc>
          <w:tcPr>
            <w:tcW w:type="dxa" w:w="328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Let me try it. I need to build the skill through repetition.</w:t>
            </w:r>
          </w:p>
        </w:tc>
        <w:tc>
          <w:tcPr>
            <w:tcW w:type="dxa" w:w="328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"Write 5 cold emails using this template"</w:t>
            </w:r>
          </w:p>
        </w:tc>
      </w:tr>
      <w:tr>
        <w:tc>
          <w:tcPr>
            <w:tcW w:type="dxa" w:w="280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Decide</w:t>
            </w:r>
          </w:p>
        </w:tc>
        <w:tc>
          <w:tcPr>
            <w:tcW w:type="dxa" w:w="328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Help me choose. What do I do in this scenario?</w:t>
            </w:r>
          </w:p>
        </w:tc>
        <w:tc>
          <w:tcPr>
            <w:tcW w:type="dxa" w:w="328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"Should you move this candidate forward? Review the case."</w:t>
            </w:r>
          </w:p>
        </w:tc>
      </w:tr>
      <w:tr>
        <w:tc>
          <w:tcPr>
            <w:tcW w:type="dxa" w:w="28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Reflect</w:t>
            </w:r>
          </w:p>
        </w:tc>
        <w:tc>
          <w:tcPr>
            <w:tcW w:type="dxa" w:w="328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Let me think back. What did I learn? What's next?</w:t>
            </w:r>
          </w:p>
        </w:tc>
        <w:tc>
          <w:tcPr>
            <w:tcW w:type="dxa" w:w="328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"Write 3 takeaways from your first month"</w:t>
            </w:r>
          </w:p>
        </w:tc>
      </w:tr>
      <w:tr>
        <w:tc>
          <w:tcPr>
            <w:tcW w:type="dxa" w:w="280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Comply</w:t>
            </w:r>
          </w:p>
        </w:tc>
        <w:tc>
          <w:tcPr>
            <w:tcW w:type="dxa" w:w="328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I must follow this rule. It's mandatory.</w:t>
            </w:r>
          </w:p>
        </w:tc>
        <w:tc>
          <w:tcPr>
            <w:tcW w:type="dxa" w:w="328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"Complete this GDPR training to stay compliant"</w:t>
            </w:r>
          </w:p>
        </w:tc>
      </w:tr>
    </w:tbl>
    <w:p>
      <w:pPr>
        <w:spacing w:before="0" w:after="6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4"/>
              <w:bottom w:val="single" w:color="C97B00" w:sz="4"/>
              <w:right w:val="single" w:color="C97B00" w:sz="4"/>
            </w:tcBorders>
            <w:shd w:fill="FFF0D4" w:val="clear"/>
            <w:tcMar>
              <w:top w:type="dxa" w:w="120"/>
              <w:left w:type="dxa" w:w="200"/>
              <w:bottom w:type="dxa" w:w="120"/>
              <w:right w:type="dxa" w:w="200"/>
            </w:tcMar>
          </w:tcPr>
          <w:p>
            <w:pPr>
              <w:spacing w:before="0" w:after="40"/>
              <w:jc w:val="left"/>
            </w:pPr>
            <w:r>
              <w:rPr>
                <w:rFonts w:ascii="Arial" w:cs="Arial" w:eastAsia="Arial" w:hAnsi="Arial"/>
                <w:b/>
                <w:bCs/>
                <w:color w:val="C97B00"/>
                <w:sz w:val="22"/>
                <w:szCs w:val="22"/>
              </w:rPr>
              <w:t xml:space="preserve">Don't Skip This Step</w:t>
            </w:r>
          </w:p>
          <w:p>
            <w:pPr>
              <w:spacing w:before="0" w:after="20"/>
              <w:jc w:val="left"/>
            </w:pPr>
            <w:r>
              <w:rPr>
                <w:rFonts w:ascii="Arial" w:cs="Arial" w:eastAsia="Arial" w:hAnsi="Arial"/>
                <w:b w:val="false"/>
                <w:bCs w:val="false"/>
                <w:color w:val="1B2A4A"/>
                <w:sz w:val="20"/>
                <w:szCs w:val="20"/>
              </w:rPr>
              <w:t xml:space="preserve">Identifying the intent is how you avoid building confusing, overloaded lessons. If you try to Orient + Explain + Practise all at once, your lesson will fail quality review. One lesson = one intent.</w:t>
            </w:r>
          </w:p>
        </w:tc>
      </w:tr>
    </w:tbl>
    <w:p>
      <w:r>
        <w:br w:type="page"/>
      </w:r>
    </w:p>
    <w:p>
      <w:pPr>
        <w:pStyle w:val="Heading1"/>
        <w:spacing w:before="320" w:after="120"/>
      </w:pPr>
      <w:r>
        <w:rPr>
          <w:rFonts w:ascii="Arial" w:cs="Arial" w:eastAsia="Arial" w:hAnsi="Arial"/>
          <w:b/>
          <w:bCs/>
          <w:color w:val="1B2A4A"/>
          <w:sz w:val="30"/>
          <w:szCs w:val="30"/>
        </w:rPr>
        <w:t xml:space="preserve">3. Phase 1: Filling Out the Intake Form</w:t>
      </w:r>
    </w:p>
    <w:p>
      <w:pPr>
        <w:spacing w:before="0" w:after="100"/>
        <w:jc w:val="left"/>
      </w:pPr>
      <w:r>
        <w:rPr>
          <w:rFonts w:ascii="Arial" w:cs="Arial" w:eastAsia="Arial" w:hAnsi="Arial"/>
          <w:b w:val="false"/>
          <w:bCs w:val="false"/>
          <w:color w:val="1B2A4A"/>
          <w:sz w:val="21"/>
          <w:szCs w:val="21"/>
        </w:rPr>
        <w:t xml:space="preserve">Now that you've answered the six questions, it's time to fill out the official Course Intake Form. This form is your gateway into the Course Factory. Nothing gets built until this form is approved.</w:t>
      </w:r>
    </w:p>
    <w:p>
      <w:pPr>
        <w:pStyle w:val="Heading2"/>
        <w:spacing w:before="240" w:after="100"/>
      </w:pPr>
      <w:r>
        <w:rPr>
          <w:rFonts w:ascii="Arial" w:cs="Arial" w:eastAsia="Arial" w:hAnsi="Arial"/>
          <w:b/>
          <w:bCs/>
          <w:color w:val="2E5090"/>
          <w:sz w:val="24"/>
          <w:szCs w:val="24"/>
        </w:rPr>
        <w:t xml:space="preserve">3.1 Where to Find the Form</w:t>
      </w:r>
    </w:p>
    <w:p>
      <w:pPr>
        <w:spacing w:before="0" w:after="100"/>
        <w:jc w:val="left"/>
      </w:pPr>
      <w:r>
        <w:rPr>
          <w:rFonts w:ascii="Arial" w:cs="Arial" w:eastAsia="Arial" w:hAnsi="Arial"/>
          <w:b w:val="false"/>
          <w:bCs w:val="false"/>
          <w:color w:val="1B2A4A"/>
          <w:sz w:val="20"/>
          <w:szCs w:val="20"/>
        </w:rPr>
        <w:t xml:space="preserve">The intake form is a Notion page. Your Course Factory admin will share the link with you. It has 7 sections. We'll walk through each one.</w:t>
      </w:r>
    </w:p>
    <w:p>
      <w:pPr>
        <w:pStyle w:val="Heading2"/>
        <w:spacing w:before="240" w:after="100"/>
      </w:pPr>
      <w:r>
        <w:rPr>
          <w:rFonts w:ascii="Arial" w:cs="Arial" w:eastAsia="Arial" w:hAnsi="Arial"/>
          <w:b/>
          <w:bCs/>
          <w:color w:val="2E5090"/>
          <w:sz w:val="24"/>
          <w:szCs w:val="24"/>
        </w:rPr>
        <w:t xml:space="preserve">3.2 Section 1: Course Identification</w:t>
      </w:r>
    </w:p>
    <w:p>
      <w:pPr>
        <w:spacing w:before="0" w:after="60"/>
        <w:jc w:val="left"/>
      </w:pPr>
      <w:r>
        <w:rPr>
          <w:rFonts w:ascii="Arial" w:cs="Arial" w:eastAsia="Arial" w:hAnsi="Arial"/>
          <w:b w:val="false"/>
          <w:bCs w:val="false"/>
          <w:color w:val="1B2A4A"/>
          <w:sz w:val="20"/>
          <w:szCs w:val="20"/>
        </w:rPr>
        <w:t xml:space="preserve">This is basic info about your course.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Field</w:t>
            </w:r>
          </w:p>
        </w:tc>
        <w:tc>
          <w:tcPr>
            <w:tcW w:type="dxa" w:w="576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What to Write</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Course Name (working title)</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A short, clear name. Example: "Phone Screen Mastery for Recruiters" or "Week 1: New Hire Orientation"</w:t>
            </w:r>
          </w:p>
        </w:tc>
      </w:tr>
      <w:tr>
        <w:tc>
          <w:tcPr>
            <w:tcW w:type="dxa" w:w="360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Owning Function / Team</w:t>
            </w:r>
          </w:p>
        </w:tc>
        <w:tc>
          <w:tcPr>
            <w:tcW w:type="dxa" w:w="576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Check the box for your department. Examples: Recruitment, Sales, Operations, Compliance.</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Course Type</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Is this standalone? Part of a bigger program? Mandatory compliance training? Check one.</w:t>
            </w:r>
          </w:p>
        </w:tc>
      </w:tr>
      <w:tr>
        <w:tc>
          <w:tcPr>
            <w:tcW w:type="dxa" w:w="360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Intended Launch Audience</w:t>
            </w:r>
          </w:p>
        </w:tc>
        <w:tc>
          <w:tcPr>
            <w:tcW w:type="dxa" w:w="576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Who will take this? Be specific. Examples: "All new hires" or "Senior account executives only"</w:t>
            </w:r>
          </w:p>
        </w:tc>
      </w:tr>
    </w:tbl>
    <w:p>
      <w:pPr>
        <w:spacing w:before="0" w:after="100"/>
        <w:jc w:val="left"/>
      </w:pPr>
    </w:p>
    <w:p>
      <w:pPr>
        <w:pStyle w:val="Heading2"/>
        <w:spacing w:before="240" w:after="100"/>
      </w:pPr>
      <w:r>
        <w:rPr>
          <w:rFonts w:ascii="Arial" w:cs="Arial" w:eastAsia="Arial" w:hAnsi="Arial"/>
          <w:b/>
          <w:bCs/>
          <w:color w:val="2E5090"/>
          <w:sz w:val="24"/>
          <w:szCs w:val="24"/>
        </w:rPr>
        <w:t xml:space="preserve">3.3 Section 2: Business Outcome</w:t>
      </w:r>
    </w:p>
    <w:p>
      <w:pPr>
        <w:spacing w:before="0" w:after="60"/>
        <w:jc w:val="left"/>
      </w:pPr>
      <w:r>
        <w:rPr>
          <w:rFonts w:ascii="Arial" w:cs="Arial" w:eastAsia="Arial" w:hAnsi="Arial"/>
          <w:b w:val="false"/>
          <w:bCs w:val="false"/>
          <w:color w:val="1B2A4A"/>
          <w:sz w:val="20"/>
          <w:szCs w:val="20"/>
        </w:rPr>
        <w:t xml:space="preserve">This is where you answer Question 2 from Section 2 above: What should learners DO differently?</w:t>
      </w:r>
    </w:p>
    <w:p>
      <w:pPr>
        <w:spacing w:before="0" w:after="30"/>
        <w:jc w:val="left"/>
      </w:pPr>
      <w:r>
        <w:rPr>
          <w:rFonts w:ascii="Arial" w:cs="Arial" w:eastAsia="Arial" w:hAnsi="Arial"/>
          <w:b/>
          <w:bCs/>
          <w:color w:val="1B2A4A"/>
          <w:sz w:val="20"/>
          <w:szCs w:val="20"/>
        </w:rPr>
        <w:t xml:space="preserve">Choose one outcome type:</w:t>
      </w:r>
    </w:p>
    <w:p>
      <w:pPr>
        <w:pStyle w:val="ListParagraph"/>
        <w:numPr>
          <w:ilvl w:val="0"/>
          <w:numId w:val="2"/>
        </w:numPr>
        <w:spacing w:before="0" w:after="20"/>
        <w:jc w:val="left"/>
      </w:pPr>
      <w:r>
        <w:rPr>
          <w:rFonts w:ascii="Arial" w:cs="Arial" w:eastAsia="Arial" w:hAnsi="Arial"/>
          <w:b w:val="false"/>
          <w:bCs w:val="false"/>
          <w:color w:val="1B2A4A"/>
          <w:sz w:val="20"/>
          <w:szCs w:val="20"/>
        </w:rPr>
        <w:t xml:space="preserve">Behavior change — they'll do something differently in their job</w:t>
      </w:r>
    </w:p>
    <w:p>
      <w:pPr>
        <w:pStyle w:val="ListParagraph"/>
        <w:numPr>
          <w:ilvl w:val="0"/>
          <w:numId w:val="2"/>
        </w:numPr>
        <w:spacing w:before="0" w:after="20"/>
        <w:jc w:val="left"/>
      </w:pPr>
      <w:r>
        <w:rPr>
          <w:rFonts w:ascii="Arial" w:cs="Arial" w:eastAsia="Arial" w:hAnsi="Arial"/>
          <w:b w:val="false"/>
          <w:bCs w:val="false"/>
          <w:color w:val="1B2A4A"/>
          <w:sz w:val="20"/>
          <w:szCs w:val="20"/>
        </w:rPr>
        <w:t xml:space="preserve">Skill development — they'll gain a new capability</w:t>
      </w:r>
    </w:p>
    <w:p>
      <w:pPr>
        <w:pStyle w:val="ListParagraph"/>
        <w:numPr>
          <w:ilvl w:val="0"/>
          <w:numId w:val="2"/>
        </w:numPr>
        <w:spacing w:before="0" w:after="20"/>
        <w:jc w:val="left"/>
      </w:pPr>
      <w:r>
        <w:rPr>
          <w:rFonts w:ascii="Arial" w:cs="Arial" w:eastAsia="Arial" w:hAnsi="Arial"/>
          <w:b w:val="false"/>
          <w:bCs w:val="false"/>
          <w:color w:val="1B2A4A"/>
          <w:sz w:val="20"/>
          <w:szCs w:val="20"/>
        </w:rPr>
        <w:t xml:space="preserve">Knowledge transfer — they'll understand something new</w:t>
      </w:r>
    </w:p>
    <w:p>
      <w:pPr>
        <w:pStyle w:val="ListParagraph"/>
        <w:numPr>
          <w:ilvl w:val="0"/>
          <w:numId w:val="2"/>
        </w:numPr>
        <w:spacing w:before="0" w:after="60"/>
        <w:jc w:val="left"/>
      </w:pPr>
      <w:r>
        <w:rPr>
          <w:rFonts w:ascii="Arial" w:cs="Arial" w:eastAsia="Arial" w:hAnsi="Arial"/>
          <w:b w:val="false"/>
          <w:bCs w:val="false"/>
          <w:color w:val="1B2A4A"/>
          <w:sz w:val="20"/>
          <w:szCs w:val="20"/>
        </w:rPr>
        <w:t xml:space="preserve">Compliance / risk reduction — they must follow a rule</w:t>
      </w:r>
    </w:p>
    <w:p>
      <w:pPr>
        <w:spacing w:before="0" w:after="80"/>
        <w:jc w:val="left"/>
      </w:pPr>
      <w:r>
        <w:rPr>
          <w:rFonts w:ascii="Arial" w:cs="Arial" w:eastAsia="Arial" w:hAnsi="Arial"/>
          <w:b w:val="false"/>
          <w:bCs w:val="false"/>
          <w:color w:val="1B2A4A"/>
          <w:sz w:val="20"/>
          <w:szCs w:val="20"/>
        </w:rPr>
        <w:t xml:space="preserve">Then write one sentence describing what they'll DO differently. This is your North Star for the entire course.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2F5E3" w:val="clear"/>
            <w:tcMar>
              <w:top w:type="dxa" w:w="120"/>
              <w:left w:type="dxa" w:w="200"/>
              <w:bottom w:type="dxa" w:w="120"/>
              <w:right w:type="dxa" w:w="200"/>
            </w:tcMar>
          </w:tcPr>
          <w:p>
            <w:pPr>
              <w:spacing w:before="0" w:after="40"/>
              <w:jc w:val="left"/>
            </w:pPr>
            <w:r>
              <w:rPr>
                <w:rFonts w:ascii="Arial" w:cs="Arial" w:eastAsia="Arial" w:hAnsi="Arial"/>
                <w:b/>
                <w:bCs/>
                <w:color w:val="2E7D32"/>
                <w:sz w:val="22"/>
                <w:szCs w:val="22"/>
              </w:rPr>
              <w:t xml:space="preserve">Real Example</w:t>
            </w:r>
          </w:p>
          <w:p>
            <w:pPr>
              <w:spacing w:before="0" w:after="20"/>
              <w:jc w:val="left"/>
            </w:pPr>
            <w:r>
              <w:rPr>
                <w:rFonts w:ascii="Arial" w:cs="Arial" w:eastAsia="Arial" w:hAnsi="Arial"/>
                <w:b w:val="false"/>
                <w:bCs w:val="false"/>
                <w:color w:val="1B2A4A"/>
                <w:sz w:val="20"/>
                <w:szCs w:val="20"/>
              </w:rPr>
              <w:t xml:space="preserve">Outcome type: Skill development</w:t>
            </w:r>
          </w:p>
          <w:p>
            <w:pPr>
              <w:spacing w:before="0" w:after="20"/>
              <w:jc w:val="left"/>
            </w:pPr>
            <w:r>
              <w:rPr>
                <w:rFonts w:ascii="Arial" w:cs="Arial" w:eastAsia="Arial" w:hAnsi="Arial"/>
                <w:b w:val="false"/>
                <w:bCs w:val="false"/>
                <w:color w:val="1B2A4A"/>
                <w:sz w:val="20"/>
                <w:szCs w:val="20"/>
              </w:rPr>
              <w:t xml:space="preserve">One sentence: Recruiters will conduct structured phone screens using the STAR method to qualify candidates consistently.</w:t>
            </w:r>
          </w:p>
        </w:tc>
      </w:tr>
    </w:tbl>
    <w:p>
      <w:pPr>
        <w:spacing w:before="0" w:after="100"/>
        <w:jc w:val="left"/>
      </w:pPr>
    </w:p>
    <w:p>
      <w:pPr>
        <w:pStyle w:val="Heading2"/>
        <w:spacing w:before="240" w:after="100"/>
      </w:pPr>
      <w:r>
        <w:rPr>
          <w:rFonts w:ascii="Arial" w:cs="Arial" w:eastAsia="Arial" w:hAnsi="Arial"/>
          <w:b/>
          <w:bCs/>
          <w:color w:val="2E5090"/>
          <w:sz w:val="24"/>
          <w:szCs w:val="24"/>
        </w:rPr>
        <w:t xml:space="preserve">3.4 Section 3: Source of Truth Declaration</w:t>
      </w:r>
    </w:p>
    <w:p>
      <w:pPr>
        <w:spacing w:before="0" w:after="60"/>
        <w:jc w:val="left"/>
      </w:pPr>
      <w:r>
        <w:rPr>
          <w:rFonts w:ascii="Arial" w:cs="Arial" w:eastAsia="Arial" w:hAnsi="Arial"/>
          <w:b w:val="false"/>
          <w:bCs w:val="false"/>
          <w:color w:val="1B2A4A"/>
          <w:sz w:val="20"/>
          <w:szCs w:val="20"/>
        </w:rPr>
        <w:t xml:space="preserve">This is where you answer Question 3: Where's the source material? Check all that apply and paste links to the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3B3B" w:sz="4"/>
              <w:left w:val="single" w:color="B93B3B" w:sz="4"/>
              <w:bottom w:val="single" w:color="B93B3B" w:sz="4"/>
              <w:right w:val="single" w:color="B93B3B" w:sz="4"/>
            </w:tcBorders>
            <w:shd w:fill="F9E0E0" w:val="clear"/>
            <w:tcMar>
              <w:top w:type="dxa" w:w="120"/>
              <w:left w:type="dxa" w:w="200"/>
              <w:bottom w:type="dxa" w:w="120"/>
              <w:right w:type="dxa" w:w="200"/>
            </w:tcMar>
          </w:tcPr>
          <w:p>
            <w:pPr>
              <w:spacing w:before="0" w:after="40"/>
              <w:jc w:val="left"/>
            </w:pPr>
            <w:r>
              <w:rPr>
                <w:rFonts w:ascii="Arial" w:cs="Arial" w:eastAsia="Arial" w:hAnsi="Arial"/>
                <w:b/>
                <w:bCs/>
                <w:color w:val="B93B3B"/>
                <w:sz w:val="22"/>
                <w:szCs w:val="22"/>
              </w:rPr>
              <w:t xml:space="preserve">Hard Rule</w:t>
            </w:r>
          </w:p>
          <w:p>
            <w:pPr>
              <w:spacing w:before="0" w:after="20"/>
              <w:jc w:val="left"/>
            </w:pPr>
            <w:r>
              <w:rPr>
                <w:rFonts w:ascii="Arial" w:cs="Arial" w:eastAsia="Arial" w:hAnsi="Arial"/>
                <w:b w:val="false"/>
                <w:bCs w:val="false"/>
                <w:color w:val="1B2A4A"/>
                <w:sz w:val="20"/>
                <w:szCs w:val="20"/>
              </w:rPr>
              <w:t xml:space="preserve">Once you declare a source of truth and the form is approved, you CANNOT write lesson content that contradicts it. If you realize later you picked the wrong source, you have to restart the intake process.</w:t>
            </w:r>
          </w:p>
        </w:tc>
      </w:tr>
    </w:tbl>
    <w:p>
      <w:pPr>
        <w:spacing w:before="0" w:after="100"/>
        <w:jc w:val="left"/>
      </w:pPr>
    </w:p>
    <w:p>
      <w:pPr>
        <w:pStyle w:val="Heading2"/>
        <w:spacing w:before="240" w:after="100"/>
      </w:pPr>
      <w:r>
        <w:rPr>
          <w:rFonts w:ascii="Arial" w:cs="Arial" w:eastAsia="Arial" w:hAnsi="Arial"/>
          <w:b/>
          <w:bCs/>
          <w:color w:val="2E5090"/>
          <w:sz w:val="24"/>
          <w:szCs w:val="24"/>
        </w:rPr>
        <w:t xml:space="preserve">3.5 Section 4: Course Structure</w:t>
      </w:r>
    </w:p>
    <w:p>
      <w:pPr>
        <w:spacing w:before="0" w:after="40"/>
        <w:jc w:val="left"/>
      </w:pPr>
      <w:r>
        <w:rPr>
          <w:rFonts w:ascii="Arial" w:cs="Arial" w:eastAsia="Arial" w:hAnsi="Arial"/>
          <w:b w:val="false"/>
          <w:bCs w:val="false"/>
          <w:color w:val="1B2A4A"/>
          <w:sz w:val="20"/>
          <w:szCs w:val="20"/>
        </w:rPr>
        <w:t xml:space="preserve">Answer Question 4: Is this one lesson or many?</w:t>
      </w:r>
    </w:p>
    <w:p>
      <w:pPr>
        <w:spacing w:before="0" w:after="20"/>
        <w:jc w:val="left"/>
      </w:pPr>
      <w:r>
        <w:rPr>
          <w:rFonts w:ascii="Arial" w:cs="Arial" w:eastAsia="Arial" w:hAnsi="Arial"/>
          <w:b w:val="false"/>
          <w:bCs w:val="false"/>
          <w:color w:val="1B2A4A"/>
          <w:sz w:val="20"/>
          <w:szCs w:val="20"/>
        </w:rPr>
        <w:t xml:space="preserve">If it's a single lesson, you're almost done with the form.</w:t>
      </w:r>
    </w:p>
    <w:p>
      <w:pPr>
        <w:spacing w:before="0" w:after="30"/>
        <w:jc w:val="left"/>
      </w:pPr>
      <w:r>
        <w:rPr>
          <w:rFonts w:ascii="Arial" w:cs="Arial" w:eastAsia="Arial" w:hAnsi="Arial"/>
          <w:b w:val="false"/>
          <w:bCs w:val="false"/>
          <w:color w:val="1B2A4A"/>
          <w:sz w:val="20"/>
          <w:szCs w:val="20"/>
        </w:rPr>
        <w:t xml:space="preserve">If it's multi-lesson or multi-week, tell us:</w:t>
      </w:r>
    </w:p>
    <w:p>
      <w:pPr>
        <w:pStyle w:val="ListParagraph"/>
        <w:numPr>
          <w:ilvl w:val="0"/>
          <w:numId w:val="2"/>
        </w:numPr>
        <w:spacing w:before="0" w:after="20"/>
        <w:jc w:val="left"/>
      </w:pPr>
      <w:r>
        <w:rPr>
          <w:rFonts w:ascii="Arial" w:cs="Arial" w:eastAsia="Arial" w:hAnsi="Arial"/>
          <w:b w:val="false"/>
          <w:bCs w:val="false"/>
          <w:color w:val="1B2A4A"/>
          <w:sz w:val="20"/>
          <w:szCs w:val="20"/>
        </w:rPr>
        <w:t xml:space="preserve">How many units (weeks, modules, lessons)?</w:t>
      </w:r>
    </w:p>
    <w:p>
      <w:pPr>
        <w:pStyle w:val="ListParagraph"/>
        <w:numPr>
          <w:ilvl w:val="0"/>
          <w:numId w:val="2"/>
        </w:numPr>
        <w:spacing w:before="0" w:after="80"/>
        <w:jc w:val="left"/>
      </w:pPr>
      <w:r>
        <w:rPr>
          <w:rFonts w:ascii="Arial" w:cs="Arial" w:eastAsia="Arial" w:hAnsi="Arial"/>
          <w:b w:val="false"/>
          <w:bCs w:val="false"/>
          <w:color w:val="1B2A4A"/>
          <w:sz w:val="20"/>
          <w:szCs w:val="20"/>
        </w:rPr>
        <w:t xml:space="preserve">What's the unit structure? (Are you organizing by weeks, modules, or stages?)</w:t>
      </w:r>
    </w:p>
    <w:p>
      <w:pPr>
        <w:pStyle w:val="Heading2"/>
        <w:spacing w:before="240" w:after="100"/>
      </w:pPr>
      <w:r>
        <w:rPr>
          <w:rFonts w:ascii="Arial" w:cs="Arial" w:eastAsia="Arial" w:hAnsi="Arial"/>
          <w:b/>
          <w:bCs/>
          <w:color w:val="2E5090"/>
          <w:sz w:val="24"/>
          <w:szCs w:val="24"/>
        </w:rPr>
        <w:t xml:space="preserve">3.6 Section 5: Blueprint Selection (THE HARD PART)</w:t>
      </w:r>
    </w:p>
    <w:p>
      <w:pPr>
        <w:spacing w:before="0" w:after="60"/>
        <w:jc w:val="left"/>
      </w:pPr>
      <w:r>
        <w:rPr>
          <w:rFonts w:ascii="Arial" w:cs="Arial" w:eastAsia="Arial" w:hAnsi="Arial"/>
          <w:b w:val="false"/>
          <w:bCs w:val="false"/>
          <w:color w:val="1B2A4A"/>
          <w:sz w:val="20"/>
          <w:szCs w:val="20"/>
        </w:rPr>
        <w:t xml:space="preserve">This is the most important section. You cannot skip it. For EVERY unit in your course, you must fill out this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spacing w:before="0" w:after="60"/>
              <w:jc w:val="left"/>
            </w:pPr>
            <w:r>
              <w:rPr>
                <w:rFonts w:ascii="Arial" w:cs="Arial" w:eastAsia="Arial" w:hAnsi="Arial"/>
                <w:b/>
                <w:bCs/>
                <w:color w:val="FFFFFF"/>
                <w:sz w:val="20"/>
                <w:szCs w:val="20"/>
              </w:rPr>
              <w:t xml:space="preserve">Unit #</w:t>
            </w:r>
          </w:p>
        </w:tc>
        <w:tc>
          <w:tcPr>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spacing w:before="0" w:after="60"/>
              <w:jc w:val="left"/>
            </w:pPr>
            <w:r>
              <w:rPr>
                <w:rFonts w:ascii="Arial" w:cs="Arial" w:eastAsia="Arial" w:hAnsi="Arial"/>
                <w:b/>
                <w:bCs/>
                <w:color w:val="FFFFFF"/>
                <w:sz w:val="20"/>
                <w:szCs w:val="20"/>
              </w:rPr>
              <w:t xml:space="preserve">Unit Name</w:t>
            </w:r>
          </w:p>
        </w:tc>
        <w:tc>
          <w:tcPr>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spacing w:before="0" w:after="60"/>
              <w:jc w:val="left"/>
            </w:pPr>
            <w:r>
              <w:rPr>
                <w:rFonts w:ascii="Arial" w:cs="Arial" w:eastAsia="Arial" w:hAnsi="Arial"/>
                <w:b/>
                <w:bCs/>
                <w:color w:val="FFFFFF"/>
                <w:sz w:val="20"/>
                <w:szCs w:val="20"/>
              </w:rPr>
              <w:t xml:space="preserve">Learning Intent</w:t>
            </w:r>
          </w:p>
        </w:tc>
        <w:tc>
          <w:tcPr>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spacing w:before="0" w:after="60"/>
              <w:jc w:val="left"/>
            </w:pPr>
            <w:r>
              <w:rPr>
                <w:rFonts w:ascii="Arial" w:cs="Arial" w:eastAsia="Arial" w:hAnsi="Arial"/>
                <w:b/>
                <w:bCs/>
                <w:color w:val="FFFFFF"/>
                <w:sz w:val="20"/>
                <w:szCs w:val="20"/>
              </w:rPr>
              <w:t xml:space="preserve">Blueprint ID + Name</w:t>
            </w:r>
          </w:p>
        </w:tc>
        <w:tc>
          <w:tcPr>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spacing w:before="0" w:after="60"/>
              <w:jc w:val="left"/>
            </w:pPr>
            <w:r>
              <w:rPr>
                <w:rFonts w:ascii="Arial" w:cs="Arial" w:eastAsia="Arial" w:hAnsi="Arial"/>
                <w:b/>
                <w:bCs/>
                <w:color w:val="FFFFFF"/>
                <w:sz w:val="20"/>
                <w:szCs w:val="20"/>
              </w:rPr>
              <w:t xml:space="preserve">Justification</w:t>
            </w:r>
          </w:p>
        </w:tc>
      </w:tr>
      <w:tr>
        <w:tc>
          <w:tcPr>
            <w:tcBorders>
              <w:top w:val="single" w:color="CCCCCC" w:sz="4"/>
              <w:left w:val="single" w:color="CCCCCC" w:sz="4"/>
              <w:bottom w:val="single" w:color="CCCCCC" w:sz="4"/>
              <w:right w:val="single" w:color="CCCCCC" w:sz="4"/>
            </w:tcBorders>
            <w:shd w:fill="F4F6F8" w:val="clear"/>
            <w:tcMar>
              <w:top w:type="dxa" w:w="60"/>
              <w:left w:type="dxa" w:w="100"/>
              <w:bottom w:type="dxa" w:w="60"/>
              <w:right w:type="dxa" w:w="100"/>
            </w:tcMar>
          </w:tcPr>
          <w:p>
            <w:pPr>
              <w:spacing w:before="0" w:after="60"/>
              <w:jc w:val="left"/>
            </w:pPr>
            <w:r>
              <w:rPr>
                <w:rFonts w:ascii="Arial" w:cs="Arial" w:eastAsia="Arial" w:hAnsi="Arial"/>
                <w:b w:val="false"/>
                <w:bCs w:val="false"/>
                <w:color w:val="1B2A4A"/>
                <w:sz w:val="20"/>
                <w:szCs w:val="20"/>
              </w:rPr>
              <w:t xml:space="preserve">1</w:t>
            </w:r>
          </w:p>
        </w:tc>
        <w:tc>
          <w:tcPr>
            <w:tcBorders>
              <w:top w:val="single" w:color="CCCCCC" w:sz="4"/>
              <w:left w:val="single" w:color="CCCCCC" w:sz="4"/>
              <w:bottom w:val="single" w:color="CCCCCC" w:sz="4"/>
              <w:right w:val="single" w:color="CCCCCC" w:sz="4"/>
            </w:tcBorders>
            <w:shd w:fill="F4F6F8" w:val="clear"/>
            <w:tcMar>
              <w:top w:type="dxa" w:w="60"/>
              <w:left w:type="dxa" w:w="100"/>
              <w:bottom w:type="dxa" w:w="60"/>
              <w:right w:type="dxa" w:w="100"/>
            </w:tcMar>
          </w:tcPr>
          <w:p>
            <w:pPr>
              <w:spacing w:before="0" w:after="60"/>
              <w:jc w:val="left"/>
            </w:pPr>
            <w:r>
              <w:rPr>
                <w:rFonts w:ascii="Arial" w:cs="Arial" w:eastAsia="Arial" w:hAnsi="Arial"/>
                <w:b w:val="false"/>
                <w:bCs w:val="false"/>
                <w:color w:val="1B2A4A"/>
                <w:sz w:val="20"/>
                <w:szCs w:val="20"/>
              </w:rPr>
              <w:t xml:space="preserve">Week 1: Orientation</w:t>
            </w:r>
          </w:p>
        </w:tc>
        <w:tc>
          <w:tcPr>
            <w:tcBorders>
              <w:top w:val="single" w:color="CCCCCC" w:sz="4"/>
              <w:left w:val="single" w:color="CCCCCC" w:sz="4"/>
              <w:bottom w:val="single" w:color="CCCCCC" w:sz="4"/>
              <w:right w:val="single" w:color="CCCCCC" w:sz="4"/>
            </w:tcBorders>
            <w:shd w:fill="F4F6F8" w:val="clear"/>
            <w:tcMar>
              <w:top w:type="dxa" w:w="60"/>
              <w:left w:type="dxa" w:w="100"/>
              <w:bottom w:type="dxa" w:w="60"/>
              <w:right w:type="dxa" w:w="100"/>
            </w:tcMar>
          </w:tcPr>
          <w:p>
            <w:pPr>
              <w:spacing w:before="0" w:after="60"/>
              <w:jc w:val="left"/>
            </w:pPr>
            <w:r>
              <w:rPr>
                <w:rFonts w:ascii="Arial" w:cs="Arial" w:eastAsia="Arial" w:hAnsi="Arial"/>
                <w:b w:val="false"/>
                <w:bCs w:val="false"/>
                <w:color w:val="1B2A4A"/>
                <w:sz w:val="20"/>
                <w:szCs w:val="20"/>
              </w:rPr>
              <w:t xml:space="preserve">Orient</w:t>
            </w:r>
          </w:p>
        </w:tc>
        <w:tc>
          <w:tcPr>
            <w:tcBorders>
              <w:top w:val="single" w:color="CCCCCC" w:sz="4"/>
              <w:left w:val="single" w:color="CCCCCC" w:sz="4"/>
              <w:bottom w:val="single" w:color="CCCCCC" w:sz="4"/>
              <w:right w:val="single" w:color="CCCCCC" w:sz="4"/>
            </w:tcBorders>
            <w:shd w:fill="F4F6F8" w:val="clear"/>
            <w:tcMar>
              <w:top w:type="dxa" w:w="60"/>
              <w:left w:type="dxa" w:w="100"/>
              <w:bottom w:type="dxa" w:w="60"/>
              <w:right w:type="dxa" w:w="100"/>
            </w:tcMar>
          </w:tcPr>
          <w:p>
            <w:pPr>
              <w:spacing w:before="0" w:after="60"/>
              <w:jc w:val="left"/>
            </w:pPr>
            <w:r>
              <w:rPr>
                <w:rFonts w:ascii="Arial" w:cs="Arial" w:eastAsia="Arial" w:hAnsi="Arial"/>
                <w:b w:val="false"/>
                <w:bCs w:val="false"/>
                <w:color w:val="1B2A4A"/>
                <w:sz w:val="20"/>
                <w:szCs w:val="20"/>
              </w:rPr>
              <w:t xml:space="preserve">#077: Industry Deep Dive</w:t>
            </w:r>
          </w:p>
        </w:tc>
        <w:tc>
          <w:tcPr>
            <w:tcBorders>
              <w:top w:val="single" w:color="CCCCCC" w:sz="4"/>
              <w:left w:val="single" w:color="CCCCCC" w:sz="4"/>
              <w:bottom w:val="single" w:color="CCCCCC" w:sz="4"/>
              <w:right w:val="single" w:color="CCCCCC" w:sz="4"/>
            </w:tcBorders>
            <w:shd w:fill="F4F6F8" w:val="clear"/>
            <w:tcMar>
              <w:top w:type="dxa" w:w="60"/>
              <w:left w:type="dxa" w:w="100"/>
              <w:bottom w:type="dxa" w:w="60"/>
              <w:right w:type="dxa" w:w="100"/>
            </w:tcMar>
          </w:tcPr>
          <w:p>
            <w:pPr>
              <w:spacing w:before="0" w:after="60"/>
              <w:jc w:val="left"/>
            </w:pPr>
            <w:r>
              <w:rPr>
                <w:rFonts w:ascii="Arial" w:cs="Arial" w:eastAsia="Arial" w:hAnsi="Arial"/>
                <w:b w:val="false"/>
                <w:bCs w:val="false"/>
                <w:color w:val="1B2A4A"/>
                <w:sz w:val="20"/>
                <w:szCs w:val="20"/>
              </w:rPr>
              <w:t xml:space="preserve">New hires need context before details</w:t>
            </w:r>
          </w:p>
        </w:tc>
      </w:tr>
    </w:tbl>
    <w:p>
      <w:pPr>
        <w:spacing w:before="0" w:after="60"/>
        <w:jc w:val="left"/>
      </w:pPr>
    </w:p>
    <w:p>
      <w:pPr>
        <w:spacing w:before="0" w:after="40"/>
        <w:jc w:val="left"/>
      </w:pPr>
      <w:r>
        <w:rPr>
          <w:rFonts w:ascii="Arial" w:cs="Arial" w:eastAsia="Arial" w:hAnsi="Arial"/>
          <w:b/>
          <w:bCs/>
          <w:color w:val="1B2A4A"/>
          <w:sz w:val="20"/>
          <w:szCs w:val="20"/>
        </w:rPr>
        <w:t xml:space="preserve">How to fill out each column:</w:t>
      </w:r>
    </w:p>
    <w:p>
      <w:pPr>
        <w:pStyle w:val="ListParagraph"/>
        <w:numPr>
          <w:ilvl w:val="0"/>
          <w:numId w:val="3"/>
        </w:numPr>
        <w:spacing w:before="0" w:after="20"/>
        <w:jc w:val="left"/>
      </w:pPr>
      <w:r>
        <w:rPr>
          <w:rFonts w:ascii="Arial" w:cs="Arial" w:eastAsia="Arial" w:hAnsi="Arial"/>
          <w:b w:val="false"/>
          <w:bCs w:val="false"/>
          <w:color w:val="1B2A4A"/>
          <w:sz w:val="20"/>
          <w:szCs w:val="20"/>
        </w:rPr>
        <w:t xml:space="preserve">Unit # — Just number them: 1, 2, 3...</w:t>
      </w:r>
    </w:p>
    <w:p>
      <w:pPr>
        <w:pStyle w:val="ListParagraph"/>
        <w:numPr>
          <w:ilvl w:val="0"/>
          <w:numId w:val="3"/>
        </w:numPr>
        <w:spacing w:before="0" w:after="20"/>
        <w:jc w:val="left"/>
      </w:pPr>
      <w:r>
        <w:rPr>
          <w:rFonts w:ascii="Arial" w:cs="Arial" w:eastAsia="Arial" w:hAnsi="Arial"/>
          <w:b w:val="false"/>
          <w:bCs w:val="false"/>
          <w:color w:val="1B2A4A"/>
          <w:sz w:val="20"/>
          <w:szCs w:val="20"/>
        </w:rPr>
        <w:t xml:space="preserve">Unit Name — What's this unit about? Keep it short.</w:t>
      </w:r>
    </w:p>
    <w:p>
      <w:pPr>
        <w:pStyle w:val="ListParagraph"/>
        <w:numPr>
          <w:ilvl w:val="0"/>
          <w:numId w:val="3"/>
        </w:numPr>
        <w:spacing w:before="0" w:after="20"/>
        <w:jc w:val="left"/>
      </w:pPr>
      <w:r>
        <w:rPr>
          <w:rFonts w:ascii="Arial" w:cs="Arial" w:eastAsia="Arial" w:hAnsi="Arial"/>
          <w:b w:val="false"/>
          <w:bCs w:val="false"/>
          <w:color w:val="1B2A4A"/>
          <w:sz w:val="20"/>
          <w:szCs w:val="20"/>
        </w:rPr>
        <w:t xml:space="preserve">Learning Intent — Pick ONE from the six (see Section 4 for help choosing)</w:t>
      </w:r>
    </w:p>
    <w:p>
      <w:pPr>
        <w:pStyle w:val="ListParagraph"/>
        <w:numPr>
          <w:ilvl w:val="0"/>
          <w:numId w:val="3"/>
        </w:numPr>
        <w:spacing w:before="0" w:after="20"/>
        <w:jc w:val="left"/>
      </w:pPr>
      <w:r>
        <w:rPr>
          <w:rFonts w:ascii="Arial" w:cs="Arial" w:eastAsia="Arial" w:hAnsi="Arial"/>
          <w:b w:val="false"/>
          <w:bCs w:val="false"/>
          <w:color w:val="1B2A4A"/>
          <w:sz w:val="20"/>
          <w:szCs w:val="20"/>
        </w:rPr>
        <w:t xml:space="preserve">Blueprint ID + Name — Look it up in the Blueprint Catalog (see Section 5)</w:t>
      </w:r>
    </w:p>
    <w:p>
      <w:pPr>
        <w:pStyle w:val="ListParagraph"/>
        <w:numPr>
          <w:ilvl w:val="0"/>
          <w:numId w:val="3"/>
        </w:numPr>
        <w:spacing w:before="0" w:after="80"/>
        <w:jc w:val="left"/>
      </w:pPr>
      <w:r>
        <w:rPr>
          <w:rFonts w:ascii="Arial" w:cs="Arial" w:eastAsia="Arial" w:hAnsi="Arial"/>
          <w:b w:val="false"/>
          <w:bCs w:val="false"/>
          <w:color w:val="1B2A4A"/>
          <w:sz w:val="20"/>
          <w:szCs w:val="20"/>
        </w:rPr>
        <w:t xml:space="preserve">Justification — Write ONE sentence explaining WHY this blueprint fits (see Section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EDE9FE" w:val="clear"/>
            <w:tcMar>
              <w:top w:type="dxa" w:w="120"/>
              <w:left w:type="dxa" w:w="200"/>
              <w:bottom w:type="dxa" w:w="120"/>
              <w:right w:type="dxa" w:w="200"/>
            </w:tcMar>
          </w:tcPr>
          <w:p>
            <w:pPr>
              <w:spacing w:before="0" w:after="40"/>
              <w:jc w:val="left"/>
            </w:pPr>
            <w:r>
              <w:rPr>
                <w:rFonts w:ascii="Arial" w:cs="Arial" w:eastAsia="Arial" w:hAnsi="Arial"/>
                <w:b/>
                <w:bCs/>
                <w:color w:val="7C3AED"/>
                <w:sz w:val="22"/>
                <w:szCs w:val="22"/>
              </w:rPr>
              <w:t xml:space="preserve">This Is Where Most People Get Stuck</w:t>
            </w:r>
          </w:p>
          <w:p>
            <w:pPr>
              <w:spacing w:before="0" w:after="20"/>
              <w:jc w:val="left"/>
            </w:pPr>
            <w:r>
              <w:rPr>
                <w:rFonts w:ascii="Arial" w:cs="Arial" w:eastAsia="Arial" w:hAnsi="Arial"/>
                <w:b w:val="false"/>
                <w:bCs w:val="false"/>
                <w:color w:val="1B2A4A"/>
                <w:sz w:val="20"/>
                <w:szCs w:val="20"/>
              </w:rPr>
              <w:t xml:space="preserve">Don't panic. Sections 4, 5, and 6 of this guide will walk you through choosing the intent, picking the blueprint, and writing the justification. Read those first, then come back here.</w:t>
            </w:r>
          </w:p>
        </w:tc>
      </w:tr>
    </w:tbl>
    <w:p>
      <w:pPr>
        <w:spacing w:before="0" w:after="100"/>
        <w:jc w:val="left"/>
      </w:pPr>
    </w:p>
    <w:p>
      <w:pPr>
        <w:pStyle w:val="Heading2"/>
        <w:spacing w:before="240" w:after="100"/>
      </w:pPr>
      <w:r>
        <w:rPr>
          <w:rFonts w:ascii="Arial" w:cs="Arial" w:eastAsia="Arial" w:hAnsi="Arial"/>
          <w:b/>
          <w:bCs/>
          <w:color w:val="2E5090"/>
          <w:sz w:val="24"/>
          <w:szCs w:val="24"/>
        </w:rPr>
        <w:t xml:space="preserve">3.7 Sections 6 &amp; 7: Delivery &amp; Final Checklist</w:t>
      </w:r>
    </w:p>
    <w:p>
      <w:pPr>
        <w:spacing w:before="0" w:after="40"/>
        <w:jc w:val="left"/>
      </w:pPr>
      <w:r>
        <w:rPr>
          <w:rFonts w:ascii="Arial" w:cs="Arial" w:eastAsia="Arial" w:hAnsi="Arial"/>
          <w:b w:val="false"/>
          <w:bCs w:val="false"/>
          <w:color w:val="1B2A4A"/>
          <w:sz w:val="20"/>
          <w:szCs w:val="20"/>
        </w:rPr>
        <w:t xml:space="preserve">These are quick:</w:t>
      </w:r>
    </w:p>
    <w:p>
      <w:pPr>
        <w:pStyle w:val="ListParagraph"/>
        <w:numPr>
          <w:ilvl w:val="0"/>
          <w:numId w:val="2"/>
        </w:numPr>
        <w:spacing w:before="0" w:after="20"/>
        <w:jc w:val="left"/>
      </w:pPr>
      <w:r>
        <w:rPr>
          <w:rFonts w:ascii="Arial" w:cs="Arial" w:eastAsia="Arial" w:hAnsi="Arial"/>
          <w:b w:val="false"/>
          <w:bCs w:val="false"/>
          <w:color w:val="1B2A4A"/>
          <w:sz w:val="20"/>
          <w:szCs w:val="20"/>
        </w:rPr>
        <w:t xml:space="preserve">Section 6: Choose Slack DM or Slack Channel. Choose your evidence type (more on this in Section 7).</w:t>
      </w:r>
    </w:p>
    <w:p>
      <w:pPr>
        <w:pStyle w:val="ListParagraph"/>
        <w:numPr>
          <w:ilvl w:val="0"/>
          <w:numId w:val="2"/>
        </w:numPr>
        <w:spacing w:before="0" w:after="80"/>
        <w:jc w:val="left"/>
      </w:pPr>
      <w:r>
        <w:rPr>
          <w:rFonts w:ascii="Arial" w:cs="Arial" w:eastAsia="Arial" w:hAnsi="Arial"/>
          <w:b w:val="false"/>
          <w:bCs w:val="false"/>
          <w:color w:val="1B2A4A"/>
          <w:sz w:val="20"/>
          <w:szCs w:val="20"/>
        </w:rPr>
        <w:t xml:space="preserve">Section 7: Check all the boxes confirming you've done everything. Sign and date.</w:t>
      </w:r>
    </w:p>
    <w:p>
      <w:pPr>
        <w:pStyle w:val="Heading2"/>
        <w:spacing w:before="240" w:after="100"/>
      </w:pPr>
      <w:r>
        <w:rPr>
          <w:rFonts w:ascii="Arial" w:cs="Arial" w:eastAsia="Arial" w:hAnsi="Arial"/>
          <w:b/>
          <w:bCs/>
          <w:color w:val="2E5090"/>
          <w:sz w:val="24"/>
          <w:szCs w:val="24"/>
        </w:rPr>
        <w:t xml:space="preserve">3.8 What Happens Next</w:t>
      </w:r>
    </w:p>
    <w:p>
      <w:pPr>
        <w:spacing w:before="0" w:after="60"/>
        <w:jc w:val="left"/>
      </w:pPr>
      <w:r>
        <w:rPr>
          <w:rFonts w:ascii="Arial" w:cs="Arial" w:eastAsia="Arial" w:hAnsi="Arial"/>
          <w:b w:val="false"/>
          <w:bCs w:val="false"/>
          <w:color w:val="1B2A4A"/>
          <w:sz w:val="20"/>
          <w:szCs w:val="20"/>
        </w:rPr>
        <w:t xml:space="preserve">You submit the form. The Course Factory admin reviews it. One of three things happens:</w:t>
      </w:r>
    </w:p>
    <w:p>
      <w:pPr>
        <w:pStyle w:val="ListParagraph"/>
        <w:numPr>
          <w:ilvl w:val="0"/>
          <w:numId w:val="3"/>
        </w:numPr>
        <w:spacing w:before="0" w:after="20"/>
        <w:jc w:val="left"/>
      </w:pPr>
      <w:r>
        <w:rPr>
          <w:rFonts w:ascii="Arial" w:cs="Arial" w:eastAsia="Arial" w:hAnsi="Arial"/>
          <w:b w:val="false"/>
          <w:bCs w:val="false"/>
          <w:color w:val="1B2A4A"/>
          <w:sz w:val="20"/>
          <w:szCs w:val="20"/>
        </w:rPr>
        <w:t xml:space="preserve">✅ APPROVED — You can move to Phase 2 (writing lessons)</w:t>
      </w:r>
    </w:p>
    <w:p>
      <w:pPr>
        <w:pStyle w:val="ListParagraph"/>
        <w:numPr>
          <w:ilvl w:val="0"/>
          <w:numId w:val="3"/>
        </w:numPr>
        <w:spacing w:before="0" w:after="20"/>
        <w:jc w:val="left"/>
      </w:pPr>
      <w:r>
        <w:rPr>
          <w:rFonts w:ascii="Arial" w:cs="Arial" w:eastAsia="Arial" w:hAnsi="Arial"/>
          <w:b w:val="false"/>
          <w:bCs w:val="false"/>
          <w:color w:val="1B2A4A"/>
          <w:sz w:val="20"/>
          <w:szCs w:val="20"/>
        </w:rPr>
        <w:t xml:space="preserve">⚠️ RETURNED FOR CLARIFICATION — Something's unclear. Fix it and resubmit.</w:t>
      </w:r>
    </w:p>
    <w:p>
      <w:pPr>
        <w:pStyle w:val="ListParagraph"/>
        <w:numPr>
          <w:ilvl w:val="0"/>
          <w:numId w:val="3"/>
        </w:numPr>
        <w:spacing w:before="0" w:after="80"/>
        <w:jc w:val="left"/>
      </w:pPr>
      <w:r>
        <w:rPr>
          <w:rFonts w:ascii="Arial" w:cs="Arial" w:eastAsia="Arial" w:hAnsi="Arial"/>
          <w:b w:val="false"/>
          <w:bCs w:val="false"/>
          <w:color w:val="1B2A4A"/>
          <w:sz w:val="20"/>
          <w:szCs w:val="20"/>
        </w:rPr>
        <w:t xml:space="preserve">❌ REJECTED — Major issues. You may need to rethink your approach.</w:t>
      </w:r>
    </w:p>
    <w:p>
      <w:pPr>
        <w:spacing w:before="0" w:after="100"/>
        <w:jc w:val="left"/>
      </w:pPr>
      <w:r>
        <w:rPr>
          <w:rFonts w:ascii="Arial" w:cs="Arial" w:eastAsia="Arial" w:hAnsi="Arial"/>
          <w:b w:val="false"/>
          <w:bCs w:val="false"/>
          <w:color w:val="1B2A4A"/>
          <w:sz w:val="20"/>
          <w:szCs w:val="20"/>
        </w:rPr>
        <w:t xml:space="preserve">Once approved, you're cleared to start writing. That's Phase 2.</w:t>
      </w:r>
    </w:p>
    <w:p>
      <w:r>
        <w:br w:type="page"/>
      </w:r>
    </w:p>
    <w:p>
      <w:pPr>
        <w:pStyle w:val="Heading1"/>
        <w:spacing w:before="320" w:after="120"/>
      </w:pPr>
      <w:r>
        <w:rPr>
          <w:rFonts w:ascii="Arial" w:cs="Arial" w:eastAsia="Arial" w:hAnsi="Arial"/>
          <w:b/>
          <w:bCs/>
          <w:color w:val="1B2A4A"/>
          <w:sz w:val="30"/>
          <w:szCs w:val="30"/>
        </w:rPr>
        <w:t xml:space="preserve">4. Choosing the Right Learning Intent</w:t>
      </w:r>
    </w:p>
    <w:p>
      <w:pPr>
        <w:spacing w:before="0" w:after="100"/>
        <w:jc w:val="left"/>
      </w:pPr>
      <w:r>
        <w:rPr>
          <w:rFonts w:ascii="Arial" w:cs="Arial" w:eastAsia="Arial" w:hAnsi="Arial"/>
          <w:b w:val="false"/>
          <w:bCs w:val="false"/>
          <w:color w:val="1B2A4A"/>
          <w:sz w:val="21"/>
          <w:szCs w:val="21"/>
        </w:rPr>
        <w:t xml:space="preserve">This section helps you fill out the "Learning Intent" column in the intake form. Remember: one lesson = one intent. If you need multiple intents, make multiple lessons.</w:t>
      </w:r>
    </w:p>
    <w:p>
      <w:pPr>
        <w:pStyle w:val="Heading2"/>
        <w:spacing w:before="240" w:after="100"/>
      </w:pPr>
      <w:r>
        <w:rPr>
          <w:rFonts w:ascii="Arial" w:cs="Arial" w:eastAsia="Arial" w:hAnsi="Arial"/>
          <w:b/>
          <w:bCs/>
          <w:color w:val="2E5090"/>
          <w:sz w:val="24"/>
          <w:szCs w:val="24"/>
        </w:rPr>
        <w:t xml:space="preserve">4.1 The Six Intents (Plain English)</w:t>
      </w:r>
    </w:p>
    <w:p>
      <w:pPr>
        <w:spacing w:before="0" w:after="80"/>
        <w:jc w:val="left"/>
      </w:pPr>
      <w:r>
        <w:rPr>
          <w:rFonts w:ascii="Arial" w:cs="Arial" w:eastAsia="Arial" w:hAnsi="Arial"/>
          <w:b w:val="false"/>
          <w:bCs w:val="false"/>
          <w:color w:val="1B2A4A"/>
          <w:sz w:val="20"/>
          <w:szCs w:val="20"/>
        </w:rPr>
        <w:t xml:space="preserve">Here are the six types of learning goals, explained like you're talking to a friend:</w:t>
      </w:r>
    </w:p>
    <w:p>
      <w:pPr>
        <w:pStyle w:val="Heading3"/>
        <w:spacing w:before="180" w:after="80"/>
      </w:pPr>
      <w:r>
        <w:rPr>
          <w:rFonts w:ascii="Arial" w:cs="Arial" w:eastAsia="Arial" w:hAnsi="Arial"/>
          <w:b/>
          <w:bCs/>
          <w:color w:val="1A7A6C"/>
          <w:sz w:val="22"/>
          <w:szCs w:val="22"/>
        </w:rPr>
        <w:t xml:space="preserve">Intent 1: Orient ("Show Me the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What It Means</w:t>
            </w:r>
          </w:p>
        </w:tc>
        <w:tc>
          <w:tcPr>
            <w:tcW w:type="dxa" w:w="576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Your learner is lost or new. They need context. They need to see how things fit together before diving into details.</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Real-World Example</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A new hire on Day 1 doesn't need to memorize 50 policies. They need to understand: Where do I sit in the org? What's the 30/60/90-day plan? Who are my key contacts?</w:t>
            </w:r>
          </w:p>
        </w:tc>
      </w:tr>
      <w:tr>
        <w:tc>
          <w:tcPr>
            <w:tcW w:type="dxa" w:w="360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When to Use Orient</w:t>
            </w:r>
          </w:p>
        </w:tc>
        <w:tc>
          <w:tcPr>
            <w:tcW w:type="dxa" w:w="576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Use this for: Onboarding overviews, org charts, process roadmaps, "Here's what to expect" lessons, big-picture frameworks.</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What Orient Looks Like</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Lesson title example: "Your First 90 Days: The Road Ahead"</w:t>
            </w:r>
          </w:p>
        </w:tc>
      </w:tr>
    </w:tbl>
    <w:p>
      <w:pPr>
        <w:spacing w:before="0" w:after="100"/>
        <w:jc w:val="left"/>
      </w:pPr>
    </w:p>
    <w:p>
      <w:pPr>
        <w:pStyle w:val="Heading3"/>
        <w:spacing w:before="180" w:after="80"/>
      </w:pPr>
      <w:r>
        <w:rPr>
          <w:rFonts w:ascii="Arial" w:cs="Arial" w:eastAsia="Arial" w:hAnsi="Arial"/>
          <w:b/>
          <w:bCs/>
          <w:color w:val="1A7A6C"/>
          <w:sz w:val="22"/>
          <w:szCs w:val="22"/>
        </w:rPr>
        <w:t xml:space="preserve">Intent 2: Explain ("Teach Me 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What It Means</w:t>
            </w:r>
          </w:p>
        </w:tc>
        <w:tc>
          <w:tcPr>
            <w:tcW w:type="dxa" w:w="576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Your learner needs to understand a concept, process, or procedure. They're asking: "How does this work?" or "Why do we do it this way?"</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Real-World Example</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Teaching a recruiter how the applicant tracking system (ATS) routes candidates through the hiring funnel. Not asking them to DO anything yet — just understand the mechanics.</w:t>
            </w:r>
          </w:p>
        </w:tc>
      </w:tr>
      <w:tr>
        <w:tc>
          <w:tcPr>
            <w:tcW w:type="dxa" w:w="360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When to Use Explain</w:t>
            </w:r>
          </w:p>
        </w:tc>
        <w:tc>
          <w:tcPr>
            <w:tcW w:type="dxa" w:w="576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Use this for: Policy explanations, process walkthroughs, system tutorials, concept introductions, "Here's why this matters" lessons.</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What Explain Looks Like</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Lesson title example: "How the ATS Scores and Routes Candidates"</w:t>
            </w:r>
          </w:p>
        </w:tc>
      </w:tr>
    </w:tbl>
    <w:p>
      <w:pPr>
        <w:spacing w:before="0" w:after="100"/>
        <w:jc w:val="left"/>
      </w:pPr>
    </w:p>
    <w:p>
      <w:pPr>
        <w:pStyle w:val="Heading3"/>
        <w:spacing w:before="180" w:after="80"/>
      </w:pPr>
      <w:r>
        <w:rPr>
          <w:rFonts w:ascii="Arial" w:cs="Arial" w:eastAsia="Arial" w:hAnsi="Arial"/>
          <w:b/>
          <w:bCs/>
          <w:color w:val="1A7A6C"/>
          <w:sz w:val="22"/>
          <w:szCs w:val="22"/>
        </w:rPr>
        <w:t xml:space="preserve">Intent 3: Practise ("Let Me Try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What It Means</w:t>
            </w:r>
          </w:p>
        </w:tc>
        <w:tc>
          <w:tcPr>
            <w:tcW w:type="dxa" w:w="576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Your learner already knows the concept. Now they need repetition. They need to build muscle memory by doing the thing over and over in a safe environment.</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Real-World Example</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A salesperson has learned SPIN selling (Situation, Problem, Implication, Need-Payoff questions). Now they need to practise writing 10 SPIN question sets before using them with real customers.</w:t>
            </w:r>
          </w:p>
        </w:tc>
      </w:tr>
      <w:tr>
        <w:tc>
          <w:tcPr>
            <w:tcW w:type="dxa" w:w="360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When to Use Practise</w:t>
            </w:r>
          </w:p>
        </w:tc>
        <w:tc>
          <w:tcPr>
            <w:tcW w:type="dxa" w:w="576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Use this for: Skill drills, role-plays, checklists, simulations, exercises, "Try this 5 times" lessons.</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What Practise Looks Like</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Lesson title example: "Write 10 SPIN Question Sets for Different Buyer Personas"</w:t>
            </w:r>
          </w:p>
        </w:tc>
      </w:tr>
    </w:tbl>
    <w:p>
      <w:pPr>
        <w:spacing w:before="0" w:after="100"/>
        <w:jc w:val="left"/>
      </w:pPr>
    </w:p>
    <w:p>
      <w:pPr>
        <w:pStyle w:val="Heading3"/>
        <w:spacing w:before="180" w:after="80"/>
      </w:pPr>
      <w:r>
        <w:rPr>
          <w:rFonts w:ascii="Arial" w:cs="Arial" w:eastAsia="Arial" w:hAnsi="Arial"/>
          <w:b/>
          <w:bCs/>
          <w:color w:val="1A7A6C"/>
          <w:sz w:val="22"/>
          <w:szCs w:val="22"/>
        </w:rPr>
        <w:t xml:space="preserve">Intent 4: Decide ("Help Me Choose")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What It Means</w:t>
            </w:r>
          </w:p>
        </w:tc>
        <w:tc>
          <w:tcPr>
            <w:tcW w:type="dxa" w:w="576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Your learner faces a scenario where there's no single right answer. They need to weigh options, troubleshoot a problem, or make a judgment call.</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Real-World Example</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A hiring manager reviews a candidate who has great skills but a job-hopping history. Do they move forward or pass? This requires judgment, not memorization.</w:t>
            </w:r>
          </w:p>
        </w:tc>
      </w:tr>
      <w:tr>
        <w:tc>
          <w:tcPr>
            <w:tcW w:type="dxa" w:w="360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When to Use Decide</w:t>
            </w:r>
          </w:p>
        </w:tc>
        <w:tc>
          <w:tcPr>
            <w:tcW w:type="dxa" w:w="576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Use this for: Case studies, branching scenarios, ethical dilemmas, troubleshooting guides, prioritization tasks, "What would you do?" lessons.</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What Decide Looks Like</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Lesson title example: "Red Flag or Non-Issue? Reviewing Complex Candidate Profiles"</w:t>
            </w:r>
          </w:p>
        </w:tc>
      </w:tr>
    </w:tbl>
    <w:p>
      <w:pPr>
        <w:spacing w:before="0" w:after="100"/>
        <w:jc w:val="left"/>
      </w:pPr>
    </w:p>
    <w:p>
      <w:pPr>
        <w:pStyle w:val="Heading3"/>
        <w:spacing w:before="180" w:after="80"/>
      </w:pPr>
      <w:r>
        <w:rPr>
          <w:rFonts w:ascii="Arial" w:cs="Arial" w:eastAsia="Arial" w:hAnsi="Arial"/>
          <w:b/>
          <w:bCs/>
          <w:color w:val="1A7A6C"/>
          <w:sz w:val="22"/>
          <w:szCs w:val="22"/>
        </w:rPr>
        <w:t xml:space="preserve">Intent 5: Reflect ("Let Me Think 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What It Means</w:t>
            </w:r>
          </w:p>
        </w:tc>
        <w:tc>
          <w:tcPr>
            <w:tcW w:type="dxa" w:w="576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Your learner has completed a milestone or chunk of learning. They need to pause, synthesize what they've learned, and set goals for what's next.</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Real-World Example</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After their first month on the job, a new hire writes down: What went well? What was hard? What do I want to improve in Month 2?</w:t>
            </w:r>
          </w:p>
        </w:tc>
      </w:tr>
      <w:tr>
        <w:tc>
          <w:tcPr>
            <w:tcW w:type="dxa" w:w="360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When to Use Reflect</w:t>
            </w:r>
          </w:p>
        </w:tc>
        <w:tc>
          <w:tcPr>
            <w:tcW w:type="dxa" w:w="576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Use this for: Capstone projects, retrospectives, self-assessments, journal prompts, "What did you learn?" lessons, goal-setting exercises.</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What Reflect Looks Like</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Lesson title example: "Month 1 Reflection: Wins, Challenges, and Goals for Month 2"</w:t>
            </w:r>
          </w:p>
        </w:tc>
      </w:tr>
    </w:tbl>
    <w:p>
      <w:pPr>
        <w:spacing w:before="0" w:after="100"/>
        <w:jc w:val="left"/>
      </w:pPr>
    </w:p>
    <w:p>
      <w:pPr>
        <w:pStyle w:val="Heading3"/>
        <w:spacing w:before="180" w:after="80"/>
      </w:pPr>
      <w:r>
        <w:rPr>
          <w:rFonts w:ascii="Arial" w:cs="Arial" w:eastAsia="Arial" w:hAnsi="Arial"/>
          <w:b/>
          <w:bCs/>
          <w:color w:val="1A7A6C"/>
          <w:sz w:val="22"/>
          <w:szCs w:val="22"/>
        </w:rPr>
        <w:t xml:space="preserve">Intent 6: Comply ("You Must Do This")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What It Means</w:t>
            </w:r>
          </w:p>
        </w:tc>
        <w:tc>
          <w:tcPr>
            <w:tcW w:type="dxa" w:w="576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This is not optional. It's a legal requirement, safety protocol, or company-mandated rule. Completion is often binary (pass/fail).</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Real-World Example</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All employees must complete annual GDPR training and pass a quiz with 100% accuracy. This is required by law.</w:t>
            </w:r>
          </w:p>
        </w:tc>
      </w:tr>
      <w:tr>
        <w:tc>
          <w:tcPr>
            <w:tcW w:type="dxa" w:w="360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When to Use Comply</w:t>
            </w:r>
          </w:p>
        </w:tc>
        <w:tc>
          <w:tcPr>
            <w:tcW w:type="dxa" w:w="576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Use this for: Compliance training, regulatory requirements, safety protocols, certification exams, mandatory audits.</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What Comply Looks Like</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Lesson title example: "GDPR Essentials: Complete This to Stay Compliant"</w:t>
            </w:r>
          </w:p>
        </w:tc>
      </w:tr>
    </w:tbl>
    <w:p>
      <w:pPr>
        <w:spacing w:before="0" w:after="100"/>
        <w:jc w:val="left"/>
      </w:pPr>
    </w:p>
    <w:p>
      <w:pPr>
        <w:pStyle w:val="Heading2"/>
        <w:spacing w:before="240" w:after="100"/>
      </w:pPr>
      <w:r>
        <w:rPr>
          <w:rFonts w:ascii="Arial" w:cs="Arial" w:eastAsia="Arial" w:hAnsi="Arial"/>
          <w:b/>
          <w:bCs/>
          <w:color w:val="2E5090"/>
          <w:sz w:val="24"/>
          <w:szCs w:val="24"/>
        </w:rPr>
        <w:t xml:space="preserve">4.2 The Intent Decision Tree (Use This!)</w:t>
      </w:r>
    </w:p>
    <w:p>
      <w:pPr>
        <w:spacing w:before="0" w:after="60"/>
        <w:jc w:val="left"/>
      </w:pPr>
      <w:r>
        <w:rPr>
          <w:rFonts w:ascii="Arial" w:cs="Arial" w:eastAsia="Arial" w:hAnsi="Arial"/>
          <w:b w:val="false"/>
          <w:bCs w:val="false"/>
          <w:color w:val="1B2A4A"/>
          <w:sz w:val="20"/>
          <w:szCs w:val="20"/>
        </w:rPr>
        <w:t xml:space="preserve">Still not sure which intent to pick? Answer these questions IN ORDER. Stop when you get a YES.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93B3B" w:sz="4"/>
              <w:left w:val="single" w:color="B93B3B" w:sz="4"/>
              <w:bottom w:val="single" w:color="B93B3B" w:sz="4"/>
              <w:right w:val="single" w:color="B93B3B" w:sz="4"/>
            </w:tcBorders>
            <w:shd w:fill="F9E0E0" w:val="clear"/>
            <w:tcMar>
              <w:top w:type="dxa" w:w="80"/>
              <w:left w:type="dxa" w:w="140"/>
              <w:bottom w:type="dxa" w:w="80"/>
              <w:right w:type="dxa" w:w="140"/>
            </w:tcMar>
          </w:tcPr>
          <w:p>
            <w:pPr>
              <w:spacing w:before="0" w:after="60"/>
              <w:jc w:val="left"/>
            </w:pPr>
            <w:r>
              <w:rPr>
                <w:rFonts w:ascii="Arial" w:cs="Arial" w:eastAsia="Arial" w:hAnsi="Arial"/>
                <w:b/>
                <w:bCs/>
                <w:color w:val="B93B3B"/>
                <w:sz w:val="20"/>
                <w:szCs w:val="20"/>
              </w:rPr>
              <w:t xml:space="preserve">Is this a legal/regulatory requirement or mandatory policy?</w:t>
            </w:r>
          </w:p>
        </w:tc>
        <w:tc>
          <w:tcPr>
            <w:tcBorders>
              <w:top w:val="single" w:color="B93B3B" w:sz="4"/>
              <w:left w:val="single" w:color="B93B3B" w:sz="4"/>
              <w:bottom w:val="single" w:color="B93B3B" w:sz="4"/>
              <w:right w:val="single" w:color="B93B3B"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YES → Comply</w:t>
            </w:r>
          </w:p>
        </w:tc>
      </w:tr>
      <w:tr>
        <w:tc>
          <w:tcPr>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Does the learner need to CHOOSE between options or troubleshoot?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YES → Decide</w:t>
            </w:r>
          </w:p>
        </w:tc>
      </w:tr>
      <w:tr>
        <w:tc>
          <w:tcPr>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Does the learner already know this and just need repetition?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YES → Practise</w:t>
            </w:r>
          </w:p>
        </w:tc>
      </w:tr>
      <w:tr>
        <w:tc>
          <w:tcPr>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Does the learner need to understand HOW or WHY first?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YES → Explain</w:t>
            </w:r>
          </w:p>
        </w:tc>
      </w:tr>
      <w:tr>
        <w:tc>
          <w:tcPr>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Is the learner brand new and needs the big picture first?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YES → Orient</w:t>
            </w:r>
          </w:p>
        </w:tc>
      </w:tr>
      <w:tr>
        <w:tc>
          <w:tcPr>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Has the learner finished a milestone and needs to consolidate?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YES → Reflect</w:t>
            </w:r>
          </w:p>
        </w:tc>
      </w:tr>
    </w:tbl>
    <w:p>
      <w:pPr>
        <w:spacing w:before="0" w:after="100"/>
        <w:jc w:val="left"/>
      </w:pPr>
    </w:p>
    <w:p>
      <w:pPr>
        <w:pStyle w:val="Heading2"/>
        <w:spacing w:before="240" w:after="100"/>
      </w:pPr>
      <w:r>
        <w:rPr>
          <w:rFonts w:ascii="Arial" w:cs="Arial" w:eastAsia="Arial" w:hAnsi="Arial"/>
          <w:b/>
          <w:bCs/>
          <w:color w:val="2E5090"/>
          <w:sz w:val="24"/>
          <w:szCs w:val="24"/>
        </w:rPr>
        <w:t xml:space="preserve">4.3 Common Mistakes to Avoid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Mistake</w:t>
            </w:r>
          </w:p>
        </w:tc>
        <w:tc>
          <w:tcPr>
            <w:tcW w:type="dxa" w:w="5760"/>
            <w:tcBorders>
              <w:top w:val="single" w:color="D0D5DD" w:sz="4"/>
              <w:left w:val="single" w:color="D0D5DD" w:sz="4"/>
              <w:bottom w:val="single" w:color="D0D5DD" w:sz="4"/>
              <w:right w:val="single" w:color="D0D5DD" w:sz="4"/>
            </w:tcBorders>
            <w:shd w:fill="2E5090" w:val="clear"/>
            <w:tcMar>
              <w:top w:type="dxa" w:w="80"/>
              <w:left w:type="dxa" w:w="140"/>
              <w:bottom w:type="dxa" w:w="80"/>
              <w:right w:type="dxa" w:w="140"/>
            </w:tcMar>
          </w:tcPr>
          <w:p>
            <w:pPr>
              <w:spacing w:before="0" w:after="60"/>
              <w:jc w:val="left"/>
            </w:pPr>
            <w:r>
              <w:rPr>
                <w:rFonts w:ascii="Arial" w:cs="Arial" w:eastAsia="Arial" w:hAnsi="Arial"/>
                <w:b/>
                <w:bCs/>
                <w:color w:val="FFFFFF"/>
                <w:sz w:val="20"/>
                <w:szCs w:val="20"/>
              </w:rPr>
              <w:t xml:space="preserve">Why It's Wrong / How to Fix It</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Trying to Orient + Explain + Practise in one lesson</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This creates a 2,000-word monster lesson that fails QA. Split it into 3 separate lessons, each with its own intent.</w:t>
            </w:r>
          </w:p>
        </w:tc>
      </w:tr>
      <w:tr>
        <w:tc>
          <w:tcPr>
            <w:tcW w:type="dxa" w:w="360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Picking Explain when learners already know it</w:t>
            </w:r>
          </w:p>
        </w:tc>
        <w:tc>
          <w:tcPr>
            <w:tcW w:type="dxa" w:w="576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If they already understand the concept, they don't need another explanation. They need Practise.</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Picking Practise when learners have never seen it before</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If they don't know HOW yet, they can't practise. Start with Explain, then move to Practise in the next lesson.</w:t>
            </w:r>
          </w:p>
        </w:tc>
      </w:tr>
      <w:tr>
        <w:tc>
          <w:tcPr>
            <w:tcW w:type="dxa" w:w="360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Picking Decide when there's only one correct answer</w:t>
            </w:r>
          </w:p>
        </w:tc>
        <w:tc>
          <w:tcPr>
            <w:tcW w:type="dxa" w:w="5760"/>
            <w:tcBorders>
              <w:top w:val="single" w:color="D0D5DD" w:sz="4"/>
              <w:left w:val="single" w:color="D0D5DD" w:sz="4"/>
              <w:bottom w:val="single" w:color="D0D5DD" w:sz="4"/>
              <w:right w:val="single" w:color="D0D5DD" w:sz="4"/>
            </w:tcBorders>
            <w:shd w:fill="F4F6F8"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If there's one right answer, it's Explain (teach the answer) or Comply (mandate the answer), not Decide.</w:t>
            </w:r>
          </w:p>
        </w:tc>
      </w:tr>
      <w:tr>
        <w:tc>
          <w:tcPr>
            <w:tcW w:type="dxa" w:w="360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Picking Reflect for knowledge testing</w:t>
            </w:r>
          </w:p>
        </w:tc>
        <w:tc>
          <w:tcPr>
            <w:tcW w:type="dxa" w:w="5760"/>
            <w:tcBorders>
              <w:top w:val="single" w:color="D0D5DD" w:sz="4"/>
              <w:left w:val="single" w:color="D0D5DD" w:sz="4"/>
              <w:bottom w:val="single" w:color="D0D5DD" w:sz="4"/>
              <w:right w:val="single" w:color="D0D5DD" w:sz="4"/>
            </w:tcBorders>
            <w:shd w:fill="FFFFFF" w:val="clear"/>
            <w:tcMar>
              <w:top w:type="dxa" w:w="80"/>
              <w:left w:type="dxa" w:w="140"/>
              <w:bottom w:type="dxa" w:w="80"/>
              <w:right w:type="dxa" w:w="140"/>
            </w:tcMar>
          </w:tcPr>
          <w:p>
            <w:pPr>
              <w:spacing w:before="0" w:after="60"/>
              <w:jc w:val="left"/>
            </w:pPr>
            <w:r>
              <w:rPr>
                <w:rFonts w:ascii="Arial" w:cs="Arial" w:eastAsia="Arial" w:hAnsi="Arial"/>
                <w:b w:val="false"/>
                <w:bCs w:val="false"/>
                <w:color w:val="1B2A4A"/>
                <w:sz w:val="20"/>
                <w:szCs w:val="20"/>
              </w:rPr>
              <w:t xml:space="preserve">Reflection is for synthesis and goal-setting, not for testing facts. Use Practise (quiz) instead.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8"/>
        <w:szCs w:val="18"/>
      </w:rPr>
      <w:t xml:space="preserve">Course Factory User Guide  •  Plain Language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00" w:hanging="300"/>
      </w:pPr>
    </w:lvl>
  </w:abstractNum>
  <w:abstractNum w:abstractNumId="4" w15:restartNumberingAfterBreak="0">
    <w:multiLevelType w:val="hybridMultilevel"/>
    <w:lvl w:ilvl="0" w15:tentative="1">
      <w:start w:val="1"/>
      <w:numFmt w:val="decimal"/>
      <w:lvlText w:val="Step %1:"/>
      <w:lvlJc w:val="left"/>
      <w:pPr>
        <w:ind w:left="540" w:hanging="400"/>
      </w:pPr>
      <w:rPr>
        <w:b/>
        <w:bCs/>
        <w:color w:val="2E5090"/>
      </w:rPr>
    </w:lvl>
  </w:abstractNum>
  <w:abstractNum w:abstractNumId="5"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B2A4A"/>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5090"/>
      <w:sz w:val="24"/>
      <w:szCs w:val="24"/>
    </w:rPr>
  </w:style>
  <w:style w:type="paragraph" w:styleId="Heading3">
    <w:name w:val="Heading 3"/>
    <w:basedOn w:val="Normal"/>
    <w:next w:val="Normal"/>
    <w:qFormat/>
    <w:pPr>
      <w:spacing w:before="180" w:after="80"/>
      <w:outlineLvl w:val="2"/>
    </w:pPr>
    <w:rPr>
      <w:rFonts w:ascii="Arial" w:cs="Arial" w:eastAsia="Arial" w:hAnsi="Arial"/>
      <w:b/>
      <w:bCs/>
      <w:color w:val="1A7A6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2026-02-03T01:09:32.707Z</dcterms:created>
  <dcterms:modified xsi:type="dcterms:W3CDTF">2026-02-03T01:09:32.708Z</dcterms:modified>
</cp:coreProperties>
</file>

<file path=docProps/custom.xml><?xml version="1.0" encoding="utf-8"?>
<Properties xmlns="http://schemas.openxmlformats.org/officeDocument/2006/custom-properties" xmlns:vt="http://schemas.openxmlformats.org/officeDocument/2006/docPropsVTypes"/>
</file>