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80" w:lineRule="auto"/>
        <w:rPr>
          <w:rFonts w:ascii="Arial" w:cs="Arial" w:eastAsia="Arial" w:hAnsi="Arial"/>
        </w:rPr>
      </w:pPr>
      <w:r w:rsidDel="00000000" w:rsidR="00000000" w:rsidRPr="00000000">
        <w:rPr>
          <w:rFonts w:ascii="Arial" w:cs="Arial" w:eastAsia="Arial" w:hAnsi="Arial"/>
          <w:b w:val="1"/>
          <w:bCs w:val="1"/>
          <w:smallCaps w:val="1"/>
          <w:color w:val="1b2a4a"/>
          <w:sz w:val="44"/>
          <w:szCs w:val="44"/>
          <w:rtl w:val="0"/>
        </w:rPr>
        <w:t xml:space="preserve">THE GEOPOLITICS OF TRANSITION</w:t>
      </w:r>
      <w:r w:rsidDel="00000000" w:rsidR="00000000" w:rsidRPr="00000000">
        <w:rPr>
          <w:rtl w:val="0"/>
        </w:rPr>
      </w:r>
    </w:p>
    <w:p w:rsidR="00000000" w:rsidDel="00000000" w:rsidP="00000000" w:rsidRDefault="00000000" w:rsidRPr="00000000" w14:paraId="00000002">
      <w:pPr>
        <w:spacing w:after="100" w:before="0" w:lineRule="auto"/>
        <w:rPr>
          <w:rFonts w:ascii="Arial" w:cs="Arial" w:eastAsia="Arial" w:hAnsi="Arial"/>
        </w:rPr>
      </w:pPr>
      <w:r w:rsidDel="00000000" w:rsidR="00000000" w:rsidRPr="00000000">
        <w:rPr>
          <w:rFonts w:ascii="Arial" w:cs="Arial" w:eastAsia="Arial" w:hAnsi="Arial"/>
          <w:i w:val="1"/>
          <w:iCs w:val="1"/>
          <w:color w:val="2e4057"/>
          <w:sz w:val="26"/>
          <w:szCs w:val="26"/>
          <w:rtl w:val="0"/>
        </w:rPr>
        <w:t xml:space="preserve">Assessing Syria’s Continued Designation as a State Sponsor of Terrorism and the Political Economy of Post-Assad Reconstruction</w:t>
      </w:r>
      <w:r w:rsidDel="00000000" w:rsidR="00000000" w:rsidRPr="00000000">
        <w:rPr>
          <w:rtl w:val="0"/>
        </w:rPr>
      </w:r>
    </w:p>
    <w:p w:rsidR="00000000" w:rsidDel="00000000" w:rsidP="00000000" w:rsidRDefault="00000000" w:rsidRPr="00000000" w14:paraId="00000003">
      <w:pPr>
        <w:pBdr>
          <w:bottom w:color="1b2a4a" w:space="2" w:sz="8" w:val="single"/>
        </w:pBdr>
        <w:spacing w:after="500" w:before="120" w:lineRule="auto"/>
        <w:rPr>
          <w:rFonts w:ascii="Arial" w:cs="Arial" w:eastAsia="Arial" w:hAnsi="Arial"/>
        </w:rPr>
      </w:pPr>
      <w:r w:rsidDel="00000000" w:rsidR="00000000" w:rsidRPr="00000000">
        <w:rPr>
          <w:rFonts w:ascii="Arial" w:cs="Arial" w:eastAsia="Arial" w:hAnsi="Arial"/>
          <w:color w:val="555555"/>
          <w:sz w:val="20"/>
          <w:szCs w:val="20"/>
          <w:rtl w:val="0"/>
        </w:rPr>
        <w:t xml:space="preserve">May 2026  •  Independent Policy Analysis</w:t>
      </w:r>
      <w:r w:rsidDel="00000000" w:rsidR="00000000" w:rsidRPr="00000000">
        <w:rPr>
          <w:rtl w:val="0"/>
        </w:rPr>
      </w:r>
    </w:p>
    <w:p w:rsidR="00000000" w:rsidDel="00000000" w:rsidP="00000000" w:rsidRDefault="00000000" w:rsidRPr="00000000" w14:paraId="00000004">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Abstract</w:t>
      </w:r>
      <w:r w:rsidDel="00000000" w:rsidR="00000000" w:rsidRPr="00000000">
        <w:rPr>
          <w:rtl w:val="0"/>
        </w:rPr>
      </w:r>
    </w:p>
    <w:p w:rsidR="00000000" w:rsidDel="00000000" w:rsidP="00000000" w:rsidRDefault="00000000" w:rsidRPr="00000000" w14:paraId="00000005">
      <w:pPr>
        <w:pBdr>
          <w:left w:color="2e4057" w:space="6" w:sz="10" w:val="single"/>
        </w:pBdr>
        <w:spacing w:after="160" w:before="100" w:line="320" w:lineRule="auto"/>
        <w:ind w:left="600" w:right="400" w:firstLine="0"/>
        <w:jc w:val="both"/>
        <w:rPr>
          <w:rFonts w:ascii="Arial" w:cs="Arial" w:eastAsia="Arial" w:hAnsi="Arial"/>
        </w:rPr>
      </w:pPr>
      <w:r w:rsidDel="00000000" w:rsidR="00000000" w:rsidRPr="00000000">
        <w:rPr>
          <w:rFonts w:ascii="Arial" w:cs="Arial" w:eastAsia="Arial" w:hAnsi="Arial"/>
          <w:i w:val="1"/>
          <w:iCs w:val="1"/>
          <w:color w:val="555555"/>
          <w:sz w:val="21"/>
          <w:szCs w:val="21"/>
          <w:rtl w:val="0"/>
        </w:rPr>
        <w:t xml:space="preserve">A highly coordinated diplomatic and public relations campaign is now actively pushing for the removal of the Syrian interim government from the United States’ State Sponsors of Terrorism (SST) list  operating under the premise that this new authority represents a meaningful departure from the two regimes that preceded it. Proponents of rapid normalization frame the SST designation as a bureaucratic anachronism that paralyzes macroeconomic recovery and inadvertently surrenders Syria’s digital infrastructure to Chinese monopoly. A rigorous empirical analysis of the transitional government’s domestic record suggests otherwise. This paper demonstrates that removing the designation under current conditions would not rebuild the Syrian state or rescue its civilian population. It would instead legitimize a rebranded jihadist authority, subsidize an emerging kleptocracy through predatory investment legislation, and reward a government actively engaged in systematic, identity-based human rights atrocities.</w:t>
      </w:r>
      <w:r w:rsidDel="00000000" w:rsidR="00000000" w:rsidRPr="00000000">
        <w:rPr>
          <w:rtl w:val="0"/>
        </w:rPr>
      </w:r>
    </w:p>
    <w:p w:rsidR="00000000" w:rsidDel="00000000" w:rsidP="00000000" w:rsidRDefault="00000000" w:rsidRPr="00000000" w14:paraId="00000006">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07">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1.  Terrorism as a Political Instrument: The Conceptual Framework</w:t>
      </w:r>
      <w:r w:rsidDel="00000000" w:rsidR="00000000" w:rsidRPr="00000000">
        <w:rPr>
          <w:rtl w:val="0"/>
        </w:rPr>
      </w:r>
    </w:p>
    <w:p w:rsidR="00000000" w:rsidDel="00000000" w:rsidP="00000000" w:rsidRDefault="00000000" w:rsidRPr="00000000" w14:paraId="00000008">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Terrorism remains, paradoxically, one of the most extensively deployed yet least precisely defined concepts in contemporary international law and politics. Decades of academic effort and multilateral negotiation have failed to produce a single universally accepted definition not because the phenomenon itself resists description, but because its definition has always been inseparable from the interests of those who invoke it. The world did not fail to define terrorism out of conceptual confusion; it failed because the moment a definition becomes enforceable, it becomes a political instrument one that determines who is isolated, who is targeted, who is rehabilitated, and who is ultimately reintroduced to the international community as a “legitimate authority.”</w:t>
      </w:r>
      <w:r w:rsidDel="00000000" w:rsidR="00000000" w:rsidRPr="00000000">
        <w:rPr>
          <w:rtl w:val="0"/>
        </w:rPr>
      </w:r>
    </w:p>
    <w:p w:rsidR="00000000" w:rsidDel="00000000" w:rsidP="00000000" w:rsidRDefault="00000000" w:rsidRPr="00000000" w14:paraId="00000009">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1.1  What Terrorism Actually Is: Beyond the Label</w:t>
      </w:r>
      <w:r w:rsidDel="00000000" w:rsidR="00000000" w:rsidRPr="00000000">
        <w:rPr>
          <w:rtl w:val="0"/>
        </w:rPr>
      </w:r>
    </w:p>
    <w:p w:rsidR="00000000" w:rsidDel="00000000" w:rsidP="00000000" w:rsidRDefault="00000000" w:rsidRPr="00000000" w14:paraId="0000000A">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At its irreducible core, terrorism is the strategic deployment of violence or its credible threat  against civilians in order to engineer collective fear as a mechanism of political coercion. It is not simply killing; it is the architecture of terror. It operates not only through direct victims but through the psychological subjugation of entire societies: through intimidation, collective punishment, ideological mobilization, and the deliberate manufacture of a permanent climate of fear designed to render populations compliant or to impose political projects upon them by force.</w:t>
      </w:r>
      <w:r w:rsidDel="00000000" w:rsidR="00000000" w:rsidRPr="00000000">
        <w:rPr>
          <w:rtl w:val="0"/>
        </w:rPr>
      </w:r>
    </w:p>
    <w:p w:rsidR="00000000" w:rsidDel="00000000" w:rsidP="00000000" w:rsidRDefault="00000000" w:rsidRPr="00000000" w14:paraId="0000000B">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concept has evolved far beyond the image of bombers and hijackers. Contemporary terrorism encompasses transnational networks, decentralized cells, lone actors, digital propaganda ecosystems, electronic influence operations, sectarian mobilization, and algorithmically amplified hate narratives capable of converting society itself into a theater of perpetual fear. A recommendation algorithm on a social media platform can now achieve what once required an entire training infrastructure.</w:t>
      </w:r>
      <w:r w:rsidDel="00000000" w:rsidR="00000000" w:rsidRPr="00000000">
        <w:rPr>
          <w:rtl w:val="0"/>
        </w:rPr>
      </w:r>
    </w:p>
    <w:p w:rsidR="00000000" w:rsidDel="00000000" w:rsidP="00000000" w:rsidRDefault="00000000" w:rsidRPr="00000000" w14:paraId="0000000C">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1.2  The Post-September 11 Architecture and Its Selective Enforcement</w:t>
      </w:r>
      <w:r w:rsidDel="00000000" w:rsidR="00000000" w:rsidRPr="00000000">
        <w:rPr>
          <w:rtl w:val="0"/>
        </w:rPr>
      </w:r>
    </w:p>
    <w:p w:rsidR="00000000" w:rsidDel="00000000" w:rsidP="00000000" w:rsidRDefault="00000000" w:rsidRPr="00000000" w14:paraId="0000000D">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deeper systemic problem lies not in terrorism itself, but in how the international community has chosen to respond to it. The post-September 11 architecture  terrorism designations, multilateral sanctions regimes, financial surveillance systems, extraterritorial operations expanded rapidly and expansively. Yet its enforcement has never been universal, consistent, or insulated from geopolitical calculation. This is where the concept’s moral integrity began its most serious erosion.</w:t>
      </w:r>
      <w:r w:rsidDel="00000000" w:rsidR="00000000" w:rsidRPr="00000000">
        <w:rPr>
          <w:rtl w:val="0"/>
        </w:rPr>
      </w:r>
    </w:p>
    <w:p w:rsidR="00000000" w:rsidDel="00000000" w:rsidP="00000000" w:rsidRDefault="00000000" w:rsidRPr="00000000" w14:paraId="0000000E">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international system has never treated terrorism as a fixed legal standard applied evenly across actors. It has treated it as a flexible political instrument calibrated to serve shifting strategic interests. Organizations classified as terrorist at one moment become subjects of “indirect engagement” at another. Entities publicly condemned are quietly reintroduced as “pragmatic interlocutors.” Armed factions carrying documented records of atrocity are rebranded as “security partners” or “de facto governing authorities” once regional calculations change. The underlying logic, in each case, is one of power not principle.</w:t>
      </w:r>
      <w:r w:rsidDel="00000000" w:rsidR="00000000" w:rsidRPr="00000000">
        <w:rPr>
          <w:rtl w:val="0"/>
        </w:rPr>
      </w:r>
    </w:p>
    <w:p w:rsidR="00000000" w:rsidDel="00000000" w:rsidP="00000000" w:rsidRDefault="00000000" w:rsidRPr="00000000" w14:paraId="0000000F">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1.3  The Syrian Contradiction: Rebranding as Rehabilitation</w:t>
      </w:r>
      <w:r w:rsidDel="00000000" w:rsidR="00000000" w:rsidRPr="00000000">
        <w:rPr>
          <w:rtl w:val="0"/>
        </w:rPr>
      </w:r>
    </w:p>
    <w:p w:rsidR="00000000" w:rsidDel="00000000" w:rsidP="00000000" w:rsidRDefault="00000000" w:rsidRPr="00000000" w14:paraId="00000010">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Nowhere has this contradiction become more stark or more consequential than in Syria. Groups with direct organizational lineage to Al-Qaeda most prominently Jabhat al-Nusra and its successor Hay’at Tahrir al-Sham spent years executing sophisticated public rebranding campaigns: serial name changes, structural reorganization, rhetorical localization, and the performative disavowal of “global jihad.” Yet the operative question was never about nomenclature. It was always about ideological infrastructure, governance conduct, methods of coercion, and the evidentiary record of systematic abuse.</w:t>
      </w:r>
      <w:r w:rsidDel="00000000" w:rsidR="00000000" w:rsidRPr="00000000">
        <w:rPr>
          <w:rtl w:val="0"/>
        </w:rPr>
      </w:r>
    </w:p>
    <w:p w:rsidR="00000000" w:rsidDel="00000000" w:rsidP="00000000" w:rsidRDefault="00000000" w:rsidRPr="00000000" w14:paraId="00000011">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Many Syrians and human rights practitioners interpret what has unfolded as the recycling of armed factions with documented atrocity records through a Western pragmatist framework focused on “management” rather than justice. The debate within certain policy capitals has quietly ceased to ask: “Were violations committed?” It asks instead: “Can this actor be contained? Can it deliver relative stability? Can it function as a manageable security partner?” This is the operational architecture of gradual normalization:</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a1a1a"/>
          <w:sz w:val="22"/>
          <w:szCs w:val="22"/>
          <w:u w:val="none"/>
          <w:shd w:fill="auto" w:val="clear"/>
          <w:vertAlign w:val="baseline"/>
          <w:rtl w:val="0"/>
        </w:rPr>
        <w:t xml:space="preserve">Extremism is reclassified as “pragmatism.”</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a1a1a"/>
          <w:sz w:val="22"/>
          <w:szCs w:val="22"/>
          <w:u w:val="none"/>
          <w:shd w:fill="auto" w:val="clear"/>
          <w:vertAlign w:val="baseline"/>
          <w:rtl w:val="0"/>
        </w:rPr>
        <w:t xml:space="preserve">Militias are repackaged as “local governing authorities.”</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a1a1a"/>
          <w:sz w:val="22"/>
          <w:szCs w:val="22"/>
          <w:u w:val="none"/>
          <w:shd w:fill="auto" w:val="clear"/>
          <w:vertAlign w:val="baseline"/>
          <w:rtl w:val="0"/>
        </w:rPr>
        <w:t xml:space="preserve">Military-imposed facts on the ground are laundered into “political legitimacy.”</w:t>
      </w:r>
      <w:r w:rsidDel="00000000" w:rsidR="00000000" w:rsidRPr="00000000">
        <w:rPr>
          <w:rtl w:val="0"/>
        </w:rPr>
      </w:r>
    </w:p>
    <w:p w:rsidR="00000000" w:rsidDel="00000000" w:rsidP="00000000" w:rsidRDefault="00000000" w:rsidRPr="00000000" w14:paraId="00000015">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None of this, however, erases anything from the lived reality of Syrian civilians. Documented patterns of arbitrary detention, extrajudicial killing, forced displacement, systematic intimidation, coercive governance, sectarian mobilization, security repression, and the appropriation of property and resources have not ceased to exist simply because the international rhetorical register has shifted.</w:t>
      </w:r>
      <w:r w:rsidDel="00000000" w:rsidR="00000000" w:rsidRPr="00000000">
        <w:rPr>
          <w:rtl w:val="0"/>
        </w:rPr>
      </w:r>
    </w:p>
    <w:p w:rsidR="00000000" w:rsidDel="00000000" w:rsidP="00000000" w:rsidRDefault="00000000" w:rsidRPr="00000000" w14:paraId="00000016">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1.4  The Stakes for the International Order</w:t>
      </w:r>
      <w:r w:rsidDel="00000000" w:rsidR="00000000" w:rsidRPr="00000000">
        <w:rPr>
          <w:rtl w:val="0"/>
        </w:rPr>
      </w:r>
    </w:p>
    <w:p w:rsidR="00000000" w:rsidDel="00000000" w:rsidP="00000000" w:rsidRDefault="00000000" w:rsidRPr="00000000" w14:paraId="00000017">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broader precedent this approach sets is alarming: any armed group capable of imposing itself by force, enduring long enough for the international community’s attention to shift, and executing a sufficiently credible rhetorical transformation may eventually achieve graduated recognition and, ultimately, full legitimacy. In that framework, power displaces law as the source of political authority.</w:t>
      </w:r>
      <w:r w:rsidDel="00000000" w:rsidR="00000000" w:rsidRPr="00000000">
        <w:rPr>
          <w:rtl w:val="0"/>
        </w:rPr>
      </w:r>
    </w:p>
    <w:p w:rsidR="00000000" w:rsidDel="00000000" w:rsidP="00000000" w:rsidRDefault="00000000" w:rsidRPr="00000000" w14:paraId="00000018">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Unconditional normalization delivers a devastating and unambiguous message to victims: justice is deferred indefinitely, or abandoned entirely in favor of political realism. Western policymakers who advocate this approach typically invoke a predictable set of rationales  the fear of state collapse, the imperative of preventing an ISIS resurgence, the management of rival regional influence, the containment of refugee flows, or the gradual engineering of economic and security stabilization. These concerns are not without some foundation. But they do not constitute a moral or legal basis for the rehabilitation of actors responsible for mass atrocities. Ignoring documented abuses and normalizing factional governance without accountability corrodes the very concept of justice and transforms international law into a selective instrument governed by interest rather than principle.</w:t>
      </w:r>
      <w:r w:rsidDel="00000000" w:rsidR="00000000" w:rsidRPr="00000000">
        <w:rPr>
          <w:rtl w:val="0"/>
        </w:rPr>
      </w:r>
    </w:p>
    <w:p w:rsidR="00000000" w:rsidDel="00000000" w:rsidP="00000000" w:rsidRDefault="00000000" w:rsidRPr="00000000" w14:paraId="00000019">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question before the international community is no longer theoretical. It is foundational:</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a1a1a"/>
          <w:sz w:val="22"/>
          <w:szCs w:val="22"/>
          <w:u w:val="none"/>
          <w:shd w:fill="auto" w:val="clear"/>
          <w:vertAlign w:val="baseline"/>
          <w:rtl w:val="0"/>
        </w:rPr>
        <w:t xml:space="preserve">Is terrorism defined by conduct and consistent legal standards or by political utility and strategic convenience?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80" w:line="300"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1a1a1a"/>
          <w:sz w:val="22"/>
          <w:szCs w:val="22"/>
          <w:u w:val="none"/>
          <w:shd w:fill="auto" w:val="clear"/>
          <w:vertAlign w:val="baseline"/>
          <w:rtl w:val="0"/>
        </w:rPr>
        <w:t xml:space="preserve">Are all actors judged by the same principles 2014 or can some migrate from the category of 201cterrorism201d to the category of 201clegitimacy201d simply because geopolitical balances have shifted?</w:t>
      </w:r>
      <w:r w:rsidDel="00000000" w:rsidR="00000000" w:rsidRPr="00000000">
        <w:rPr>
          <w:rtl w:val="0"/>
        </w:rPr>
      </w:r>
    </w:p>
    <w:p w:rsidR="00000000" w:rsidDel="00000000" w:rsidP="00000000" w:rsidRDefault="00000000" w:rsidRPr="00000000" w14:paraId="0000001C">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That contradiction is now perceived with exceptional clarity by a growing body of observers not only in Syria, but across the architecture of the international order itself.</w:t>
      </w:r>
      <w:r w:rsidDel="00000000" w:rsidR="00000000" w:rsidRPr="00000000">
        <w:rPr>
          <w:rtl w:val="0"/>
        </w:rPr>
      </w:r>
    </w:p>
    <w:p w:rsidR="00000000" w:rsidDel="00000000" w:rsidP="00000000" w:rsidRDefault="00000000" w:rsidRPr="00000000" w14:paraId="0000001D">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1E">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2.  Introduction: The Diplomatic Rehabilitation Campaign and the Facade of Reform</w:t>
      </w:r>
      <w:r w:rsidDel="00000000" w:rsidR="00000000" w:rsidRPr="00000000">
        <w:rPr>
          <w:rtl w:val="0"/>
        </w:rPr>
      </w:r>
    </w:p>
    <w:p w:rsidR="00000000" w:rsidDel="00000000" w:rsidP="00000000" w:rsidRDefault="00000000" w:rsidRPr="00000000" w14:paraId="0000001F">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precipitous collapse of the Assad regime in December 2024 initiated what U.S. Envoy to Syria Tom Barrack described as a “historic transition,” triggering an unprecedented international rehabilitation effort centered on the newly installed President Ahmed al-Sharaa. The momentum of this rebranding culminated in al-Sharaa’s attendance at the United Nations General Assembly in September 2025, where he met directly with U.S. Secretary of State Marco Rubio, followed by a landmark visit to Washington in November 2025 to meet with President Donald Trump encounters that would have been unthinkable under his prior designation as the head of a listed terrorist organization.</w:t>
      </w:r>
      <w:r w:rsidDel="00000000" w:rsidR="00000000" w:rsidRPr="00000000">
        <w:rPr>
          <w:rtl w:val="0"/>
        </w:rPr>
      </w:r>
    </w:p>
    <w:p w:rsidR="00000000" w:rsidDel="00000000" w:rsidP="00000000" w:rsidRDefault="00000000" w:rsidRPr="00000000" w14:paraId="00000020">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rehabilitation was materially advanced by President Trump’s May 2025 declaration of intent to lift sanctions on Syria in order to provide what he characterized as a “fresh start.” The U.S. State Department subsequently issued 180-day waivers for secondary sanctions under the Caesar Act and formally revoked the Foreign Terrorist Organization designation of al-Sharaa’s former armed group, Hay’at Tahrir al-Sham, in July 2025. Canada moved even further, preemptively removing Syria from its list of state supporters of terrorism in December 2025.</w:t>
      </w:r>
      <w:r w:rsidDel="00000000" w:rsidR="00000000" w:rsidRPr="00000000">
        <w:rPr>
          <w:rtl w:val="0"/>
        </w:rPr>
      </w:r>
    </w:p>
    <w:p w:rsidR="00000000" w:rsidDel="00000000" w:rsidP="00000000" w:rsidRDefault="00000000" w:rsidRPr="00000000" w14:paraId="00000021">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one remaining obstacle to full international normalization is the United States’ State Sponsor of Terrorism designation a classification Syria has held continuously since 1979. A coordinated network of policy analysts, corporate lobbying interests, and regional advocates has begun mounting an aggressive campaign for its immediate removal. Proponents, including analysts at the Middle East Institute, frame the SST designation as an archaic regulatory chokepoint that paralyzes foreign direct investment, severs access to global banking infrastructure, and prolongs the suffering of the Syrian population.</w:t>
      </w:r>
      <w:r w:rsidDel="00000000" w:rsidR="00000000" w:rsidRPr="00000000">
        <w:rPr>
          <w:rtl w:val="0"/>
        </w:rPr>
      </w:r>
    </w:p>
    <w:p w:rsidR="00000000" w:rsidDel="00000000" w:rsidP="00000000" w:rsidRDefault="00000000" w:rsidRPr="00000000" w14:paraId="00000022">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paper argues that the push to delist Syria rests on a fundamentally dangerous “stability first” fallacy. By treating a profound question of governance legitimacy, accountability, and structural transformation as a superficial “labeling” problem, normalization advocates obscure the profound behavioral and institutional deficits of the al-Sharaa government. Through a systematic analysis of the transitional government’s empirical record</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2"/>
          <w:szCs w:val="22"/>
          <w:rtl w:val="0"/>
        </w:rPr>
        <w:t xml:space="preserve">encompassing state-sponsored violence against minority populations, the predatory design of its new investment framework (Investment Law No. 114), and its active destabilization of counter-terrorism infrastructure this paper demonstrates why retaining the SST designation remains both a strategic and moral necessity.</w:t>
      </w:r>
      <w:r w:rsidDel="00000000" w:rsidR="00000000" w:rsidRPr="00000000">
        <w:rPr>
          <w:rtl w:val="0"/>
        </w:rPr>
      </w:r>
    </w:p>
    <w:p w:rsidR="00000000" w:rsidDel="00000000" w:rsidP="00000000" w:rsidRDefault="00000000" w:rsidRPr="00000000" w14:paraId="00000023">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24">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3.  Deconstructing the Normalization Arguments: A Critical Analysis of the Al-Monitor Thesis</w:t>
      </w:r>
      <w:r w:rsidDel="00000000" w:rsidR="00000000" w:rsidRPr="00000000">
        <w:rPr>
          <w:rtl w:val="0"/>
        </w:rPr>
      </w:r>
    </w:p>
    <w:p w:rsidR="00000000" w:rsidDel="00000000" w:rsidP="00000000" w:rsidRDefault="00000000" w:rsidRPr="00000000" w14:paraId="00000025">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contemporary campaign to remove Syria from the SST list has found its clearest articulation in Elizabeth Hagedorn’s May 2026 Al-Monitor report, “After sanctions relief, what still keeps Syria on the U.S. list of State Sponsors of Terrorism?” Hagedorn’s central thesis holds that maintaining the designation freezes potential investment, complicates the entry of American and international corporations, and drives Syria further into China’s geopolitical orbit. She argues that removal is ultimately a political decision requiring nothing more than Secretary of State Marco Rubio’s signature, rather than a statutory hurdle of substantial legal complexity. The report structures its case around four primary claims, each of which warrants careful examination.</w:t>
      </w:r>
      <w:r w:rsidDel="00000000" w:rsidR="00000000" w:rsidRPr="00000000">
        <w:rPr>
          <w:rtl w:val="0"/>
        </w:rPr>
      </w:r>
    </w:p>
    <w:p w:rsidR="00000000" w:rsidDel="00000000" w:rsidP="00000000" w:rsidRDefault="00000000" w:rsidRPr="00000000" w14:paraId="00000026">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3.1  Behavior versus Classification: The Institutional Credibility Fallacy</w:t>
      </w:r>
      <w:r w:rsidDel="00000000" w:rsidR="00000000" w:rsidRPr="00000000">
        <w:rPr>
          <w:rtl w:val="0"/>
        </w:rPr>
      </w:r>
    </w:p>
    <w:p w:rsidR="00000000" w:rsidDel="00000000" w:rsidP="00000000" w:rsidRDefault="00000000" w:rsidRPr="00000000" w14:paraId="00000027">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most fundamental flaw in the Al-Monitor framing is that it treats the SST designation primarily as a matter of classification, when it is in reality a matter of behavior, institutional trust, and sovereign credibility. The report correctly notes that the designation imposes legal and psychological costs on investment. It fails, however, to account for the most basic insight of political economy: investors do not flee primarily because of legal labels. They flee because of the objective environment those labels reflect — fragile institutions, contested governance authority, unresolved insecurity, state-sponsored violence, and profound uncertainty regarding who actually controls decision-making and whether agreements can be enforced. Delisting a country does not alter the underlying risk calculus; it merely strips away a formal signal that encodes that reality for international financial institutions.</w:t>
      </w:r>
      <w:r w:rsidDel="00000000" w:rsidR="00000000" w:rsidRPr="00000000">
        <w:rPr>
          <w:rtl w:val="0"/>
        </w:rPr>
      </w:r>
    </w:p>
    <w:p w:rsidR="00000000" w:rsidDel="00000000" w:rsidP="00000000" w:rsidRDefault="00000000" w:rsidRPr="00000000" w14:paraId="00000028">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3.2  The Danger of Enabling Unreformed Extremist Infrastructure</w:t>
      </w:r>
      <w:r w:rsidDel="00000000" w:rsidR="00000000" w:rsidRPr="00000000">
        <w:rPr>
          <w:rtl w:val="0"/>
        </w:rPr>
      </w:r>
    </w:p>
    <w:p w:rsidR="00000000" w:rsidDel="00000000" w:rsidP="00000000" w:rsidRDefault="00000000" w:rsidRPr="00000000" w14:paraId="00000029">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report moves too quickly past the most consequential concern: the risks of empowering jihadist networks — whether in their political or military forms — before any credible structural transformation has occurred. Hagedorn’s own analysis acknowledges that the current transitional leadership emerged directly from an extremist organization and that sectarian violence against Alawite, Kurdish, and Druze populations has been carried out by Islamist factions closely linked to the emerging authority. These are not peripheral details or administrative footnotes; they are central to the entire policy debate. Any normalization argument that fails to seriously address whether the jihadist organizational infrastructure has been genuinely dismantled rather than merely rebranded, cosmetically restructured, and juridically laundered tilts systematically toward economic facilitation at the direct expense of legitimacy, security, accountability, and justice.</w:t>
      </w:r>
      <w:r w:rsidDel="00000000" w:rsidR="00000000" w:rsidRPr="00000000">
        <w:rPr>
          <w:rtl w:val="0"/>
        </w:rPr>
      </w:r>
    </w:p>
    <w:p w:rsidR="00000000" w:rsidDel="00000000" w:rsidP="00000000" w:rsidRDefault="00000000" w:rsidRPr="00000000" w14:paraId="0000002A">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3.3  The Overstatement of External Lobbies</w:t>
      </w:r>
      <w:r w:rsidDel="00000000" w:rsidR="00000000" w:rsidRPr="00000000">
        <w:rPr>
          <w:rtl w:val="0"/>
        </w:rPr>
      </w:r>
    </w:p>
    <w:p w:rsidR="00000000" w:rsidDel="00000000" w:rsidP="00000000" w:rsidRDefault="00000000" w:rsidRPr="00000000" w14:paraId="0000002B">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report overstates the explanatory weight of external lobbies and Israeli strategic pressure while systematically understating the centrality of Syria’s own internal conditions. Geopolitical calculations undeniably exist, but not every expression of international hesitation is reducible to conspiracy or external manipulation. In many</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2"/>
          <w:szCs w:val="22"/>
          <w:rtl w:val="0"/>
        </w:rPr>
        <w:t xml:space="preserve">cases, Washington’s caution reflects real, documented conditions on the ground conditions that the transitional government itself has produced. If the new Syrian authorities seek genuine international confidence, the benchmark cannot be reduced to complaints about the persistence of sanctions. They must demonstrate a verifiable break from militia-based governance, armed patronage networks, warlord economy dynamics, and coercive systems of rule. Without that transformation, discussions about investment facilitation are structurally analogous to applying fresh paint to a building with compromised foundations.</w:t>
      </w:r>
      <w:r w:rsidDel="00000000" w:rsidR="00000000" w:rsidRPr="00000000">
        <w:rPr>
          <w:rtl w:val="0"/>
        </w:rPr>
      </w:r>
    </w:p>
    <w:p w:rsidR="00000000" w:rsidDel="00000000" w:rsidP="00000000" w:rsidRDefault="00000000" w:rsidRPr="00000000" w14:paraId="0000002C">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3.4  The “China Vacuum” Framework and Its Analytical Limits</w:t>
      </w:r>
      <w:r w:rsidDel="00000000" w:rsidR="00000000" w:rsidRPr="00000000">
        <w:rPr>
          <w:rtl w:val="0"/>
        </w:rPr>
      </w:r>
    </w:p>
    <w:p w:rsidR="00000000" w:rsidDel="00000000" w:rsidP="00000000" w:rsidRDefault="00000000" w:rsidRPr="00000000" w14:paraId="0000002D">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report’s invocation of the “China will fill the vacuum” argument deploys a real concern as a form of strategic coercion, as though the threat of Chinese market entry should override Washington’s counter-terrorism and human rights standards. The framework is incomplete because it mistakes speed of market entry for quality of structural outcome. The relevant question is not who enters the Syrian market first, but under what legal and ethical conditions they operate and with what long-term implications for Syrian sovereignty and institutional development.</w:t>
      </w:r>
      <w:r w:rsidDel="00000000" w:rsidR="00000000" w:rsidRPr="00000000">
        <w:rPr>
          <w:rtl w:val="0"/>
        </w:rPr>
      </w:r>
    </w:p>
    <w:p w:rsidR="00000000" w:rsidDel="00000000" w:rsidP="00000000" w:rsidRDefault="00000000" w:rsidRPr="00000000" w14:paraId="0000002E">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entry of any external power into a deeply weakened and institutionally fragmented state does not automatically produce recovery. It may instead reproduce structural dependency through debt leverage, infrastructure control, technological lock-in, and asymmetric influence particularly when the local state remains penetrated by competing power structures. The correct analytical frame is therefore not “the West or China,” but rather: does Syria possess a functioning, law-governed state with sovereign institutions capable of engaging external partners from a position of stable independence, or does it merely possess an authority seeking rapid international legitimacy at any available cost?</w:t>
      </w:r>
      <w:r w:rsidDel="00000000" w:rsidR="00000000" w:rsidRPr="00000000">
        <w:rPr>
          <w:rtl w:val="0"/>
        </w:rPr>
      </w:r>
    </w:p>
    <w:p w:rsidR="00000000" w:rsidDel="00000000" w:rsidP="00000000" w:rsidRDefault="00000000" w:rsidRPr="00000000" w14:paraId="0000002F">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Al-Monitor article is persuasive in describing the economic consequences of sustained sanctions exposure. It is fundamentally inadequate, however, in its political and moral architecture. It seeks delisting before accountability, investment before demonstrated stability, and international legitimacy before any credible break from jihadist violence and factional governance. This is the definitive flaw in this entire genre of analysis: it converts a question of international security, transitional justice, and victims’ rights into a matter of technocratic business facilitation. The real danger is not that Syria remains on the terrorism list. The greater danger is the normalization of transferring state power to actors who have demonstrated the pathologies of factionalism, militarization, and coercive competition and then requiring the international community to absorb the consequences.</w:t>
      </w:r>
      <w:r w:rsidDel="00000000" w:rsidR="00000000" w:rsidRPr="00000000">
        <w:rPr>
          <w:rtl w:val="0"/>
        </w:rPr>
      </w:r>
    </w:p>
    <w:p w:rsidR="00000000" w:rsidDel="00000000" w:rsidP="00000000" w:rsidRDefault="00000000" w:rsidRPr="00000000" w14:paraId="00000030">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1">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4.  The Empirical Reality of State-Sponsored Violence</w:t>
      </w:r>
      <w:r w:rsidDel="00000000" w:rsidR="00000000" w:rsidRPr="00000000">
        <w:rPr>
          <w:rtl w:val="0"/>
        </w:rPr>
      </w:r>
    </w:p>
    <w:p w:rsidR="00000000" w:rsidDel="00000000" w:rsidP="00000000" w:rsidRDefault="00000000" w:rsidRPr="00000000" w14:paraId="00000032">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assumption that the al-Sharaa government has completed a meaningful transition from armed insurgency to responsible sovereign authority is contradicted at every turn by a well-documented pattern of systematic, identity-based violence targeting minority populations. The United Nations Independent International Commission of Inquiry on Syria, Amnesty International, and the Syrian Network for Human Rights have extensively and independently documented these state-sponsored atrocities.</w:t>
      </w:r>
      <w:r w:rsidDel="00000000" w:rsidR="00000000" w:rsidRPr="00000000">
        <w:rPr>
          <w:rtl w:val="0"/>
        </w:rPr>
      </w:r>
    </w:p>
    <w:p w:rsidR="00000000" w:rsidDel="00000000" w:rsidP="00000000" w:rsidRDefault="00000000" w:rsidRPr="00000000" w14:paraId="00000033">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4.1  The Coastal Alawite Massacres: March 2025</w:t>
      </w:r>
      <w:r w:rsidDel="00000000" w:rsidR="00000000" w:rsidRPr="00000000">
        <w:rPr>
          <w:rtl w:val="0"/>
        </w:rPr>
      </w:r>
    </w:p>
    <w:p w:rsidR="00000000" w:rsidDel="00000000" w:rsidP="00000000" w:rsidRDefault="00000000" w:rsidRPr="00000000" w14:paraId="00000034">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In March 2025, forces operating under the direct authority of the transitional Ministry of Defense incorporating heavily integrated elements of the former Syrian National Army launched organized retaliatory campaigns across the Alawite-majority coastal governorates. Armed groups conducted systematic house-to-house operations, interrogated residents specifically regarding their sectarian identity, and executed those who identified as Alawite. The Syrian Network for Human Rights documented 887 deaths caused by government-aligned forces. In Banias alone, Amnesty International documented the systematic execution of more than 100 civilians acts it unequivocally classified as war crimes. The government’s public assurances that its security campaigns are non-sectarian and targeted exclusively at former regime operatives were comprehensively undermined by these operations, leaving the Alawite community both deeply traumatized and effectively excluded from the new state apparatus.</w:t>
      </w:r>
      <w:r w:rsidDel="00000000" w:rsidR="00000000" w:rsidRPr="00000000">
        <w:rPr>
          <w:rtl w:val="0"/>
        </w:rPr>
      </w:r>
    </w:p>
    <w:p w:rsidR="00000000" w:rsidDel="00000000" w:rsidP="00000000" w:rsidRDefault="00000000" w:rsidRPr="00000000" w14:paraId="00000035">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4.2  The Suwayda Massacres: July 2025</w:t>
      </w:r>
      <w:r w:rsidDel="00000000" w:rsidR="00000000" w:rsidRPr="00000000">
        <w:rPr>
          <w:rtl w:val="0"/>
        </w:rPr>
      </w:r>
    </w:p>
    <w:p w:rsidR="00000000" w:rsidDel="00000000" w:rsidP="00000000" w:rsidRDefault="00000000" w:rsidRPr="00000000" w14:paraId="00000036">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pattern of sectarian violence was replicated on a catastrophic scale in the southern, Druze-majority governorate of Suwayda in July 2025. The UN Commission of Inquiry documented that the Syrian Arab Army, Internal Security Forces, and aligned tribal militias conducted a centralized military operation characterized by extreme and systematic brutality. Government forces methodically separated Druze men and boys from their families and conducted extrajudicial executions in public squares, schools, and hospitals. Tribal fighters and government soldiers then systematically looted and burned virtually every home across 35 predominantly Druze or mixed villages. The UN COI confirmed more than 1,707 total fatalities. The operation forcibly displaced nearly 200,000 people, effectively depopulating the entire region a demographic transformation bearing all the characteristics of a deliberate ethnic cleansing campaign.</w:t>
      </w:r>
      <w:r w:rsidDel="00000000" w:rsidR="00000000" w:rsidRPr="00000000">
        <w:rPr>
          <w:rtl w:val="0"/>
        </w:rPr>
      </w:r>
    </w:p>
    <w:p w:rsidR="00000000" w:rsidDel="00000000" w:rsidP="00000000" w:rsidRDefault="00000000" w:rsidRPr="00000000" w14:paraId="00000037">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4.3  The Politics of Sanitizing State Atrocities</w:t>
      </w:r>
      <w:r w:rsidDel="00000000" w:rsidR="00000000" w:rsidRPr="00000000">
        <w:rPr>
          <w:rtl w:val="0"/>
        </w:rPr>
      </w:r>
    </w:p>
    <w:p w:rsidR="00000000" w:rsidDel="00000000" w:rsidP="00000000" w:rsidRDefault="00000000" w:rsidRPr="00000000" w14:paraId="00000038">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A particularly troubling dimension of these events has been the political framing deployed by certain Western policy analysts to insulate the central government from accountability. Prominent voices, including Charles Lister, have advanced a “narcotics and treason” narrative that frames the Suwayda massacres as a legitimate counter-narcotics and counter-insurgency response to an “Israel-backed” Captagon cartel allegedly operated by local Druze militias.</w:t>
      </w:r>
      <w:r w:rsidDel="00000000" w:rsidR="00000000" w:rsidRPr="00000000">
        <w:rPr>
          <w:rtl w:val="0"/>
        </w:rPr>
      </w:r>
    </w:p>
    <w:p w:rsidR="00000000" w:rsidDel="00000000" w:rsidP="00000000" w:rsidRDefault="00000000" w:rsidRPr="00000000" w14:paraId="00000039">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narrative serves a strategically problematic function. It provides a “national security” justification for centralized violence against a marginalized civilian population, effectively whitewashing documented war crimes by characterizing victims as foreign-shielded criminal actors. It redirects international attention from state atrocities toward border security discourse. And it engages in profound sectarian gaslighting by ignoring the decades of authoritarian marginalization that compelled these communities to develop local self-defense structures in the first place. Delisting a government that relies on such violence, while its international interlocutors sanitize its crimes in Western policy circles, would constitute de facto validation of ethnic cleansing as an instrument of state consolidation.</w:t>
      </w:r>
      <w:r w:rsidDel="00000000" w:rsidR="00000000" w:rsidRPr="00000000">
        <w:rPr>
          <w:rtl w:val="0"/>
        </w:rPr>
      </w:r>
    </w:p>
    <w:p w:rsidR="00000000" w:rsidDel="00000000" w:rsidP="00000000" w:rsidRDefault="00000000" w:rsidRPr="00000000" w14:paraId="0000003A">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4.4  Institutionalized Impunity and the Failure of Transitional Justice</w:t>
      </w:r>
      <w:r w:rsidDel="00000000" w:rsidR="00000000" w:rsidRPr="00000000">
        <w:rPr>
          <w:rtl w:val="0"/>
        </w:rPr>
      </w:r>
    </w:p>
    <w:p w:rsidR="00000000" w:rsidDel="00000000" w:rsidP="00000000" w:rsidRDefault="00000000" w:rsidRPr="00000000" w14:paraId="0000003B">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broader architecture of transitional justice under the interim government remains comprehensively compromised. While the government has established superficial accountability mechanisms councils for civil peace, nominal war crimes bodies structural impunity pervades the entire security apparatus. The government has systematically integrated warlords and militia commanders implicated in atrocities into the formal security framework, on the explicit rationale of maintaining stability. A particularly egregious example is the formal integration of Fadi Saqr, the former National Defense Force Commander in Damascus, into the state structure. This pattern signals unambiguously that political expediency supersedes justice, alienates victimized communities from any credible state-building project, and thoroughly erodes public trust in any future judicial process.</w:t>
      </w:r>
      <w:r w:rsidDel="00000000" w:rsidR="00000000" w:rsidRPr="00000000">
        <w:rPr>
          <w:rtl w:val="0"/>
        </w:rPr>
      </w:r>
    </w:p>
    <w:p w:rsidR="00000000" w:rsidDel="00000000" w:rsidP="00000000" w:rsidRDefault="00000000" w:rsidRPr="00000000" w14:paraId="0000003C">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3D">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5.  The Political Economy of the “New” Syria: Investment Law No. 114</w:t>
      </w:r>
      <w:r w:rsidDel="00000000" w:rsidR="00000000" w:rsidRPr="00000000">
        <w:rPr>
          <w:rtl w:val="0"/>
        </w:rPr>
      </w:r>
    </w:p>
    <w:p w:rsidR="00000000" w:rsidDel="00000000" w:rsidP="00000000" w:rsidRDefault="00000000" w:rsidRPr="00000000" w14:paraId="0000003E">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central narrative that lifting the SST designation will unlock a transformative wave of free-market investment to rescue the Syrian economy is systematically undermined by the government’s own legislative choices. The cornerstone of the state’s economic restructuring is Investment Law No. 114, enacted by presidential decree in June 2025 and aggressively promoted by Syrian Investment Authority Chairman Talal al-Hilali at investment forums in London and other international financial centers.</w:t>
      </w:r>
      <w:r w:rsidDel="00000000" w:rsidR="00000000" w:rsidRPr="00000000">
        <w:rPr>
          <w:rtl w:val="0"/>
        </w:rPr>
      </w:r>
    </w:p>
    <w:p w:rsidR="00000000" w:rsidDel="00000000" w:rsidP="00000000" w:rsidRDefault="00000000" w:rsidRPr="00000000" w14:paraId="0000003F">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5.1  A Framework Engineered for Oligarchy</w:t>
      </w:r>
      <w:r w:rsidDel="00000000" w:rsidR="00000000" w:rsidRPr="00000000">
        <w:rPr>
          <w:rtl w:val="0"/>
        </w:rPr>
      </w:r>
    </w:p>
    <w:p w:rsidR="00000000" w:rsidDel="00000000" w:rsidP="00000000" w:rsidRDefault="00000000" w:rsidRPr="00000000" w14:paraId="00000040">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Rather than democratizing economic access or creating competitive market conditions, Law 114 is a sophisticated mechanism engineered to construct a new, regime-aligned oligarchy while stripping the state of its sovereign fiscal capacity. The law grants extraordinary, open-ended concessions: permanent income tax exemptions for agricultural projects, tax reductions of up to 80 percent for priority industrial sectors, complete customs exemptions, unrestricted foreign ownership rights, and unconditional profit repatriation. Unlike the conditional and time-limited investment frameworks deployed in comparable post-conflict transitions, these exemptions are designed to be permanent. By conferring them across the economy’s most lucrative sectors, the state has effectively sold its future sovereign revenue stream to foreign investors and politically connected elites a long-term privatization of the Syrian state’s fiscal foundation itself.</w:t>
      </w:r>
      <w:r w:rsidDel="00000000" w:rsidR="00000000" w:rsidRPr="00000000">
        <w:rPr>
          <w:rtl w:val="0"/>
        </w:rPr>
      </w:r>
    </w:p>
    <w:p w:rsidR="00000000" w:rsidDel="00000000" w:rsidP="00000000" w:rsidRDefault="00000000" w:rsidRPr="00000000" w14:paraId="00000041">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5.2  Centralization of Economic Power in the Presidential Palace</w:t>
      </w:r>
      <w:r w:rsidDel="00000000" w:rsidR="00000000" w:rsidRPr="00000000">
        <w:rPr>
          <w:rtl w:val="0"/>
        </w:rPr>
      </w:r>
    </w:p>
    <w:p w:rsidR="00000000" w:rsidDel="00000000" w:rsidP="00000000" w:rsidRDefault="00000000" w:rsidRPr="00000000" w14:paraId="00000042">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More insidiously, the law concentrates economic power decisively within the presidential palace. It established the Supreme Council for Economic Development, an opaque institution with unilateral authority to allocate state-owned land Syria’s single most valuable category of public asset. The Syrian Investment Authority simultaneously controls the licensing architecture, determining which investors qualify for operational permits and the law’s massive tax concessions.</w:t>
      </w:r>
      <w:r w:rsidDel="00000000" w:rsidR="00000000" w:rsidRPr="00000000">
        <w:rPr>
          <w:rtl w:val="0"/>
        </w:rPr>
      </w:r>
    </w:p>
    <w:p w:rsidR="00000000" w:rsidDel="00000000" w:rsidP="00000000" w:rsidRDefault="00000000" w:rsidRPr="00000000" w14:paraId="00000043">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centralized licensing structure ensures that market access is entirely contingent on demonstrated political loyalty to Damascus</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2"/>
          <w:szCs w:val="22"/>
          <w:rtl w:val="0"/>
        </w:rPr>
        <w:t xml:space="preserve">a precise replication of the state-mediated market access model that characterized the Assad era at its most predatory. The transitional government’s economic statecraft defined by slashed domestic subsidies, rapid privatization of state enterprises, and the centralization of sovereign contracts within the executive demonstrates profound structural continuity with the kleptocratic political economy of the ancien régime. The practical effect is what might be termed the “Idlibisation” of the national economy: the conversion of wartime economic networks, smuggling operations, and militia commanders into formally legitimate corporate actors. Law 114 does not displace the Assad-era oligarchy; it replaces it with a new class of loyalists drawn from the insurgency.</w:t>
      </w:r>
      <w:r w:rsidDel="00000000" w:rsidR="00000000" w:rsidRPr="00000000">
        <w:rPr>
          <w:rtl w:val="0"/>
        </w:rPr>
      </w:r>
    </w:p>
    <w:p w:rsidR="00000000" w:rsidDel="00000000" w:rsidP="00000000" w:rsidRDefault="00000000" w:rsidRPr="00000000" w14:paraId="00000044">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5">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6.  Sovereign Privatization and the Resurgence of Crony Capitalism</w:t>
      </w:r>
      <w:r w:rsidDel="00000000" w:rsidR="00000000" w:rsidRPr="00000000">
        <w:rPr>
          <w:rtl w:val="0"/>
        </w:rPr>
      </w:r>
    </w:p>
    <w:p w:rsidR="00000000" w:rsidDel="00000000" w:rsidP="00000000" w:rsidRDefault="00000000" w:rsidRPr="00000000" w14:paraId="00000046">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Notwithstanding the formal constraints of the SST designation, the Syrian government is aggressively privatizing sovereign assets and transferring them to a new class of oligarchs with deep and deliberately opaque ties to the presidency. These transactions directly leverage the predatory concessions of Law 114 and expose a system of entrenched corruption that is fundamentally irreconcilable with the international narrative of a stabilizing, reform-oriented Syria.</w:t>
      </w:r>
      <w:r w:rsidDel="00000000" w:rsidR="00000000" w:rsidRPr="00000000">
        <w:rPr>
          <w:rtl w:val="0"/>
        </w:rPr>
      </w:r>
    </w:p>
    <w:p w:rsidR="00000000" w:rsidDel="00000000" w:rsidP="00000000" w:rsidRDefault="00000000" w:rsidRPr="00000000" w14:paraId="00000047">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6.1  The Al Khayyat Network and the Infrastructure Capture</w:t>
      </w:r>
      <w:r w:rsidDel="00000000" w:rsidR="00000000" w:rsidRPr="00000000">
        <w:rPr>
          <w:rtl w:val="0"/>
        </w:rPr>
      </w:r>
    </w:p>
    <w:p w:rsidR="00000000" w:rsidDel="00000000" w:rsidP="00000000" w:rsidRDefault="00000000" w:rsidRPr="00000000" w14:paraId="00000048">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primary beneficiaries of this new kleptocracy are the Al Khayyat brothers Syrian billionaires Moutaz and Ramez Al Khayyat  who lead the UCC Holding conglomerate, a subsidiary of Power International Holding. The government has granted this network extraordinary access to critical national infrastructure. In 2025 and 2026, a UCC Holding-led consortium secured a 7 billion USD agreement to develop major power generation projects across the country in partnership with Siemens Energy, accompanied by a 4 billion USD contract to expand Damascus International Airport.</w:t>
      </w:r>
      <w:r w:rsidDel="00000000" w:rsidR="00000000" w:rsidRPr="00000000">
        <w:rPr>
          <w:rtl w:val="0"/>
        </w:rPr>
      </w:r>
    </w:p>
    <w:p w:rsidR="00000000" w:rsidDel="00000000" w:rsidP="00000000" w:rsidRDefault="00000000" w:rsidRPr="00000000" w14:paraId="00000049">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These transactions expose a critical reality: the international “reconstruction” narrative is in practice an effort to subsidize and legitimize a recycled war economy. The New Arab’s investigation explicitly identified the 7 billion USD energy deal as emblematic of systemic graft, citing the opaque relationship between Moutaz al-Khayyat and the transitional government. The allocation of major sovereign contracts appears comprehensively detached from competitive market mechanisms; in one particularly glaring instance, an Italian firm with a single employee and reported revenues of approximately 200,000 euros inexplicably secured a 2 billion USD construction contract.</w:t>
      </w:r>
      <w:r w:rsidDel="00000000" w:rsidR="00000000" w:rsidRPr="00000000">
        <w:rPr>
          <w:rtl w:val="0"/>
        </w:rPr>
      </w:r>
    </w:p>
    <w:p w:rsidR="00000000" w:rsidDel="00000000" w:rsidP="00000000" w:rsidRDefault="00000000" w:rsidRPr="00000000" w14:paraId="0000004A">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6.2  Family Consolidation at the Apex of the State</w:t>
      </w:r>
      <w:r w:rsidDel="00000000" w:rsidR="00000000" w:rsidRPr="00000000">
        <w:rPr>
          <w:rtl w:val="0"/>
        </w:rPr>
      </w:r>
    </w:p>
    <w:p w:rsidR="00000000" w:rsidDel="00000000" w:rsidP="00000000" w:rsidRDefault="00000000" w:rsidRPr="00000000" w14:paraId="0000004B">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cronyism extends directly to the apex of the state apparatus. President al-Sharaa has actively consolidated economic decision-making within his immediate family: while publicly pledging to eradicate corruption, he has elevated two of his brothers to roles overseeing foreign investment and presiding over official meetings with visiting dignitaries a pattern that has prompted serious observers to characterize his governance model as “opaque family-centric rule reminiscent of Assad.”</w:t>
      </w:r>
      <w:r w:rsidDel="00000000" w:rsidR="00000000" w:rsidRPr="00000000">
        <w:rPr>
          <w:rtl w:val="0"/>
        </w:rPr>
      </w:r>
    </w:p>
    <w:p w:rsidR="00000000" w:rsidDel="00000000" w:rsidP="00000000" w:rsidRDefault="00000000" w:rsidRPr="00000000" w14:paraId="0000004C">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6.3  The Terror Finance Dimension</w:t>
      </w:r>
      <w:r w:rsidDel="00000000" w:rsidR="00000000" w:rsidRPr="00000000">
        <w:rPr>
          <w:rtl w:val="0"/>
        </w:rPr>
      </w:r>
    </w:p>
    <w:p w:rsidR="00000000" w:rsidDel="00000000" w:rsidP="00000000" w:rsidRDefault="00000000" w:rsidRPr="00000000" w14:paraId="0000004D">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Most critically, the primary beneficiaries of this new oligarchic order are directly and inextricably linked to the extremist networks the SST designation is designed to isolate. The Al Khayyat brothers are currently defendants in a major High Court proceeding in London, where Syrian refugees allege that they utilized international banking networks to channel illicit funds directly to the al-Nusra Front the Al-Qaeda affiliate from which the transitional government’s leadership directly emerged. Normalizing a reconstruction economy dominated by alleged terror financiers, absent rigorous internationally monitored financial transparency, would enrich the newly constituted oligarchy while permanently alienating Syria’s sovereign assets to corrupt and potentially terrorist-linked actors.</w:t>
      </w:r>
      <w:r w:rsidDel="00000000" w:rsidR="00000000" w:rsidRPr="00000000">
        <w:rPr>
          <w:rtl w:val="0"/>
        </w:rPr>
      </w:r>
    </w:p>
    <w:p w:rsidR="00000000" w:rsidDel="00000000" w:rsidP="00000000" w:rsidRDefault="00000000" w:rsidRPr="00000000" w14:paraId="0000004E">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4F">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7.  The Digital Frontier: Rebutting the “China Vacuum” and Scrutinizing Financial Workarounds</w:t>
      </w:r>
      <w:r w:rsidDel="00000000" w:rsidR="00000000" w:rsidRPr="00000000">
        <w:rPr>
          <w:rtl w:val="0"/>
        </w:rPr>
      </w:r>
    </w:p>
    <w:p w:rsidR="00000000" w:rsidDel="00000000" w:rsidP="00000000" w:rsidRDefault="00000000" w:rsidRPr="00000000" w14:paraId="00000050">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7.1  The Telecom Dependency Argument</w:t>
      </w:r>
      <w:r w:rsidDel="00000000" w:rsidR="00000000" w:rsidRPr="00000000">
        <w:rPr>
          <w:rtl w:val="0"/>
        </w:rPr>
      </w:r>
    </w:p>
    <w:p w:rsidR="00000000" w:rsidDel="00000000" w:rsidP="00000000" w:rsidRDefault="00000000" w:rsidRPr="00000000" w14:paraId="00000051">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A major argument deployed by proponents of delisting is the “China Vacuum” thesis — the assertion that Western sanctions effectively compel Syria to rely entirely on Chinese telecommunications infrastructure, generating a severe long-term national security vulnerability for the United States. It is empirically accurate that Huawei and ZTE currently control more than 50 percent of the critical network infrastructure utilized by Syriatel and MTN, Syria’s primary telecom operators, and that a U.S. State Department delegation explicitly warned Syria’s Communications Minister against deepening this technological dependency in early 2026.</w:t>
      </w:r>
      <w:r w:rsidDel="00000000" w:rsidR="00000000" w:rsidRPr="00000000">
        <w:rPr>
          <w:rtl w:val="0"/>
        </w:rPr>
      </w:r>
    </w:p>
    <w:p w:rsidR="00000000" w:rsidDel="00000000" w:rsidP="00000000" w:rsidRDefault="00000000" w:rsidRPr="00000000" w14:paraId="00000052">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However, the conclusion that the United States must therefore abandon its counter-terrorism and human rights frameworks to “compete” in the Syrian market is analytically unsound. The operative question is not who enters the market first, but under what conditions they operate and with what implications for Syrian institutional development. Injecting Western capital into a fractured, non-transparent state does not inherently build Syrian sovereignty; it may instead require the international community to underwrite an unaccountable authority. Furthermore, regional actors are already providing viable alternatives to Chinese technological dominance without requiring the U.S. to remove the SST designation: regional telecommunications conglomerates announced an 800 million USD investment in Syrian network infrastructure in February 2026.</w:t>
      </w:r>
      <w:r w:rsidDel="00000000" w:rsidR="00000000" w:rsidRPr="00000000">
        <w:rPr>
          <w:rtl w:val="0"/>
        </w:rPr>
      </w:r>
    </w:p>
    <w:p w:rsidR="00000000" w:rsidDel="00000000" w:rsidP="00000000" w:rsidRDefault="00000000" w:rsidRPr="00000000" w14:paraId="00000053">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7.2  Digital Payment Integration and the Digitization of Kleptocracy</w:t>
      </w:r>
      <w:r w:rsidDel="00000000" w:rsidR="00000000" w:rsidRPr="00000000">
        <w:rPr>
          <w:rtl w:val="0"/>
        </w:rPr>
      </w:r>
    </w:p>
    <w:p w:rsidR="00000000" w:rsidDel="00000000" w:rsidP="00000000" w:rsidRDefault="00000000" w:rsidRPr="00000000" w14:paraId="00000054">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Simultaneously, the Syrian government is aggressively engineering digital financial workarounds designed to bypass the isolation the SST designation is intended to impose. Following the Central Bank’s May 2026 decision authorizing international electronic payment companies to operate within Syria, Mastercard and Visa formally resumed transaction processing, ending a 15-year exclusion from global payment networks. Qatar National Bank immediately leveraged this integration, becoming the first international bank to enable global payment card acceptance within the country, coinciding with the launch of the local “Paymera” network.</w:t>
      </w:r>
      <w:r w:rsidDel="00000000" w:rsidR="00000000" w:rsidRPr="00000000">
        <w:rPr>
          <w:rtl w:val="0"/>
        </w:rPr>
      </w:r>
    </w:p>
    <w:p w:rsidR="00000000" w:rsidDel="00000000" w:rsidP="00000000" w:rsidRDefault="00000000" w:rsidRPr="00000000" w14:paraId="00000055">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While the Central Bank frames these developments as a modernization initiative aimed at reducing cash dependency, this framing systematically obscures the fundamental problem: global financial institutions’ hesitation is not primarily a product of the SST label. It reflects the systemic inability to trace ultimate corporate ownership structures or guarantee meaningful compliance against illicit financial flows — of precisely the type allegedly facilitated by the Al Khayyat network. Expanding digital payment access without enforcing structural financial transparency does not liberalize the Syrian economy; it digitizes the kleptocracy.</w:t>
      </w:r>
      <w:r w:rsidDel="00000000" w:rsidR="00000000" w:rsidRPr="00000000">
        <w:rPr>
          <w:rtl w:val="0"/>
        </w:rPr>
      </w:r>
    </w:p>
    <w:p w:rsidR="00000000" w:rsidDel="00000000" w:rsidP="00000000" w:rsidRDefault="00000000" w:rsidRPr="00000000" w14:paraId="00000056">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57">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8.  The Security Deficit and the Looming Resurgence of Extremism</w:t>
      </w:r>
      <w:r w:rsidDel="00000000" w:rsidR="00000000" w:rsidRPr="00000000">
        <w:rPr>
          <w:rtl w:val="0"/>
        </w:rPr>
      </w:r>
    </w:p>
    <w:p w:rsidR="00000000" w:rsidDel="00000000" w:rsidP="00000000" w:rsidRDefault="00000000" w:rsidRPr="00000000" w14:paraId="00000058">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8.1  The Offensive Against the Syrian Democratic Forces</w:t>
      </w:r>
      <w:r w:rsidDel="00000000" w:rsidR="00000000" w:rsidRPr="00000000">
        <w:rPr>
          <w:rtl w:val="0"/>
        </w:rPr>
      </w:r>
    </w:p>
    <w:p w:rsidR="00000000" w:rsidDel="00000000" w:rsidP="00000000" w:rsidRDefault="00000000" w:rsidRPr="00000000" w14:paraId="00000059">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final and most consequential risk generated by the premature normalization push is the severe security deficit produced by the al-Sharaa government’s pursuit of absolute territorial hegemony at the direct expense of counter-terrorism infrastructure. In December 2025 and January 2026, government forces launched a large-scale military offensive into northeastern Syria aimed at dismantling the autonomy of the U.S.-backed, Kurdish-led Syrian Democratic Forces.</w:t>
      </w:r>
      <w:r w:rsidDel="00000000" w:rsidR="00000000" w:rsidRPr="00000000">
        <w:rPr>
          <w:rtl w:val="0"/>
        </w:rPr>
      </w:r>
    </w:p>
    <w:p w:rsidR="00000000" w:rsidDel="00000000" w:rsidP="00000000" w:rsidRDefault="00000000" w:rsidRPr="00000000" w14:paraId="0000005A">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This offensive was accompanied by grave and documented violations. Human rights organizations recorded summary executions, indiscriminate shelling, and the forced displacement of more than 140,000 residents in Aleppo governorate alone, as government forces advanced into Raqqa, Al-Hasakah, and Deir Ezzor to seize critical oilfields and the Euphrates Dam. A comprehensive ceasefire and integration agreement was brokered in late January 2026 through the active intervention of U.S. Envoy Tom Barrack, but the conflict had already imposed severe costs on regional counter-terrorism capacity.</w:t>
      </w:r>
      <w:r w:rsidDel="00000000" w:rsidR="00000000" w:rsidRPr="00000000">
        <w:rPr>
          <w:rtl w:val="0"/>
        </w:rPr>
      </w:r>
    </w:p>
    <w:p w:rsidR="00000000" w:rsidDel="00000000" w:rsidP="00000000" w:rsidRDefault="00000000" w:rsidRPr="00000000" w14:paraId="0000005B">
      <w:pPr>
        <w:pStyle w:val="Heading2"/>
        <w:spacing w:after="100" w:before="280" w:lineRule="auto"/>
        <w:rPr>
          <w:rFonts w:ascii="Arial" w:cs="Arial" w:eastAsia="Arial" w:hAnsi="Arial"/>
        </w:rPr>
      </w:pPr>
      <w:r w:rsidDel="00000000" w:rsidR="00000000" w:rsidRPr="00000000">
        <w:rPr>
          <w:rFonts w:ascii="Arial" w:cs="Arial" w:eastAsia="Arial" w:hAnsi="Arial"/>
          <w:color w:val="2e4057"/>
          <w:sz w:val="26"/>
          <w:szCs w:val="26"/>
          <w:rtl w:val="0"/>
        </w:rPr>
        <w:t xml:space="preserve">8.2  The ISIS Resurgence Risk</w:t>
      </w:r>
      <w:r w:rsidDel="00000000" w:rsidR="00000000" w:rsidRPr="00000000">
        <w:rPr>
          <w:rtl w:val="0"/>
        </w:rPr>
      </w:r>
    </w:p>
    <w:p w:rsidR="00000000" w:rsidDel="00000000" w:rsidP="00000000" w:rsidRDefault="00000000" w:rsidRPr="00000000" w14:paraId="0000005C">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most dangerous immediate consequence was the SDF’s forced abandonment of vital detention facilities during the January 2026 clashes, resulting in the escape of up to 1,500 ISIS fighters from the al-Shaddadah prison. Counter-terrorism analysts have consistently warned that the Islamic State has maintained the foundational infrastructure for shadow governance in eastern Syria. Dr. Aaron Zelin and other leading specialists assert that any sustained reduction in counter-terrorism pressure</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2"/>
          <w:szCs w:val="22"/>
          <w:rtl w:val="0"/>
        </w:rPr>
        <w:t xml:space="preserve"> of precisely the kind generated by a government that prioritizes the military suppression of domestic Kurdish rivals over the neutralization of extremist networks  affords ISIS the operational space to reconstitute territorial control. By integrating militant factions, empowering warlord networks, and systematically destabilizing the only effective counter-terrorism partner on the ground, the al-Sharaa government is actively engineering the conditions necessary for an ISIS resurgence.</w:t>
      </w:r>
      <w:r w:rsidDel="00000000" w:rsidR="00000000" w:rsidRPr="00000000">
        <w:rPr>
          <w:rtl w:val="0"/>
        </w:rPr>
      </w:r>
    </w:p>
    <w:p w:rsidR="00000000" w:rsidDel="00000000" w:rsidP="00000000" w:rsidRDefault="00000000" w:rsidRPr="00000000" w14:paraId="0000005D">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5E">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9.  Conclusion: Against the “Stability First” Fallacy</w:t>
      </w:r>
      <w:r w:rsidDel="00000000" w:rsidR="00000000" w:rsidRPr="00000000">
        <w:rPr>
          <w:rtl w:val="0"/>
        </w:rPr>
      </w:r>
    </w:p>
    <w:p w:rsidR="00000000" w:rsidDel="00000000" w:rsidP="00000000" w:rsidRDefault="00000000" w:rsidRPr="00000000" w14:paraId="0000005F">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coordinated campaign to remove Syria from the State Sponsor of Terrorism list rests fundamentally on the “stability first” fallacy</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2"/>
          <w:szCs w:val="22"/>
          <w:rtl w:val="0"/>
        </w:rPr>
        <w:t xml:space="preserve">the premise that extending unconditional economic normalization to an authoritarian government will eventually incentivize political reform and generate civilian recovery. The empirical record of the transitional government’s first eighteen months categorically refutes this hypothesis.</w:t>
      </w:r>
      <w:r w:rsidDel="00000000" w:rsidR="00000000" w:rsidRPr="00000000">
        <w:rPr>
          <w:rtl w:val="0"/>
        </w:rPr>
      </w:r>
    </w:p>
    <w:p w:rsidR="00000000" w:rsidDel="00000000" w:rsidP="00000000" w:rsidRDefault="00000000" w:rsidRPr="00000000" w14:paraId="00000060">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government of Ahmed al-Sharaa has demonstrated, across multiple dimensions, a profound and disturbing continuity with the darkest features of the Assad era. Through the systematic, identity-based massacres of Alawite communities on the Syrian coast and the mass killing and forced depopulation of Suwayda, the state has demonstrated its reliance on coercive sectarian violence as a tool of territorial control. Through Investment Law 114, it has constructed a centralized, predatory economic architecture designed to transfer sovereign wealth permanently to a new class of loyalist oligarchs including alleged terror financiers whose networks connect directly to the transitional government’s own institutional origins. And through its military offensive against the Syrian Democratic Forces, it has deliberately compromised vital counter-terrorism infrastructure, creating conditions ripe for a catastrophic Islamic State resurgence.</w:t>
      </w:r>
      <w:r w:rsidDel="00000000" w:rsidR="00000000" w:rsidRPr="00000000">
        <w:rPr>
          <w:rtl w:val="0"/>
        </w:rPr>
      </w:r>
    </w:p>
    <w:p w:rsidR="00000000" w:rsidDel="00000000" w:rsidP="00000000" w:rsidRDefault="00000000" w:rsidRPr="00000000" w14:paraId="00000061">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The United States’ SST designation is not a bureaucratic anachronism or a legacy classification requiring administrative housekeeping. It is the final substantive instrument of leverage available to the international community the last mechanism through which meaningful conditionality can be imposed on a transitional authority that has yet to demonstrate any genuine commitment to rule of law, minority protection, financial transparency, or verifiable counter-terrorism cooperation. Removing it now, under the rationalization of macroeconomic pragmatism or anxiety about a “China Vacuum,” would not facilitate the recovery of the Syrian people. It would permanently validate, subsidize, and institutionally entrench the architects of their ongoing subjugation.</w:t>
      </w:r>
      <w:r w:rsidDel="00000000" w:rsidR="00000000" w:rsidRPr="00000000">
        <w:rPr>
          <w:rtl w:val="0"/>
        </w:rPr>
      </w:r>
    </w:p>
    <w:p w:rsidR="00000000" w:rsidDel="00000000" w:rsidP="00000000" w:rsidRDefault="00000000" w:rsidRPr="00000000" w14:paraId="00000062">
      <w:pPr>
        <w:spacing w:after="160" w:before="100" w:line="320" w:lineRule="auto"/>
        <w:jc w:val="both"/>
        <w:rPr>
          <w:rFonts w:ascii="Arial" w:cs="Arial" w:eastAsia="Arial" w:hAnsi="Arial"/>
        </w:rPr>
      </w:pPr>
      <w:r w:rsidDel="00000000" w:rsidR="00000000" w:rsidRPr="00000000">
        <w:rPr>
          <w:rFonts w:ascii="Arial" w:cs="Arial" w:eastAsia="Arial" w:hAnsi="Arial"/>
          <w:color w:val="1a1a1a"/>
          <w:sz w:val="22"/>
          <w:szCs w:val="22"/>
          <w:rtl w:val="0"/>
        </w:rPr>
        <w:t xml:space="preserve">Until the governing authority in Damascus demonstrates a verifiable and sustained transition from coercive insurgency governance to transparent, lawful, and genuinely equitable sovereign administration</w:t>
      </w:r>
      <w:r w:rsidDel="00000000" w:rsidR="00000000" w:rsidRPr="00000000">
        <w:rPr>
          <w:rFonts w:ascii="Arial" w:cs="Arial" w:eastAsia="Arial" w:hAnsi="Arial"/>
          <w:color w:val="1a1a1a"/>
          <w:rtl w:val="0"/>
        </w:rPr>
        <w:t xml:space="preserve"> </w:t>
      </w:r>
      <w:r w:rsidDel="00000000" w:rsidR="00000000" w:rsidRPr="00000000">
        <w:rPr>
          <w:rFonts w:ascii="Arial" w:cs="Arial" w:eastAsia="Arial" w:hAnsi="Arial"/>
          <w:color w:val="1a1a1a"/>
          <w:sz w:val="22"/>
          <w:szCs w:val="22"/>
          <w:rtl w:val="0"/>
        </w:rPr>
        <w:t xml:space="preserve">a transition measured not in diplomatic performances or investment roadshows but in documented behavioral change on the ground the legal stigmatization and economic friction imposed by the State Sponsor of Terrorism designation must be rigorously and unconditionally maintained. Accountability is not an obstacle to Syrian recovery. It is its prerequisite.</w:t>
      </w:r>
      <w:r w:rsidDel="00000000" w:rsidR="00000000" w:rsidRPr="00000000">
        <w:rPr>
          <w:rtl w:val="0"/>
        </w:rPr>
      </w:r>
    </w:p>
    <w:p w:rsidR="00000000" w:rsidDel="00000000" w:rsidP="00000000" w:rsidRDefault="00000000" w:rsidRPr="00000000" w14:paraId="00000063">
      <w:pPr>
        <w:pBdr>
          <w:bottom w:color="c8d0dc" w:space="1" w:sz="4" w:val="single"/>
        </w:pBdr>
        <w:spacing w:after="240" w:before="240" w:lineRule="auto"/>
        <w:rPr>
          <w:rFonts w:ascii="Arial" w:cs="Arial" w:eastAsia="Arial" w:hAnsi="Arial"/>
        </w:rPr>
      </w:pPr>
      <w:r w:rsidDel="00000000" w:rsidR="00000000" w:rsidRPr="00000000">
        <w:rPr>
          <w:rtl w:val="0"/>
        </w:rPr>
      </w:r>
    </w:p>
    <w:p w:rsidR="00000000" w:rsidDel="00000000" w:rsidP="00000000" w:rsidRDefault="00000000" w:rsidRPr="00000000" w14:paraId="00000064">
      <w:pPr>
        <w:pStyle w:val="Heading1"/>
        <w:spacing w:after="140" w:before="400" w:lineRule="auto"/>
        <w:rPr>
          <w:rFonts w:ascii="Arial" w:cs="Arial" w:eastAsia="Arial" w:hAnsi="Arial"/>
        </w:rPr>
      </w:pPr>
      <w:r w:rsidDel="00000000" w:rsidR="00000000" w:rsidRPr="00000000">
        <w:rPr>
          <w:rFonts w:ascii="Arial" w:cs="Arial" w:eastAsia="Arial" w:hAnsi="Arial"/>
          <w:color w:val="1b2a4a"/>
          <w:sz w:val="30"/>
          <w:szCs w:val="30"/>
          <w:rtl w:val="0"/>
        </w:rPr>
        <w:t xml:space="preserve">References</w:t>
      </w:r>
      <w:r w:rsidDel="00000000" w:rsidR="00000000" w:rsidRPr="00000000">
        <w:rPr>
          <w:rtl w:val="0"/>
        </w:rPr>
      </w:r>
    </w:p>
    <w:p w:rsidR="00000000" w:rsidDel="00000000" w:rsidP="00000000" w:rsidRDefault="00000000" w:rsidRPr="00000000" w14:paraId="00000065">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1.  Israel-Alma Organization. “Special Report – One Year into the ‘New Syria’: Between Promises and Reality.” https://israel-alma.org/special-report-one-year-into-the-new-syria-between-promises-and-reality/</w:t>
      </w:r>
      <w:r w:rsidDel="00000000" w:rsidR="00000000" w:rsidRPr="00000000">
        <w:rPr>
          <w:rtl w:val="0"/>
        </w:rPr>
      </w:r>
    </w:p>
    <w:p w:rsidR="00000000" w:rsidDel="00000000" w:rsidP="00000000" w:rsidRDefault="00000000" w:rsidRPr="00000000" w14:paraId="00000066">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2.  Atlantic Council. “Two Revealing Washington Visits Will Set the Course for Syria’s Future.” https://www.atlanticcouncil.org/blogs/turkeysource/two-revealing-washington-visits-will-set-the-course-for-syrias-future/</w:t>
      </w:r>
      <w:r w:rsidDel="00000000" w:rsidR="00000000" w:rsidRPr="00000000">
        <w:rPr>
          <w:rtl w:val="0"/>
        </w:rPr>
      </w:r>
    </w:p>
    <w:p w:rsidR="00000000" w:rsidDel="00000000" w:rsidP="00000000" w:rsidRDefault="00000000" w:rsidRPr="00000000" w14:paraId="00000067">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3.  Anadolu Ajınsı. “US Expresses Readiness to Facilitate Constructive Engagement Between Syrian Government and SDF.” https://www.aa.com.tr/en/americas/us-expresses-readiness-to-facilitate-constructive-engagement-between-syrian-government-sdf/3795969</w:t>
      </w:r>
      <w:r w:rsidDel="00000000" w:rsidR="00000000" w:rsidRPr="00000000">
        <w:rPr>
          <w:rtl w:val="0"/>
        </w:rPr>
      </w:r>
    </w:p>
    <w:p w:rsidR="00000000" w:rsidDel="00000000" w:rsidP="00000000" w:rsidRDefault="00000000" w:rsidRPr="00000000" w14:paraId="00000068">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4.  Al-Monitor. “Syrian President Arrives in US for Landmark Visit.” https://www.al-monitor.com/originals/2025/11/syrian-president-arrives-us-landmark-visit</w:t>
      </w:r>
      <w:r w:rsidDel="00000000" w:rsidR="00000000" w:rsidRPr="00000000">
        <w:rPr>
          <w:rtl w:val="0"/>
        </w:rPr>
      </w:r>
    </w:p>
    <w:p w:rsidR="00000000" w:rsidDel="00000000" w:rsidP="00000000" w:rsidRDefault="00000000" w:rsidRPr="00000000" w14:paraId="00000069">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5.  Trends Research &amp; Advisory. “Syria at One Year Post-Assad: Priority Risks and the Path for a Durable Transition.” https://trendsresearch.org/insight/syria-at-one-year-post-assad-priority-risks-and-the-path-for-a-durable-transition/</w:t>
      </w:r>
      <w:r w:rsidDel="00000000" w:rsidR="00000000" w:rsidRPr="00000000">
        <w:rPr>
          <w:rtl w:val="0"/>
        </w:rPr>
      </w:r>
    </w:p>
    <w:p w:rsidR="00000000" w:rsidDel="00000000" w:rsidP="00000000" w:rsidRDefault="00000000" w:rsidRPr="00000000" w14:paraId="0000006A">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6.  Al Mayadeen English. “US Pressures Syria to Drop Chinese Telecom Systems.” https://english.almayadeen.net/news/technology/us-pressures-syria-to-drop-chinese-telecom-systems--reuters</w:t>
      </w:r>
      <w:r w:rsidDel="00000000" w:rsidR="00000000" w:rsidRPr="00000000">
        <w:rPr>
          <w:rtl w:val="0"/>
        </w:rPr>
      </w:r>
    </w:p>
    <w:p w:rsidR="00000000" w:rsidDel="00000000" w:rsidP="00000000" w:rsidRDefault="00000000" w:rsidRPr="00000000" w14:paraId="0000006B">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7.  Crypto Briefing. “Visa, Mastercard Resume Operations in Syria After 15-Year Hiatus.” https://cryptobriefing.com/visa-mastercard-resume-syria-operations/</w:t>
      </w:r>
      <w:r w:rsidDel="00000000" w:rsidR="00000000" w:rsidRPr="00000000">
        <w:rPr>
          <w:rtl w:val="0"/>
        </w:rPr>
      </w:r>
    </w:p>
    <w:p w:rsidR="00000000" w:rsidDel="00000000" w:rsidP="00000000" w:rsidRDefault="00000000" w:rsidRPr="00000000" w14:paraId="0000006C">
      <w:pPr>
        <w:spacing w:after="60" w:before="60" w:lineRule="auto"/>
        <w:ind w:left="360" w:hanging="360"/>
        <w:rPr>
          <w:rFonts w:ascii="Arial" w:cs="Arial" w:eastAsia="Arial" w:hAnsi="Arial"/>
        </w:rPr>
      </w:pPr>
      <w:r w:rsidDel="00000000" w:rsidR="00000000" w:rsidRPr="00000000">
        <w:rPr>
          <w:rFonts w:ascii="Arial" w:cs="Arial" w:eastAsia="Arial" w:hAnsi="Arial"/>
          <w:color w:val="555555"/>
          <w:sz w:val="19"/>
          <w:szCs w:val="19"/>
          <w:rtl w:val="0"/>
        </w:rPr>
        <w:t xml:space="preserve">8.  QNB Group. “QNB Group Becomes the First Bank Globally to Enable Acceptance of International Payment Cards in Syria.” https://www.qnb.com.eg/sites/qnb/qnbglobal/en/07052026news</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pBdr>
        <w:top w:color="c8d0dc" w:space="4" w:sz="4" w:val="single"/>
      </w:pBdr>
      <w:tabs>
        <w:tab w:val="right" w:leader="none" w:pos="9360"/>
      </w:tabs>
      <w:spacing w:before="120" w:lineRule="auto"/>
      <w:rPr/>
    </w:pPr>
    <w:r w:rsidDel="00000000" w:rsidR="00000000" w:rsidRPr="00000000">
      <w:rPr>
        <w:rFonts w:ascii="Arial" w:cs="Arial" w:eastAsia="Arial" w:hAnsi="Arial"/>
        <w:color w:val="555555"/>
        <w:sz w:val="18"/>
        <w:szCs w:val="18"/>
        <w:rtl w:val="0"/>
      </w:rPr>
      <w:t xml:space="preserve">Confidential — Not for Distribution</w:t>
    </w:r>
    <w:r w:rsidDel="00000000" w:rsidR="00000000" w:rsidRPr="00000000">
      <w:rPr>
        <w:rFonts w:ascii="Arial" w:cs="Arial" w:eastAsia="Arial" w:hAnsi="Arial"/>
        <w:color w:val="555555"/>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pBdr>
        <w:bottom w:color="c8d0dc" w:space="4" w:sz="4" w:val="single"/>
      </w:pBdr>
      <w:spacing w:after="120" w:lineRule="auto"/>
      <w:rPr/>
    </w:pPr>
    <w:r w:rsidDel="00000000" w:rsidR="00000000" w:rsidRPr="00000000">
      <w:rPr>
        <w:rFonts w:ascii="Arial" w:cs="Arial" w:eastAsia="Arial" w:hAnsi="Arial"/>
        <w:smallCaps w:val="1"/>
        <w:color w:val="555555"/>
        <w:sz w:val="18"/>
        <w:szCs w:val="18"/>
        <w:rtl w:val="0"/>
      </w:rPr>
      <w:t xml:space="preserve">POLICY ANALYSIS  |  GEOPOLITICS OF TRANSITION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00" w:line="240" w:lineRule="auto"/>
      <w:ind w:left="0" w:right="0" w:firstLine="0"/>
      <w:jc w:val="left"/>
    </w:pPr>
    <w:rPr>
      <w:rFonts w:ascii="Georgia" w:cs="Georgia" w:eastAsia="Georgia" w:hAnsi="Georgia"/>
      <w:b w:val="1"/>
      <w:bCs w:val="1"/>
      <w:i w:val="0"/>
      <w:iCs w:val="0"/>
      <w:smallCaps w:val="0"/>
      <w:strike w:val="0"/>
      <w:color w:val="1b2a4a"/>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80" w:line="240" w:lineRule="auto"/>
      <w:ind w:left="0" w:right="0" w:firstLine="0"/>
      <w:jc w:val="left"/>
    </w:pPr>
    <w:rPr>
      <w:rFonts w:ascii="Georgia" w:cs="Georgia" w:eastAsia="Georgia" w:hAnsi="Georgia"/>
      <w:b w:val="1"/>
      <w:bCs w:val="1"/>
      <w:i w:val="0"/>
      <w:iCs w:val="0"/>
      <w:smallCaps w:val="0"/>
      <w:strike w:val="0"/>
      <w:color w:val="2e4057"/>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20" w:line="240" w:lineRule="auto"/>
      <w:ind w:left="0" w:right="0" w:firstLine="0"/>
      <w:jc w:val="left"/>
    </w:pPr>
    <w:rPr>
      <w:rFonts w:ascii="Georgia" w:cs="Georgia" w:eastAsia="Georgia" w:hAnsi="Georgia"/>
      <w:b w:val="1"/>
      <w:bCs w:val="1"/>
      <w:i w:val="0"/>
      <w:iCs w:val="0"/>
      <w:smallCaps w:val="0"/>
      <w:strike w:val="0"/>
      <w:color w:val="2e4057"/>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D5fRwIPy1NS4mS9lsv2wAh9wCw==">CgMxLjA4AHIhMTVDMUtIaUNZaWNBcGlYcVNoYTZ4eFZJeEdhZG50Mlht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