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Spatial–Temporal</w:t>
      </w:r>
      <w:r>
        <w:t xml:space="preserve"> </w:t>
      </w:r>
      <w:r>
        <w:t xml:space="preserve">Alignment</w:t>
      </w:r>
      <w:r>
        <w:t xml:space="preserve"> </w:t>
      </w:r>
      <w:r>
        <w:t xml:space="preserve">of</w:t>
      </w:r>
      <w:r>
        <w:t xml:space="preserve"> </w:t>
      </w:r>
      <w:r>
        <w:t xml:space="preserve">Speed-Camera</w:t>
      </w:r>
      <w:r>
        <w:t xml:space="preserve"> </w:t>
      </w:r>
      <w:r>
        <w:t xml:space="preserve">Enforcement</w:t>
      </w:r>
      <w:r>
        <w:t xml:space="preserve"> </w:t>
      </w:r>
      <w:r>
        <w:t xml:space="preserve">with</w:t>
      </w:r>
      <w:r>
        <w:t xml:space="preserve"> </w:t>
      </w:r>
      <w:r>
        <w:t xml:space="preserve">Pedestrian</w:t>
      </w:r>
      <w:r>
        <w:t xml:space="preserve"> </w:t>
      </w:r>
      <w:r>
        <w:t xml:space="preserve">and</w:t>
      </w:r>
      <w:r>
        <w:t xml:space="preserve"> </w:t>
      </w:r>
      <w:r>
        <w:t xml:space="preserve">Cyclist</w:t>
      </w:r>
      <w:r>
        <w:t xml:space="preserve"> </w:t>
      </w:r>
      <w:r>
        <w:t xml:space="preserve">Activity</w:t>
      </w:r>
      <w:r>
        <w:t xml:space="preserve"> </w:t>
      </w:r>
      <w:r>
        <w:t xml:space="preserve">in</w:t>
      </w:r>
      <w:r>
        <w:t xml:space="preserve"> </w:t>
      </w:r>
      <w:r>
        <w:t xml:space="preserve">the</w:t>
      </w:r>
      <w:r>
        <w:t xml:space="preserve"> </w:t>
      </w:r>
      <w:r>
        <w:t xml:space="preserve">City</w:t>
      </w:r>
      <w:r>
        <w:t xml:space="preserve"> </w:t>
      </w:r>
      <w:r>
        <w:t xml:space="preserve">of</w:t>
      </w:r>
      <w:r>
        <w:t xml:space="preserve"> </w:t>
      </w:r>
      <w:r>
        <w:t xml:space="preserve">Melbourne</w:t>
      </w:r>
    </w:p>
    <w:p>
      <w:pPr>
        <w:pStyle w:val="Subtitle"/>
      </w:pPr>
      <w:r>
        <w:t xml:space="preserve">FIT5147</w:t>
      </w:r>
      <w:r>
        <w:t xml:space="preserve"> </w:t>
      </w:r>
      <w:r>
        <w:t xml:space="preserve">Data</w:t>
      </w:r>
      <w:r>
        <w:t xml:space="preserve"> </w:t>
      </w:r>
      <w:r>
        <w:t xml:space="preserve">Exploration</w:t>
      </w:r>
      <w:r>
        <w:t xml:space="preserve"> </w:t>
      </w:r>
      <w:r>
        <w:t xml:space="preserve">Project</w:t>
      </w:r>
      <w:r>
        <w:t xml:space="preserve"> </w:t>
      </w:r>
      <w:r>
        <w:t xml:space="preserve">—</w:t>
      </w:r>
      <w:r>
        <w:t xml:space="preserve"> </w:t>
      </w:r>
      <w:r>
        <w:t xml:space="preserve">Part</w:t>
      </w:r>
      <w:r>
        <w:t xml:space="preserve"> </w:t>
      </w:r>
      <w:r>
        <w:t xml:space="preserve">2</w:t>
      </w:r>
      <w:r>
        <w:t xml:space="preserve"> </w:t>
      </w:r>
      <w:r>
        <w:t xml:space="preserve">(Written</w:t>
      </w:r>
      <w:r>
        <w:t xml:space="preserve"> </w:t>
      </w:r>
      <w:r>
        <w:t xml:space="preserve">Report)</w:t>
      </w:r>
    </w:p>
    <w:p>
      <w:pPr>
        <w:pStyle w:val="Author"/>
      </w:pPr>
      <w:r>
        <w:t xml:space="preserve">Gia</w:t>
      </w:r>
      <w:r>
        <w:t xml:space="preserve"> </w:t>
      </w:r>
      <w:r>
        <w:t xml:space="preserve">Linh</w:t>
      </w:r>
      <w:r>
        <w:t xml:space="preserve"> </w:t>
      </w:r>
      <w:r>
        <w:t xml:space="preserve">(Sally)</w:t>
      </w:r>
      <w:r>
        <w:t xml:space="preserve"> </w:t>
      </w:r>
      <w:r>
        <w:t xml:space="preserve">Vu</w:t>
      </w:r>
      <w:r>
        <w:t xml:space="preserve"> </w:t>
      </w:r>
      <w:r>
        <w:t xml:space="preserve">·</w:t>
      </w:r>
      <w:r>
        <w:t xml:space="preserve"> </w:t>
      </w:r>
      <w:r>
        <w:t xml:space="preserve">36071668</w:t>
      </w:r>
    </w:p>
    <w:bookmarkStart w:id="20" w:name="introduction"/>
    <w:p>
      <w:pPr>
        <w:pStyle w:val="Heading1"/>
      </w:pPr>
      <w:r>
        <w:t xml:space="preserve">1 · Introduction</w:t>
      </w:r>
    </w:p>
    <w:p>
      <w:pPr>
        <w:pStyle w:val="FirstParagraph"/>
      </w:pPr>
      <w:r>
        <w:t xml:space="preserve">Road-safety cameras are a fixed, sparse, point-like form of enforcement. The people they are meant to protect — pedestrians and cyclists, the</w:t>
      </w:r>
      <w:r>
        <w:t xml:space="preserve"> </w:t>
      </w:r>
      <w:r>
        <w:rPr>
          <w:iCs/>
          <w:i/>
        </w:rPr>
        <w:t xml:space="preserve">vulnerable road users</w:t>
      </w:r>
      <w:r>
        <w:t xml:space="preserve"> </w:t>
      </w:r>
      <w:r>
        <w:t xml:space="preserve">(VRUs) — move through the city as a dense, continuous, time-varying field. The cycling infrastructure that offers those users physical protection is a third kind of object again: linear, and in places broken. This project asks one question of these three geometries:</w:t>
      </w:r>
      <w:r>
        <w:t xml:space="preserve"> </w:t>
      </w:r>
      <w:r>
        <w:rPr>
          <w:bCs/>
          <w:b/>
        </w:rPr>
        <w:t xml:space="preserve">do they agree in space and in time?</w:t>
      </w:r>
      <w:r>
        <w:t xml:space="preserve"> </w:t>
      </w:r>
      <w:r>
        <w:t xml:space="preserve">If high-activity places are not the enforced places, if that mismatch does not move with the clock, and if the protective network does not hold together where activity is highest, then the enforcement and protection system is, in a measurable sense, pointed away from the people it exists to protect.</w:t>
      </w:r>
    </w:p>
    <w:p>
      <w:pPr>
        <w:pStyle w:val="BodyText"/>
      </w:pPr>
      <w:r>
        <w:t xml:space="preserve">The study area is the City of Melbourne (CoM), a 37.7 km² municipality. Five open layers from three providers are integrated: an 8.2-million-row Transport Activity Count (TAC) sensor series (pedestrian, cyclist and e-scooter crossings); the Victorian fixed road-safety-camera register; the CoM mobile-camera location list; the CoM bicycle-route network; and the municipal-boundary polygon. Each supplies a</w:t>
      </w:r>
      <w:r>
        <w:t xml:space="preserve"> </w:t>
      </w:r>
      <w:r>
        <w:rPr>
          <w:iCs/>
          <w:i/>
        </w:rPr>
        <w:t xml:space="preserve">different data type</w:t>
      </w:r>
      <w:r>
        <w:t xml:space="preserve"> </w:t>
      </w:r>
      <w:r>
        <w:t xml:space="preserve">— a massive time series, points, points, lines, and a polygon — which is what forces a genuine variety of analytical techniques rather than one idiom repeated.</w:t>
      </w:r>
    </w:p>
    <w:p>
      <w:pPr>
        <w:pStyle w:val="BodyText"/>
      </w:pPr>
      <w:r>
        <w:t xml:space="preserve">Three research questions structure the analysis, and each is deliberately scoped to what the data can actually support:</w:t>
      </w:r>
    </w:p>
    <w:p>
      <w:pPr>
        <w:numPr>
          <w:ilvl w:val="0"/>
          <w:numId w:val="1001"/>
        </w:numPr>
        <w:pStyle w:val="Compact"/>
      </w:pPr>
      <w:r>
        <w:rPr>
          <w:bCs/>
          <w:b/>
        </w:rPr>
        <w:t xml:space="preserve">RQ1 (spatial).</w:t>
      </w:r>
      <w:r>
        <w:t xml:space="preserve"> </w:t>
      </w:r>
      <w:r>
        <w:t xml:space="preserve">Do high-activity sites hold a</w:t>
      </w:r>
      <w:r>
        <w:t xml:space="preserve"> </w:t>
      </w:r>
      <w:r>
        <w:rPr>
          <w:iCs/>
          <w:i/>
        </w:rPr>
        <w:t xml:space="preserve">disproportionate</w:t>
      </w:r>
      <w:r>
        <w:t xml:space="preserve"> </w:t>
      </w:r>
      <w:r>
        <w:t xml:space="preserve">share of activity near fixed cameras, relative to a site-placement benchmark?</w:t>
      </w:r>
    </w:p>
    <w:p>
      <w:pPr>
        <w:numPr>
          <w:ilvl w:val="0"/>
          <w:numId w:val="1001"/>
        </w:numPr>
        <w:pStyle w:val="Compact"/>
      </w:pPr>
      <w:r>
        <w:rPr>
          <w:bCs/>
          <w:b/>
        </w:rPr>
        <w:t xml:space="preserve">RQ2 (temporal).</w:t>
      </w:r>
      <w:r>
        <w:t xml:space="preserve"> </w:t>
      </w:r>
      <w:r>
        <w:t xml:space="preserve">Does that</w:t>
      </w:r>
      <w:r>
        <w:t xml:space="preserve"> </w:t>
      </w:r>
      <w:r>
        <w:rPr>
          <w:iCs/>
          <w:i/>
        </w:rPr>
        <w:t xml:space="preserve">same</w:t>
      </w:r>
      <w:r>
        <w:t xml:space="preserve"> </w:t>
      </w:r>
      <w:r>
        <w:t xml:space="preserve">spatial alignment change by hour of day or across weeks?</w:t>
      </w:r>
    </w:p>
    <w:p>
      <w:pPr>
        <w:numPr>
          <w:ilvl w:val="0"/>
          <w:numId w:val="1001"/>
        </w:numPr>
        <w:pStyle w:val="Compact"/>
      </w:pPr>
      <w:r>
        <w:rPr>
          <w:bCs/>
          <w:b/>
        </w:rPr>
        <w:t xml:space="preserve">RQ3 (network).</w:t>
      </w:r>
      <w:r>
        <w:t xml:space="preserve"> </w:t>
      </w:r>
      <w:r>
        <w:t xml:space="preserve">How much does each route segment</w:t>
      </w:r>
      <w:r>
        <w:t xml:space="preserve"> </w:t>
      </w:r>
      <w:r>
        <w:rPr>
          <w:iCs/>
          <w:i/>
        </w:rPr>
        <w:t xml:space="preserve">contribute</w:t>
      </w:r>
      <w:r>
        <w:t xml:space="preserve"> </w:t>
      </w:r>
      <w:r>
        <w:t xml:space="preserve">to the continuity of the existing physical cycling network, and which proposed routes would reconnect it?</w:t>
      </w:r>
    </w:p>
    <w:p>
      <w:pPr>
        <w:pStyle w:val="FirstParagraph"/>
      </w:pPr>
      <w:r>
        <w:t xml:space="preserve">Throughout, camera</w:t>
      </w:r>
      <w:r>
        <w:t xml:space="preserve"> </w:t>
      </w:r>
      <w:r>
        <w:rPr>
          <w:iCs/>
          <w:i/>
        </w:rPr>
        <w:t xml:space="preserve">proximity</w:t>
      </w:r>
      <w:r>
        <w:t xml:space="preserve"> </w:t>
      </w:r>
      <w:r>
        <w:t xml:space="preserve">is treated as a proxy for enforcement</w:t>
      </w:r>
      <w:r>
        <w:t xml:space="preserve"> </w:t>
      </w:r>
      <w:r>
        <w:rPr>
          <w:iCs/>
          <w:i/>
        </w:rPr>
        <w:t xml:space="preserve">presence</w:t>
      </w:r>
      <w:r>
        <w:t xml:space="preserve">, never for enforcement</w:t>
      </w:r>
      <w:r>
        <w:t xml:space="preserve"> </w:t>
      </w:r>
      <w:r>
        <w:rPr>
          <w:iCs/>
          <w:i/>
        </w:rPr>
        <w:t xml:space="preserve">effectiveness</w:t>
      </w:r>
      <w:r>
        <w:t xml:space="preserve"> </w:t>
      </w:r>
      <w:r>
        <w:t xml:space="preserve">or</w:t>
      </w:r>
      <w:r>
        <w:t xml:space="preserve"> </w:t>
      </w:r>
      <w:r>
        <w:rPr>
          <w:iCs/>
          <w:i/>
        </w:rPr>
        <w:t xml:space="preserve">timing</w:t>
      </w:r>
      <w:r>
        <w:t xml:space="preserve">; the analysis is associational, and no causal or crash-risk claim is made. This discipline — holding claim strength to evidence strength — is the organising principle of the report.</w:t>
      </w:r>
    </w:p>
    <w:bookmarkEnd w:id="20"/>
    <w:bookmarkStart w:id="27" w:name="data-wrangling-and-checking"/>
    <w:p>
      <w:pPr>
        <w:pStyle w:val="Heading1"/>
      </w:pPr>
      <w:r>
        <w:t xml:space="preserve">2 · Data Wrangling and Checking</w:t>
      </w:r>
    </w:p>
    <w:bookmarkStart w:id="21" w:name="X5a7cc5e96bb467919d69ed79a68631800428b1e"/>
    <w:p>
      <w:pPr>
        <w:pStyle w:val="Heading2"/>
      </w:pPr>
      <w:r>
        <w:t xml:space="preserve">2.1 The reasoning spine: measurement before method</w:t>
      </w:r>
    </w:p>
    <w:p>
      <w:pPr>
        <w:pStyle w:val="FirstParagraph"/>
      </w:pPr>
      <w:r>
        <w:t xml:space="preserve">The single most important design decision is that</w:t>
      </w:r>
      <w:r>
        <w:t xml:space="preserve"> </w:t>
      </w:r>
      <w:r>
        <w:rPr>
          <w:bCs/>
          <w:b/>
        </w:rPr>
        <w:t xml:space="preserve">measurement is fixed before any analytical method runs</w:t>
      </w:r>
      <w:r>
        <w:t xml:space="preserve">. An observed sensor count is</w:t>
      </w:r>
      <w:r>
        <w:t xml:space="preserve"> </w:t>
      </w:r>
      <w:r>
        <w:rPr>
          <w:rStyle w:val="VerbatimChar"/>
        </w:rPr>
        <w:t xml:space="preserve">observed_total = true_intensity × observation_duration × countline_coverage</w:t>
      </w:r>
      <w:r>
        <w:t xml:space="preserve">.</w:t>
      </w:r>
      <w:r>
        <w:t xml:space="preserve"> </w:t>
      </w:r>
      <w:r>
        <w:t xml:space="preserve">Ranking sites by raw totals therefore partly ranks</w:t>
      </w:r>
      <w:r>
        <w:t xml:space="preserve"> </w:t>
      </w:r>
      <w:r>
        <w:rPr>
          <w:iCs/>
          <w:i/>
        </w:rPr>
        <w:t xml:space="preserve">where measurement happened</w:t>
      </w:r>
      <w:r>
        <w:t xml:space="preserve">, not</w:t>
      </w:r>
      <w:r>
        <w:t xml:space="preserve"> </w:t>
      </w:r>
      <w:r>
        <w:rPr>
          <w:iCs/>
          <w:i/>
        </w:rPr>
        <w:t xml:space="preserve">where activity is</w:t>
      </w:r>
      <w:r>
        <w:t xml:space="preserve">. So the pipeline first converts raw counts into a comparable exposure measure, and only then asks the spatial, temporal and network questions. A method placed on a bad measure cannot be rescued by sophistication, so the measurement audit comes first, by design.</w:t>
      </w:r>
    </w:p>
    <w:bookmarkEnd w:id="21"/>
    <w:bookmarkStart w:id="22" w:name="X2f66fc85c4cabcea1add3d837522717e18e3543"/>
    <w:p>
      <w:pPr>
        <w:pStyle w:val="Heading2"/>
      </w:pPr>
      <w:r>
        <w:t xml:space="preserve">2.2 Transport Activity Counts — the 8.2-million-row backbone</w:t>
      </w:r>
    </w:p>
    <w:p>
      <w:pPr>
        <w:pStyle w:val="FirstParagraph"/>
      </w:pPr>
      <w:r>
        <w:t xml:space="preserve">The TAC export carries three independent traps, each of which silently corrupts every downstream figure if missed:</w:t>
      </w:r>
    </w:p>
    <w:p>
      <w:pPr>
        <w:pStyle w:val="BodyText"/>
      </w:pPr>
      <w:r>
        <w:rPr>
          <w:bCs/>
          <w:b/>
        </w:rPr>
        <w:t xml:space="preserve">(i) A presence-only structure.</w:t>
      </w:r>
      <w:r>
        <w:t xml:space="preserve"> </w:t>
      </w:r>
      <w:r>
        <w:t xml:space="preserve">The export contains</w:t>
      </w:r>
      <w:r>
        <w:t xml:space="preserve"> </w:t>
      </w:r>
      <w:r>
        <w:rPr>
          <w:iCs/>
          <w:i/>
        </w:rPr>
        <w:t xml:space="preserve">only</w:t>
      </w:r>
      <w:r>
        <w:t xml:space="preserve"> </w:t>
      </w:r>
      <w:r>
        <w:t xml:space="preserve">5-minute intervals in which at least one crossing occurred — I verified that the</w:t>
      </w:r>
      <w:r>
        <w:t xml:space="preserve"> </w:t>
      </w:r>
      <w:r>
        <w:rPr>
          <w:rStyle w:val="VerbatimChar"/>
        </w:rPr>
        <w:t xml:space="preserve">count</w:t>
      </w:r>
      <w:r>
        <w:t xml:space="preserve"> </w:t>
      </w:r>
      <w:r>
        <w:t xml:space="preserve">column contains</w:t>
      </w:r>
      <w:r>
        <w:t xml:space="preserve"> </w:t>
      </w:r>
      <w:r>
        <w:rPr>
          <w:bCs/>
          <w:b/>
        </w:rPr>
        <w:t xml:space="preserve">0 zeros and 0 NA values</w:t>
      </w:r>
      <w:r>
        <w:t xml:space="preserve">: every row is a positive count. A monitored interval with genuinely zero activity is therefore</w:t>
      </w:r>
      <w:r>
        <w:t xml:space="preserve"> </w:t>
      </w:r>
      <w:r>
        <w:rPr>
          <w:iCs/>
          <w:i/>
        </w:rPr>
        <w:t xml:space="preserve">indistinguishable</w:t>
      </w:r>
      <w:r>
        <w:t xml:space="preserve"> </w:t>
      </w:r>
      <w:r>
        <w:t xml:space="preserve">from an interval the sensor did not report. This forces an explicit modelling assumption:</w:t>
      </w:r>
      <w:r>
        <w:t xml:space="preserve"> </w:t>
      </w:r>
      <w:r>
        <w:rPr>
          <w:bCs/>
          <w:b/>
        </w:rPr>
        <w:t xml:space="preserve">absent ≔ 0</w:t>
      </w:r>
      <w:r>
        <w:t xml:space="preserve"> </w:t>
      </w:r>
      <w:r>
        <w:t xml:space="preserve">(a slot with no row is treated as zero crossings), justified by the sensors’ continuous AI-based operation with zero-rows stripped at export. The assumption is stated as an assumption, not hidden.</w:t>
      </w:r>
    </w:p>
    <w:p>
      <w:pPr>
        <w:pStyle w:val="BodyText"/>
      </w:pPr>
      <w:r>
        <w:rPr>
          <w:bCs/>
          <w:b/>
        </w:rPr>
        <w:t xml:space="preserve">(ii) A timezone lie.</w:t>
      </w:r>
      <w:r>
        <w:t xml:space="preserve"> </w:t>
      </w:r>
      <w:r>
        <w:t xml:space="preserve">Timestamps carry a</w:t>
      </w:r>
      <w:r>
        <w:t xml:space="preserve"> </w:t>
      </w:r>
      <w:r>
        <w:rPr>
          <w:rStyle w:val="VerbatimChar"/>
        </w:rPr>
        <w:t xml:space="preserve">Z</w:t>
      </w:r>
      <w:r>
        <w:t xml:space="preserve"> </w:t>
      </w:r>
      <w:r>
        <w:t xml:space="preserve">(UTC) suffix but in fact hold Melbourne</w:t>
      </w:r>
      <w:r>
        <w:t xml:space="preserve"> </w:t>
      </w:r>
      <w:r>
        <w:rPr>
          <w:iCs/>
          <w:i/>
        </w:rPr>
        <w:t xml:space="preserve">local wall-clock</w:t>
      </w:r>
      <w:r>
        <w:t xml:space="preserve"> </w:t>
      </w:r>
      <w:r>
        <w:t xml:space="preserve">time. A naïve UTC conversion displaces every temporal pattern by 10–11 hours — it places the cyclist peak at 03–04 h, which is physically impossible. I read the timestamp as</w:t>
      </w:r>
      <w:r>
        <w:t xml:space="preserve"> </w:t>
      </w:r>
      <w:r>
        <w:rPr>
          <w:bCs/>
          <w:b/>
        </w:rPr>
        <w:t xml:space="preserve">raw character</w:t>
      </w:r>
      <w:r>
        <w:t xml:space="preserve"> </w:t>
      </w:r>
      <w:r>
        <w:t xml:space="preserve">(a subtle but critical fix:</w:t>
      </w:r>
      <w:r>
        <w:t xml:space="preserve"> </w:t>
      </w:r>
      <w:r>
        <w:rPr>
          <w:rStyle w:val="VerbatimChar"/>
        </w:rPr>
        <w:t xml:space="preserve">data.table::fread</w:t>
      </w:r>
      <w:r>
        <w:t xml:space="preserve"> </w:t>
      </w:r>
      <w:r>
        <w:t xml:space="preserve">otherwise auto-parses it to a</w:t>
      </w:r>
      <w:r>
        <w:t xml:space="preserve"> </w:t>
      </w:r>
      <w:r>
        <w:rPr>
          <w:rStyle w:val="VerbatimChar"/>
        </w:rPr>
        <w:t xml:space="preserve">POSIXct</w:t>
      </w:r>
      <w:r>
        <w:t xml:space="preserve"> </w:t>
      </w:r>
      <w:r>
        <w:t xml:space="preserve">object, so a later strip-and-parse operates on an already-coerced value — a latent double-conversion bug), then parse it as local time. The decision is defended by an</w:t>
      </w:r>
      <w:r>
        <w:t xml:space="preserve"> </w:t>
      </w:r>
      <w:r>
        <w:rPr>
          <w:bCs/>
          <w:b/>
        </w:rPr>
        <w:t xml:space="preserve">activity-weighted peak-hour diagnostic</w:t>
      </w:r>
      <w:r>
        <w:t xml:space="preserve">: parsed as local time the cyclist peak sits at ≈17 h (a real commute peak); parsed as UTC it sits at ≈03 h (implausible). The conclusion is stated as conditional on the local-time reading, with peak plausibility as supporting evidence.</w:t>
      </w:r>
    </w:p>
    <w:p>
      <w:pPr>
        <w:pStyle w:val="BodyText"/>
      </w:pPr>
      <w:r>
        <w:rPr>
          <w:bCs/>
          <w:b/>
        </w:rPr>
        <w:t xml:space="preserve">(iii) A grain trap.</w:t>
      </w:r>
      <w:r>
        <w:t xml:space="preserve"> </w:t>
      </w:r>
      <w:r>
        <w:t xml:space="preserve">The 157 named</w:t>
      </w:r>
      <w:r>
        <w:t xml:space="preserve"> </w:t>
      </w:r>
      <w:r>
        <w:t xml:space="preserve">“</w:t>
      </w:r>
      <w:r>
        <w:t xml:space="preserve">countlines</w:t>
      </w:r>
      <w:r>
        <w:t xml:space="preserve">”</w:t>
      </w:r>
      <w:r>
        <w:t xml:space="preserve"> </w:t>
      </w:r>
      <w:r>
        <w:t xml:space="preserve">occupy only ≈35 physical coordinate pairs, so the natural unit of analysis is the</w:t>
      </w:r>
      <w:r>
        <w:t xml:space="preserve"> </w:t>
      </w:r>
      <w:r>
        <w:rPr>
          <w:bCs/>
          <w:b/>
        </w:rPr>
        <w:t xml:space="preserve">sensor site</w:t>
      </w:r>
      <w:r>
        <w:t xml:space="preserve">, not the countline; analysing countlines would double-count multi-approach sites. Each site total therefore sums its monitored</w:t>
      </w:r>
      <w:r>
        <w:t xml:space="preserve"> </w:t>
      </w:r>
      <w:r>
        <w:rPr>
          <w:iCs/>
          <w:i/>
        </w:rPr>
        <w:t xml:space="preserve">approaches</w:t>
      </w:r>
      <w:r>
        <w:t xml:space="preserve"> </w:t>
      </w:r>
      <w:r>
        <w:t xml:space="preserve">(directional countlines) into a total directional flow, and a site with fewer approaches is flagged as potentially under-counted.</w:t>
      </w:r>
    </w:p>
    <w:p>
      <w:pPr>
        <w:pStyle w:val="BodyText"/>
      </w:pPr>
      <w:r>
        <w:rPr>
          <w:bCs/>
          <w:b/>
        </w:rPr>
        <w:t xml:space="preserve">Exposure and its honest denominator.</w:t>
      </w:r>
      <w:r>
        <w:t xml:space="preserve"> </w:t>
      </w:r>
      <w:r>
        <w:t xml:space="preserve">Exposure is measured as</w:t>
      </w:r>
      <w:r>
        <w:t xml:space="preserve"> </w:t>
      </w:r>
      <w:r>
        <w:rPr>
          <w:bCs/>
          <w:b/>
        </w:rPr>
        <w:t xml:space="preserve">total crossings per window-hour</w:t>
      </w:r>
      <w:r>
        <w:t xml:space="preserve">. Because</w:t>
      </w:r>
      <w:r>
        <w:t xml:space="preserve"> </w:t>
      </w:r>
      <w:r>
        <w:rPr>
          <w:rStyle w:val="VerbatimChar"/>
        </w:rPr>
        <w:t xml:space="preserve">win_hours</w:t>
      </w:r>
      <w:r>
        <w:t xml:space="preserve"> </w:t>
      </w:r>
      <w:r>
        <w:t xml:space="preserve">(the study-window length) is a single</w:t>
      </w:r>
      <w:r>
        <w:t xml:space="preserve"> </w:t>
      </w:r>
      <w:r>
        <w:rPr>
          <w:iCs/>
          <w:i/>
        </w:rPr>
        <w:t xml:space="preserve">global</w:t>
      </w:r>
      <w:r>
        <w:t xml:space="preserve"> </w:t>
      </w:r>
      <w:r>
        <w:t xml:space="preserve">constant, it</w:t>
      </w:r>
      <w:r>
        <w:t xml:space="preserve"> </w:t>
      </w:r>
      <w:r>
        <w:rPr>
          <w:iCs/>
          <w:i/>
        </w:rPr>
        <w:t xml:space="preserve">cancels</w:t>
      </w:r>
      <w:r>
        <w:t xml:space="preserve"> </w:t>
      </w:r>
      <w:r>
        <w:t xml:space="preserve">in every share ratio used downstream — so the per-window-hour rate supplies a comparable</w:t>
      </w:r>
      <w:r>
        <w:t xml:space="preserve"> </w:t>
      </w:r>
      <w:r>
        <w:rPr>
          <w:iCs/>
          <w:i/>
        </w:rPr>
        <w:t xml:space="preserve">unit</w:t>
      </w:r>
      <w:r>
        <w:t xml:space="preserve"> </w:t>
      </w:r>
      <w:r>
        <w:t xml:space="preserve">but does</w:t>
      </w:r>
      <w:r>
        <w:t xml:space="preserve"> </w:t>
      </w:r>
      <w:r>
        <w:rPr>
          <w:bCs/>
          <w:b/>
        </w:rPr>
        <w:t xml:space="preserve">not</w:t>
      </w:r>
      <w:r>
        <w:t xml:space="preserve"> </w:t>
      </w:r>
      <w:r>
        <w:t xml:space="preserve">correct for differential exposure between sites; a genuine per-site opportunity correction is impossible under presence-only data, and I say so rather than implying the rate fixes it. Site comparability is instead controlled by a</w:t>
      </w:r>
      <w:r>
        <w:t xml:space="preserve"> </w:t>
      </w:r>
      <w:r>
        <w:rPr>
          <w:bCs/>
          <w:b/>
        </w:rPr>
        <w:t xml:space="preserve">coverage-window</w:t>
      </w:r>
      <w:r>
        <w:t xml:space="preserve"> </w:t>
      </w:r>
      <w:r>
        <w:t xml:space="preserve">diagnostic,</w:t>
      </w:r>
      <w:r>
        <w:t xml:space="preserve"> </w:t>
      </w:r>
      <w:r>
        <w:rPr>
          <w:rStyle w:val="VerbatimChar"/>
        </w:rPr>
        <w:t xml:space="preserve">covwin</w:t>
      </w:r>
      <w:r>
        <w:t xml:space="preserve"> </w:t>
      </w:r>
      <w:r>
        <w:t xml:space="preserve">= (last − first observation) ÷ window: sites with</w:t>
      </w:r>
      <w:r>
        <w:t xml:space="preserve"> </w:t>
      </w:r>
      <w:r>
        <w:rPr>
          <w:rStyle w:val="VerbatimChar"/>
        </w:rPr>
        <w:t xml:space="preserve">covwin ≥ 0.9</w:t>
      </w:r>
      <w:r>
        <w:t xml:space="preserve"> </w:t>
      </w:r>
      <w:r>
        <w:t xml:space="preserve">form the</w:t>
      </w:r>
      <w:r>
        <w:t xml:space="preserve"> </w:t>
      </w:r>
      <w:r>
        <w:rPr>
          <w:bCs/>
          <w:b/>
        </w:rPr>
        <w:t xml:space="preserve">wide-observation-span panel</w:t>
      </w:r>
      <w:r>
        <w:t xml:space="preserve"> </w:t>
      </w:r>
      <w:r>
        <w:t xml:space="preserve">that is</w:t>
      </w:r>
      <w:r>
        <w:t xml:space="preserve"> </w:t>
      </w:r>
      <w:r>
        <w:rPr>
          <w:iCs/>
          <w:i/>
        </w:rPr>
        <w:t xml:space="preserve">primary</w:t>
      </w:r>
      <w:r>
        <w:t xml:space="preserve"> </w:t>
      </w:r>
      <w:r>
        <w:t xml:space="preserve">throughout. I am explicit that</w:t>
      </w:r>
      <w:r>
        <w:t xml:space="preserve"> </w:t>
      </w:r>
      <w:r>
        <w:rPr>
          <w:rStyle w:val="VerbatimChar"/>
        </w:rPr>
        <w:t xml:space="preserve">covwin</w:t>
      </w:r>
      <w:r>
        <w:t xml:space="preserve"> </w:t>
      </w:r>
      <w:r>
        <w:t xml:space="preserve">measures the</w:t>
      </w:r>
      <w:r>
        <w:t xml:space="preserve"> </w:t>
      </w:r>
      <w:r>
        <w:rPr>
          <w:iCs/>
          <w:i/>
        </w:rPr>
        <w:t xml:space="preserve">width</w:t>
      </w:r>
      <w:r>
        <w:t xml:space="preserve"> </w:t>
      </w:r>
      <w:r>
        <w:t xml:space="preserve">of the observation window,</w:t>
      </w:r>
      <w:r>
        <w:t xml:space="preserve"> </w:t>
      </w:r>
      <w:r>
        <w:rPr>
          <w:bCs/>
          <w:b/>
        </w:rPr>
        <w:t xml:space="preserve">not</w:t>
      </w:r>
      <w:r>
        <w:t xml:space="preserve"> </w:t>
      </w:r>
      <w:r>
        <w:t xml:space="preserve">monitoring completeness (a site seen only at the very start and end still scores 1.0), and the finding is stress-tested across span cut-offs of 0.8 / 0.9 / 0.95.</w:t>
      </w:r>
    </w:p>
    <w:bookmarkEnd w:id="22"/>
    <w:bookmarkStart w:id="23" w:name="fixed-cameras-a-reproducible-scrape"/>
    <w:p>
      <w:pPr>
        <w:pStyle w:val="Heading2"/>
      </w:pPr>
      <w:r>
        <w:t xml:space="preserve">2.3 Fixed cameras — a reproducible scrape</w:t>
      </w:r>
    </w:p>
    <w:p>
      <w:pPr>
        <w:pStyle w:val="FirstParagraph"/>
      </w:pPr>
      <w:r>
        <w:t xml:space="preserve">The Victorian</w:t>
      </w:r>
      <w:r>
        <w:t xml:space="preserve"> </w:t>
      </w:r>
      <w:r>
        <w:t xml:space="preserve">“</w:t>
      </w:r>
      <w:r>
        <w:t xml:space="preserve">find a road-safety camera</w:t>
      </w:r>
      <w:r>
        <w:t xml:space="preserve">”</w:t>
      </w:r>
      <w:r>
        <w:t xml:space="preserve"> </w:t>
      </w:r>
      <w:r>
        <w:t xml:space="preserve">tool renders client-side, so the records are not in the page HTML and a naïve scrape returns nothing. I inspected the network traffic, located the underlying Elasticsearch endpoint, and issue a single</w:t>
      </w:r>
      <w:r>
        <w:t xml:space="preserve"> </w:t>
      </w:r>
      <w:r>
        <w:rPr>
          <w:rStyle w:val="VerbatimChar"/>
        </w:rPr>
        <w:t xml:space="preserve">POST</w:t>
      </w:r>
      <w:r>
        <w:t xml:space="preserve"> </w:t>
      </w:r>
      <w:r>
        <w:t xml:space="preserve">(</w:t>
      </w:r>
      <w:r>
        <w:rPr>
          <w:rStyle w:val="VerbatimChar"/>
        </w:rPr>
        <w:t xml:space="preserve">match_all</w:t>
      </w:r>
      <w:r>
        <w:t xml:space="preserve">,</w:t>
      </w:r>
      <w:r>
        <w:t xml:space="preserve"> </w:t>
      </w:r>
      <w:r>
        <w:rPr>
          <w:rStyle w:val="VerbatimChar"/>
        </w:rPr>
        <w:t xml:space="preserve">size:1000</w:t>
      </w:r>
      <w:r>
        <w:t xml:space="preserve">) that returns every record as JSON, flattened to a tidy CSV — genuinely reproducible data collection rather than a manual download. Columns that are wholly null are dropped; constant columns are kept but flagged as non-discriminating. The register is</w:t>
      </w:r>
      <w:r>
        <w:t xml:space="preserve"> </w:t>
      </w:r>
      <w:r>
        <w:rPr>
          <w:iCs/>
          <w:i/>
        </w:rPr>
        <w:t xml:space="preserve">statewide</w:t>
      </w:r>
      <w:r>
        <w:t xml:space="preserve"> </w:t>
      </w:r>
      <w:r>
        <w:t xml:space="preserve">and</w:t>
      </w:r>
      <w:r>
        <w:t xml:space="preserve"> </w:t>
      </w:r>
      <w:r>
        <w:rPr>
          <w:iCs/>
          <w:i/>
        </w:rPr>
        <w:t xml:space="preserve">live</w:t>
      </w:r>
      <w:r>
        <w:t xml:space="preserve"> </w:t>
      </w:r>
      <w:r>
        <w:t xml:space="preserve">(it grows over time), so points are projected and</w:t>
      </w:r>
      <w:r>
        <w:t xml:space="preserve"> </w:t>
      </w:r>
      <w:r>
        <w:rPr>
          <w:bCs/>
          <w:b/>
        </w:rPr>
        <w:t xml:space="preserve">clipped to the boundary polygon by spatial intersection</w:t>
      </w:r>
      <w:r>
        <w:t xml:space="preserve">, and the code prints the live row count rather than asserting a fixed number. This yields</w:t>
      </w:r>
      <w:r>
        <w:t xml:space="preserve"> </w:t>
      </w:r>
      <w:r>
        <w:rPr>
          <w:bCs/>
          <w:b/>
        </w:rPr>
        <w:t xml:space="preserve">29 in-CoM fixed cameras</w:t>
      </w:r>
      <w:r>
        <w:t xml:space="preserve"> </w:t>
      </w:r>
      <w:r>
        <w:t xml:space="preserve">(26 by intersection + 3 highway cameras within the external buffer; confirm on knit).</w:t>
      </w:r>
    </w:p>
    <w:bookmarkEnd w:id="23"/>
    <w:bookmarkStart w:id="24" w:name="X875fefbdb9ea95066815068d271dee84cfb09f4"/>
    <w:p>
      <w:pPr>
        <w:pStyle w:val="Heading2"/>
      </w:pPr>
      <w:r>
        <w:t xml:space="preserve">2.4 Mobile cameras — geocoding that checks itself</w:t>
      </w:r>
    </w:p>
    <w:p>
      <w:pPr>
        <w:pStyle w:val="FirstParagraph"/>
      </w:pPr>
      <w:r>
        <w:t xml:space="preserve">The mobile-camera file has no coordinates, a title row above the header, and audit tokens (</w:t>
      </w:r>
      <w:r>
        <w:rPr>
          <w:rStyle w:val="VerbatimChar"/>
        </w:rPr>
        <w:t xml:space="preserve">"T"</w:t>
      </w:r>
      <w:r>
        <w:t xml:space="preserve">) standing in for missing values. I read with the header offset, set the tokens to</w:t>
      </w:r>
      <w:r>
        <w:t xml:space="preserve"> </w:t>
      </w:r>
      <w:r>
        <w:rPr>
          <w:rStyle w:val="VerbatimChar"/>
        </w:rPr>
        <w:t xml:space="preserve">NA</w:t>
      </w:r>
      <w:r>
        <w:t xml:space="preserve"> </w:t>
      </w:r>
      <w:r>
        <w:t xml:space="preserve">and</w:t>
      </w:r>
      <w:r>
        <w:t xml:space="preserve"> </w:t>
      </w:r>
      <w:r>
        <w:rPr>
          <w:iCs/>
          <w:i/>
        </w:rPr>
        <w:t xml:space="preserve">report</w:t>
      </w:r>
      <w:r>
        <w:t xml:space="preserve"> </w:t>
      </w:r>
      <w:r>
        <w:t xml:space="preserve">them rather than guessing, then geocode</w:t>
      </w:r>
      <w:r>
        <w:t xml:space="preserve"> </w:t>
      </w:r>
      <w:r>
        <w:rPr>
          <w:rStyle w:val="VerbatimChar"/>
        </w:rPr>
        <w:t xml:space="preserve">location + suburb</w:t>
      </w:r>
      <w:r>
        <w:t xml:space="preserve"> </w:t>
      </w:r>
      <w:r>
        <w:t xml:space="preserve">via the ArcGIS World Geocoder. The elegant part is the</w:t>
      </w:r>
      <w:r>
        <w:t xml:space="preserve"> </w:t>
      </w:r>
      <w:r>
        <w:rPr>
          <w:bCs/>
          <w:b/>
        </w:rPr>
        <w:t xml:space="preserve">self-checking accuracy test</w:t>
      </w:r>
      <w:r>
        <w:t xml:space="preserve">: every geocoded point is tested against the boundary polygon, which automatically catches a gross geocoding error (a</w:t>
      </w:r>
      <w:r>
        <w:t xml:space="preserve"> </w:t>
      </w:r>
      <w:r>
        <w:t xml:space="preserve">“</w:t>
      </w:r>
      <w:r>
        <w:t xml:space="preserve">Chapel Street, South Yarra</w:t>
      </w:r>
      <w:r>
        <w:t xml:space="preserve">”</w:t>
      </w:r>
      <w:r>
        <w:t xml:space="preserve"> </w:t>
      </w:r>
      <w:r>
        <w:t xml:space="preserve">record resolving several kilometres out of area) and drops it with the other out-of-CoM points. Mobile records are carried as a</w:t>
      </w:r>
      <w:r>
        <w:t xml:space="preserve"> </w:t>
      </w:r>
      <w:r>
        <w:rPr>
          <w:iCs/>
          <w:i/>
        </w:rPr>
        <w:t xml:space="preserve">separate</w:t>
      </w:r>
      <w:r>
        <w:t xml:space="preserve"> </w:t>
      </w:r>
      <w:r>
        <w:t xml:space="preserve">distance variable from fixed cameras throughout, because a mobile record is a</w:t>
      </w:r>
      <w:r>
        <w:t xml:space="preserve"> </w:t>
      </w:r>
      <w:r>
        <w:rPr>
          <w:iCs/>
          <w:i/>
        </w:rPr>
        <w:t xml:space="preserve">registered location</w:t>
      </w:r>
      <w:r>
        <w:t xml:space="preserve"> </w:t>
      </w:r>
      <w:r>
        <w:t xml:space="preserve">with no operating schedule, whereas a fixed registration is a permanent device — conflating them would invent enforcement that may never occur.</w:t>
      </w:r>
    </w:p>
    <w:bookmarkEnd w:id="24"/>
    <w:bookmarkStart w:id="25" w:name="Xe09ef2e4a240d6b33e4a71b18fa3e4a318cae23"/>
    <w:p>
      <w:pPr>
        <w:pStyle w:val="Heading2"/>
      </w:pPr>
      <w:r>
        <w:t xml:space="preserve">2.5 Bicycle routes — deriving an ordinal that is not in the data</w:t>
      </w:r>
    </w:p>
    <w:p>
      <w:pPr>
        <w:pStyle w:val="FirstParagraph"/>
      </w:pPr>
      <w:r>
        <w:t xml:space="preserve">“</w:t>
      </w:r>
      <w:r>
        <w:t xml:space="preserve">Protection level</w:t>
      </w:r>
      <w:r>
        <w:t xml:space="preserve">”</w:t>
      </w:r>
      <w:r>
        <w:t xml:space="preserve"> </w:t>
      </w:r>
      <w:r>
        <w:t xml:space="preserve">is not a field in the bike data; it must be</w:t>
      </w:r>
      <w:r>
        <w:t xml:space="preserve"> </w:t>
      </w:r>
      <w:r>
        <w:rPr>
          <w:iCs/>
          <w:i/>
        </w:rPr>
        <w:t xml:space="preserve">modelled</w:t>
      </w:r>
      <w:r>
        <w:t xml:space="preserve"> </w:t>
      </w:r>
      <w:r>
        <w:t xml:space="preserve">from route type and treatment names. I derive an ordinal by</w:t>
      </w:r>
      <w:r>
        <w:t xml:space="preserve"> </w:t>
      </w:r>
      <w:r>
        <w:rPr>
          <w:bCs/>
          <w:b/>
        </w:rPr>
        <w:t xml:space="preserve">physical separation from traffic</w:t>
      </w:r>
      <w:r>
        <w:t xml:space="preserve"> </w:t>
      </w:r>
      <w:r>
        <w:t xml:space="preserve">(off-road trail &gt; separated on-road &gt; painted on-road &gt; part-time &gt; informal/mixed) over the</w:t>
      </w:r>
      <w:r>
        <w:t xml:space="preserve"> </w:t>
      </w:r>
      <w:r>
        <w:rPr>
          <w:iCs/>
          <w:i/>
        </w:rPr>
        <w:t xml:space="preserve">physical</w:t>
      </w:r>
      <w:r>
        <w:t xml:space="preserve"> </w:t>
      </w:r>
      <w:r>
        <w:t xml:space="preserve">route types only, and — critically — carry the</w:t>
      </w:r>
      <w:r>
        <w:t xml:space="preserve"> </w:t>
      </w:r>
      <w:r>
        <w:t xml:space="preserve">“</w:t>
      </w:r>
      <w:r>
        <w:t xml:space="preserve">Strategic corridor</w:t>
      </w:r>
      <w:r>
        <w:t xml:space="preserve">”</w:t>
      </w:r>
      <w:r>
        <w:t xml:space="preserve"> </w:t>
      </w:r>
      <w:r>
        <w:t xml:space="preserve">class (a</w:t>
      </w:r>
      <w:r>
        <w:t xml:space="preserve"> </w:t>
      </w:r>
      <w:r>
        <w:rPr>
          <w:iCs/>
          <w:i/>
        </w:rPr>
        <w:t xml:space="preserve">planning</w:t>
      </w:r>
      <w:r>
        <w:t xml:space="preserve"> </w:t>
      </w:r>
      <w:r>
        <w:t xml:space="preserve">designation, ≈16 % of network length) as a</w:t>
      </w:r>
      <w:r>
        <w:t xml:space="preserve"> </w:t>
      </w:r>
      <w:r>
        <w:rPr>
          <w:bCs/>
          <w:b/>
        </w:rPr>
        <w:t xml:space="preserve">separate flag</w:t>
      </w:r>
      <w:r>
        <w:t xml:space="preserve">, not as the bottom rung of a physical-separation scale, because a planning corridor is not an unprotected path. The full</w:t>
      </w:r>
      <w:r>
        <w:t xml:space="preserve"> </w:t>
      </w:r>
      <w:r>
        <w:rPr>
          <w:bCs/>
          <w:b/>
        </w:rPr>
        <w:t xml:space="preserve">198.4 km</w:t>
      </w:r>
      <w:r>
        <w:t xml:space="preserve"> </w:t>
      </w:r>
      <w:r>
        <w:t xml:space="preserve">of network is reconciled in a printed length audit. Because the ordinal rests on a text match that can misclassify (e.g. </w:t>
      </w:r>
      <w:r>
        <w:t xml:space="preserve">“</w:t>
      </w:r>
      <w:r>
        <w:t xml:space="preserve">Double Chevron Separated</w:t>
      </w:r>
      <w:r>
        <w:t xml:space="preserve">”</w:t>
      </w:r>
      <w:r>
        <w:t xml:space="preserve">), protection is treated as</w:t>
      </w:r>
      <w:r>
        <w:t xml:space="preserve"> </w:t>
      </w:r>
      <w:r>
        <w:rPr>
          <w:iCs/>
          <w:i/>
        </w:rPr>
        <w:t xml:space="preserve">categorical context</w:t>
      </w:r>
      <w:r>
        <w:t xml:space="preserve"> </w:t>
      </w:r>
      <w:r>
        <w:t xml:space="preserve">in the exploration, not as a validated interval scale.</w:t>
      </w:r>
    </w:p>
    <w:bookmarkEnd w:id="25"/>
    <w:bookmarkStart w:id="26" w:name="boundary-integration-and-checking"/>
    <w:p>
      <w:pPr>
        <w:pStyle w:val="Heading2"/>
      </w:pPr>
      <w:r>
        <w:t xml:space="preserve">2.6 Boundary, integration and checking</w:t>
      </w:r>
    </w:p>
    <w:p>
      <w:pPr>
        <w:pStyle w:val="FirstParagraph"/>
      </w:pPr>
      <w:r>
        <w:t xml:space="preserve">“</w:t>
      </w:r>
      <w:r>
        <w:t xml:space="preserve">In the CoM</w:t>
      </w:r>
      <w:r>
        <w:t xml:space="preserve">”</w:t>
      </w:r>
      <w:r>
        <w:t xml:space="preserve"> </w:t>
      </w:r>
      <w:r>
        <w:t xml:space="preserve">is defined by</w:t>
      </w:r>
      <w:r>
        <w:t xml:space="preserve"> </w:t>
      </w:r>
      <w:r>
        <w:rPr>
          <w:bCs/>
          <w:b/>
        </w:rPr>
        <w:t xml:space="preserve">spatial intersection with the municipal-boundary polygon</w:t>
      </w:r>
      <w:r>
        <w:t xml:space="preserve">, not by suburb strings (which mis-scope split suburbs such as South Yarra and Port Melbourne). All layers are unified to</w:t>
      </w:r>
      <w:r>
        <w:t xml:space="preserve"> </w:t>
      </w:r>
      <w:r>
        <w:rPr>
          <w:bCs/>
          <w:b/>
        </w:rPr>
        <w:t xml:space="preserve">EPSG:7855 (GDA2020 / MGA Zone 55)</w:t>
      </w:r>
      <w:r>
        <w:t xml:space="preserve">, a projected CRS in metres: the source data are in degrees, and degrees are not a length unit, so any distance, length or density computed in degrees would be wrong. (EPSG:7855 is a metric transverse-Mercator; I justify it by</w:t>
      </w:r>
      <w:r>
        <w:t xml:space="preserve"> </w:t>
      </w:r>
      <w:r>
        <w:rPr>
          <w:iCs/>
          <w:i/>
        </w:rPr>
        <w:t xml:space="preserve">negligible area distortion at city scale</w:t>
      </w:r>
      <w:r>
        <w:t xml:space="preserve">, not as an equal-area projection.) A camera just outside the boundary can still be the nearest camera to a border site, so an</w:t>
      </w:r>
      <w:r>
        <w:t xml:space="preserve"> </w:t>
      </w:r>
      <w:r>
        <w:rPr>
          <w:bCs/>
          <w:b/>
        </w:rPr>
        <w:t xml:space="preserve">external 1 km buffer</w:t>
      </w:r>
      <w:r>
        <w:t xml:space="preserve"> </w:t>
      </w:r>
      <w:r>
        <w:t xml:space="preserve">is applied when computing distances.</w:t>
      </w:r>
    </w:p>
    <w:p>
      <w:pPr>
        <w:pStyle w:val="BodyText"/>
      </w:pPr>
      <w:r>
        <w:t xml:space="preserve">The checking process is designed to</w:t>
      </w:r>
      <w:r>
        <w:t xml:space="preserve"> </w:t>
      </w:r>
      <w:r>
        <w:rPr>
          <w:iCs/>
          <w:i/>
        </w:rPr>
        <w:t xml:space="preserve">catch</w:t>
      </w:r>
      <w:r>
        <w:t xml:space="preserve"> </w:t>
      </w:r>
      <w:r>
        <w:t xml:space="preserve">errors, not merely to run: the presence-only verification (0 zeros / 0 NA) is what exposed the missing≔0 problem; the boundary test is what caught the mis-geocode; the length audit is what reconciles the full network; and the coverage-window and span-cut-off tables are what let weakly-observed sites be flagged and stress-tested rather than trusted.</w:t>
      </w:r>
    </w:p>
    <w:bookmarkEnd w:id="26"/>
    <w:bookmarkEnd w:id="27"/>
    <w:bookmarkStart w:id="36" w:name="data-exploration"/>
    <w:p>
      <w:pPr>
        <w:pStyle w:val="Heading1"/>
      </w:pPr>
      <w:r>
        <w:t xml:space="preserve">3 · Data Exploration</w:t>
      </w:r>
    </w:p>
    <w:bookmarkStart w:id="31" w:name="one-method-one-estimand"/>
    <w:p>
      <w:pPr>
        <w:pStyle w:val="Heading2"/>
      </w:pPr>
      <w:r>
        <w:t xml:space="preserve">3.0 One method, one estimand</w:t>
      </w:r>
    </w:p>
    <w:p>
      <w:pPr>
        <w:pStyle w:val="FirstParagraph"/>
      </w:pPr>
      <w:r>
        <w:t xml:space="preserve">Every method below answers a single declared quantity (an</w:t>
      </w:r>
      <w:r>
        <w:t xml:space="preserve"> </w:t>
      </w:r>
      <w:r>
        <w:rPr>
          <w:iCs/>
          <w:i/>
        </w:rPr>
        <w:t xml:space="preserve">estimand</w:t>
      </w:r>
      <w:r>
        <w:t xml:space="preserve">), and any computation without a question attached was demoted to a supporting cross-check or removed. Version 3 of this analysis deliberately</w:t>
      </w:r>
      <w:r>
        <w:t xml:space="preserve"> </w:t>
      </w:r>
      <w:r>
        <w:rPr>
          <w:bCs/>
          <w:b/>
        </w:rPr>
        <w:t xml:space="preserve">removed</w:t>
      </w:r>
      <w:r>
        <w:t xml:space="preserve"> </w:t>
      </w:r>
      <w:r>
        <w:t xml:space="preserve">the clustering, seasonal-decomposition, local-autocorrelation and bivariate-choropleth methods used in an earlier draft: each either had a real defect on this data or added no answer, and deleting non-contributing sophistication is a deliberate choice in favour of depth over breadth (defended in the Reflection). The analytical core is exactly three methods, one per RQ.</w:t>
      </w:r>
    </w:p>
    <w:p>
      <w:pPr>
        <w:pStyle w:val="BodyText"/>
      </w:pPr>
      <w:r>
        <w:drawing>
          <wp:inline>
            <wp:extent cx="5334000" cy="1272330"/>
            <wp:effectExtent b="0" l="0" r="0" t="0"/>
            <wp:docPr descr="" title="" id="29" name="Picture"/>
            <a:graphic>
              <a:graphicData uri="http://schemas.openxmlformats.org/drawingml/2006/picture">
                <pic:pic>
                  <pic:nvPicPr>
                    <pic:cNvPr descr="report_assets/evidence_chain.png" id="30" name="Picture"/>
                    <pic:cNvPicPr>
                      <a:picLocks noChangeArrowheads="1" noChangeAspect="1"/>
                    </pic:cNvPicPr>
                  </pic:nvPicPr>
                  <pic:blipFill>
                    <a:blip r:embed="rId28"/>
                    <a:stretch>
                      <a:fillRect/>
                    </a:stretch>
                  </pic:blipFill>
                  <pic:spPr bwMode="auto">
                    <a:xfrm>
                      <a:off x="0" y="0"/>
                      <a:ext cx="5334000" cy="1272330"/>
                    </a:xfrm>
                    <a:prstGeom prst="rect">
                      <a:avLst/>
                    </a:prstGeom>
                    <a:noFill/>
                    <a:ln w="9525">
                      <a:noFill/>
                      <a:headEnd/>
                      <a:tailEnd/>
                    </a:ln>
                  </pic:spPr>
                </pic:pic>
              </a:graphicData>
            </a:graphic>
          </wp:inline>
        </w:drawing>
      </w:r>
    </w:p>
    <w:p>
      <w:pPr>
        <w:pStyle w:val="BodyText"/>
      </w:pPr>
      <w:r>
        <w:rPr>
          <w:bCs/>
          <w:b/>
        </w:rPr>
        <w:t xml:space="preserve">Figure M0.</w:t>
      </w:r>
      <w:r>
        <w:t xml:space="preserve"> </w:t>
      </w:r>
      <w:r>
        <w:t xml:space="preserve">The project as one evidence chain: measurement audit → RQ1 spatial alignment → RQ2 temporal movement of that</w:t>
      </w:r>
      <w:r>
        <w:t xml:space="preserve"> </w:t>
      </w:r>
      <w:r>
        <w:rPr>
          <w:iCs/>
          <w:i/>
        </w:rPr>
        <w:t xml:space="preserve">same</w:t>
      </w:r>
      <w:r>
        <w:t xml:space="preserve"> </w:t>
      </w:r>
      <w:r>
        <w:t xml:space="preserve">alignment → RQ3 network continuity → synthesis. Each link earns its place only by feeding the next.</w:t>
      </w:r>
    </w:p>
    <w:bookmarkEnd w:id="31"/>
    <w:bookmarkStart w:id="32" w:name="rq1-spatial-alignment"/>
    <w:p>
      <w:pPr>
        <w:pStyle w:val="Heading2"/>
      </w:pPr>
      <w:r>
        <w:t xml:space="preserve">3.1 RQ1 — Spatial alignment</w:t>
      </w:r>
    </w:p>
    <w:p>
      <w:pPr>
        <w:pStyle w:val="FirstParagraph"/>
      </w:pPr>
      <w:r>
        <w:rPr>
          <w:bCs/>
          <w:b/>
        </w:rPr>
        <w:t xml:space="preserve">Estimand.</w:t>
      </w:r>
      <w:r>
        <w:t xml:space="preserve"> </w:t>
      </w:r>
      <w:r>
        <w:t xml:space="preserve">For a distance</w:t>
      </w:r>
      <w:r>
        <w:t xml:space="preserve"> </w:t>
      </w:r>
      <w:r>
        <w:rPr>
          <w:rStyle w:val="VerbatimChar"/>
        </w:rPr>
        <w:t xml:space="preserve">d</w:t>
      </w:r>
      <w:r>
        <w:t xml:space="preserve">, the activity-weighted coverage</w:t>
      </w:r>
      <w:r>
        <w:t xml:space="preserve"> </w:t>
      </w:r>
      <w:r>
        <w:rPr>
          <w:rStyle w:val="VerbatimChar"/>
        </w:rPr>
        <w:t xml:space="preserve">Cm(d) = Σ Aᵢ·1(Dᵢ≤d) / Σ Aᵢ</w:t>
      </w:r>
      <w:r>
        <w:t xml:space="preserve"> </w:t>
      </w:r>
      <w:r>
        <w:t xml:space="preserve">(the share of</w:t>
      </w:r>
      <w:r>
        <w:t xml:space="preserve"> </w:t>
      </w:r>
      <w:r>
        <w:rPr>
          <w:iCs/>
          <w:i/>
        </w:rPr>
        <w:t xml:space="preserve">activity</w:t>
      </w:r>
      <w:r>
        <w:t xml:space="preserve"> </w:t>
      </w:r>
      <w:r>
        <w:t xml:space="preserve">within</w:t>
      </w:r>
      <w:r>
        <w:t xml:space="preserve"> </w:t>
      </w:r>
      <w:r>
        <w:rPr>
          <w:rStyle w:val="VerbatimChar"/>
        </w:rPr>
        <w:t xml:space="preserve">d</w:t>
      </w:r>
      <w:r>
        <w:t xml:space="preserve"> </w:t>
      </w:r>
      <w:r>
        <w:t xml:space="preserve">of a fixed camera) is compared against a site-placement benchmark</w:t>
      </w:r>
      <w:r>
        <w:t xml:space="preserve"> </w:t>
      </w:r>
      <w:r>
        <w:rPr>
          <w:rStyle w:val="VerbatimChar"/>
        </w:rPr>
        <w:t xml:space="preserve">U(d) = (1/n) Σ 1(Dᵢ≤d)</w:t>
      </w:r>
      <w:r>
        <w:t xml:space="preserve"> </w:t>
      </w:r>
      <w:r>
        <w:t xml:space="preserve">(the share of</w:t>
      </w:r>
      <w:r>
        <w:t xml:space="preserve"> </w:t>
      </w:r>
      <w:r>
        <w:rPr>
          <w:iCs/>
          <w:i/>
        </w:rPr>
        <w:t xml:space="preserve">sites</w:t>
      </w:r>
      <w:r>
        <w:t xml:space="preserve"> </w:t>
      </w:r>
      <w:r>
        <w:t xml:space="preserve">within</w:t>
      </w:r>
      <w:r>
        <w:t xml:space="preserve"> </w:t>
      </w:r>
      <w:r>
        <w:rPr>
          <w:rStyle w:val="VerbatimChar"/>
        </w:rPr>
        <w:t xml:space="preserve">d</w:t>
      </w:r>
      <w:r>
        <w:t xml:space="preserve">, all eligible sites including genuine zeros). The</w:t>
      </w:r>
      <w:r>
        <w:t xml:space="preserve"> </w:t>
      </w:r>
      <w:r>
        <w:rPr>
          <w:bCs/>
          <w:b/>
        </w:rPr>
        <w:t xml:space="preserve">gap</w:t>
      </w:r>
      <w:r>
        <w:rPr>
          <w:bCs/>
          <w:b/>
        </w:rPr>
        <w:t xml:space="preserve"> </w:t>
      </w:r>
      <w:r>
        <w:rPr>
          <w:rStyle w:val="VerbatimChar"/>
          <w:bCs/>
          <w:b/>
        </w:rPr>
        <w:t xml:space="preserve">Cm(d) − U(d)</w:t>
      </w:r>
      <w:r>
        <w:t xml:space="preserve"> </w:t>
      </w:r>
      <w:r>
        <w:t xml:space="preserve">is the alignment signal: above 0, activity concentrates nearer cameras than a uniform siting would give; near 0, the recorded activity share near cameras is</w:t>
      </w:r>
      <w:r>
        <w:t xml:space="preserve"> </w:t>
      </w:r>
      <w:r>
        <w:rPr>
          <w:iCs/>
          <w:i/>
        </w:rPr>
        <w:t xml:space="preserve">similar to</w:t>
      </w:r>
      <w:r>
        <w:t xml:space="preserve"> </w:t>
      </w:r>
      <w:r>
        <w:t xml:space="preserve">the site benchmark; below 0, activity skews farther. A single</w:t>
      </w:r>
      <w:r>
        <w:t xml:space="preserve"> </w:t>
      </w:r>
      <w:r>
        <w:t xml:space="preserve">“</w:t>
      </w:r>
      <w:r>
        <w:t xml:space="preserve">% within 500 m</w:t>
      </w:r>
      <w:r>
        <w:t xml:space="preserve">”</w:t>
      </w:r>
      <w:r>
        <w:t xml:space="preserve"> </w:t>
      </w:r>
      <w:r>
        <w:t xml:space="preserve">is uninterpretable because it has nothing to compare against; the benchmark is what turns it into a signal.</w:t>
      </w:r>
    </w:p>
    <w:p>
      <w:pPr>
        <w:pStyle w:val="BodyText"/>
      </w:pPr>
      <w:r>
        <w:rPr>
          <w:bCs/>
          <w:b/>
        </w:rPr>
        <w:t xml:space="preserve">Why this is the correct construction.</w:t>
      </w:r>
      <w:r>
        <w:t xml:space="preserve"> </w:t>
      </w:r>
      <w:r>
        <w:t xml:space="preserve">The benchmark is the honest null for the RQ (</w:t>
      </w:r>
      <w:r>
        <w:t xml:space="preserve">“</w:t>
      </w:r>
      <w:r>
        <w:t xml:space="preserve">cameras placed irrespective of activity</w:t>
      </w:r>
      <w:r>
        <w:t xml:space="preserve">”</w:t>
      </w:r>
      <w:r>
        <w:t xml:space="preserve">), the activity weighting makes genuine zero-activity sites contribute zero weight automatically, and the curves are drawn as step functions from a shared zero origin so the flat ends (no sites within a tiny</w:t>
      </w:r>
      <w:r>
        <w:t xml:space="preserve"> </w:t>
      </w:r>
      <w:r>
        <w:rPr>
          <w:rStyle w:val="VerbatimChar"/>
        </w:rPr>
        <w:t xml:space="preserve">d</w:t>
      </w:r>
      <w:r>
        <w:t xml:space="preserve">; all sites within a large</w:t>
      </w:r>
      <w:r>
        <w:t xml:space="preserve"> </w:t>
      </w:r>
      <w:r>
        <w:rPr>
          <w:rStyle w:val="VerbatimChar"/>
        </w:rPr>
        <w:t xml:space="preserve">d</w:t>
      </w:r>
      <w:r>
        <w:t xml:space="preserve">) are visible rather than hidden. No inferential p-value is claimed: an unrestricted activity permutation is not a valid spatial null on this small, selective network, so the earlier draft’s permutation test was removed.</w:t>
      </w:r>
    </w:p>
    <w:p>
      <w:pPr>
        <w:pStyle w:val="BlockText"/>
      </w:pPr>
      <w:r>
        <w:rPr>
          <w:bCs/>
          <w:b/>
        </w:rPr>
        <w:t xml:space="preserve">⟦FIGURE F-RQ1 (hero composite)⟧</w:t>
      </w:r>
      <w:r>
        <w:t xml:space="preserve"> </w:t>
      </w:r>
      <w:r>
        <w:t xml:space="preserve">(insert</w:t>
      </w:r>
      <w:r>
        <w:t xml:space="preserve"> </w:t>
      </w:r>
      <w:r>
        <w:rPr>
          <w:rStyle w:val="VerbatimChar"/>
        </w:rPr>
        <w:t xml:space="preserve">out/F_RQ1_hero.png</w:t>
      </w:r>
      <w:r>
        <w:t xml:space="preserve">)</w:t>
      </w:r>
      <w:r>
        <w:t xml:space="preserve"> </w:t>
      </w:r>
      <w:r>
        <w:rPr>
          <w:bCs/>
          <w:b/>
        </w:rPr>
        <w:t xml:space="preserve">Figure F-RQ1.</w:t>
      </w:r>
      <w:r>
        <w:t xml:space="preserve"> </w:t>
      </w:r>
      <w:r>
        <w:rPr>
          <w:iCs/>
          <w:i/>
        </w:rPr>
        <w:t xml:space="preserve">Top (F-RQ1b):</w:t>
      </w:r>
      <w:r>
        <w:t xml:space="preserve"> </w:t>
      </w:r>
      <w:r>
        <w:t xml:space="preserve">the spatial alignment gap</w:t>
      </w:r>
      <w:r>
        <w:t xml:space="preserve"> </w:t>
      </w:r>
      <w:r>
        <w:rPr>
          <w:rStyle w:val="VerbatimChar"/>
        </w:rPr>
        <w:t xml:space="preserve">Cm(d) − U(d)</w:t>
      </w:r>
      <w:r>
        <w:t xml:space="preserve"> </w:t>
      </w:r>
      <w:r>
        <w:t xml:space="preserve">against distance to the nearest fixed camera, per mode, with a zero reference.</w:t>
      </w:r>
      <w:r>
        <w:t xml:space="preserve"> </w:t>
      </w:r>
      <w:r>
        <w:rPr>
          <w:iCs/>
          <w:i/>
        </w:rPr>
        <w:t xml:space="preserve">Bottom (F-RQ1f):</w:t>
      </w:r>
      <w:r>
        <w:t xml:space="preserve"> </w:t>
      </w:r>
      <w:r>
        <w:t xml:space="preserve">the</w:t>
      </w:r>
      <w:r>
        <w:t xml:space="preserve"> </w:t>
      </w:r>
      <w:r>
        <w:rPr>
          <w:bCs/>
          <w:b/>
        </w:rPr>
        <w:t xml:space="preserve">gap decomposition</w:t>
      </w:r>
      <w:r>
        <w:t xml:space="preserve"> </w:t>
      </w:r>
      <w:r>
        <w:t xml:space="preserve">— each site’s signed contribution</w:t>
      </w:r>
      <w:r>
        <w:t xml:space="preserve"> </w:t>
      </w:r>
      <w:r>
        <w:rPr>
          <w:rStyle w:val="VerbatimChar"/>
        </w:rPr>
        <w:t xml:space="preserve">qᵢ = (Aᵢ/ΣA − 1/n)·1(Dᵢ≤500)</w:t>
      </w:r>
      <w:r>
        <w:t xml:space="preserve">, which sums exactly to the gap at 500 m; blue sites raise the gap, red sites lower it.</w:t>
      </w:r>
      <w:r>
        <w:t xml:space="preserve"> </w:t>
      </w:r>
      <w:r>
        <w:rPr>
          <w:bCs/>
          <w:b/>
        </w:rPr>
        <w:t xml:space="preserve">How to read:</w:t>
      </w:r>
      <w:r>
        <w:t xml:space="preserve"> </w:t>
      </w:r>
      <w:r>
        <w:t xml:space="preserve">the top panel answers</w:t>
      </w:r>
      <w:r>
        <w:t xml:space="preserve"> </w:t>
      </w:r>
      <w:r>
        <w:rPr>
          <w:iCs/>
          <w:i/>
        </w:rPr>
        <w:t xml:space="preserve">how large</w:t>
      </w:r>
      <w:r>
        <w:t xml:space="preserve"> </w:t>
      </w:r>
      <w:r>
        <w:t xml:space="preserve">the alignment gap is; the bottom answers</w:t>
      </w:r>
      <w:r>
        <w:t xml:space="preserve"> </w:t>
      </w:r>
      <w:r>
        <w:rPr>
          <w:iCs/>
          <w:i/>
        </w:rPr>
        <w:t xml:space="preserve">which sites create it</w:t>
      </w:r>
      <w:r>
        <w:t xml:space="preserve">, and whether the result rests on one or two loud sites.</w:t>
      </w:r>
    </w:p>
    <w:p>
      <w:pPr>
        <w:pStyle w:val="FirstParagraph"/>
      </w:pPr>
      <w:r>
        <w:rPr>
          <w:bCs/>
          <w:b/>
        </w:rPr>
        <w:t xml:space="preserve">Reading the result (to be finalised from the knit).</w:t>
      </w:r>
      <w:r>
        <w:t xml:space="preserve"> </w:t>
      </w:r>
      <w:r>
        <w:t xml:space="preserve">The gap at 500 m is</w:t>
      </w:r>
      <w:r>
        <w:t xml:space="preserve"> </w:t>
      </w:r>
      <w:r>
        <w:rPr>
          <w:bCs/>
          <w:b/>
        </w:rPr>
        <w:t xml:space="preserve">[__ pp — from</w:t>
      </w:r>
      <w:r>
        <w:rPr>
          <w:bCs/>
          <w:b/>
        </w:rPr>
        <w:t xml:space="preserve"> </w:t>
      </w:r>
      <w:r>
        <w:rPr>
          <w:rStyle w:val="VerbatimChar"/>
          <w:bCs/>
          <w:b/>
        </w:rPr>
        <w:t xml:space="preserve">F-RQ1</w:t>
      </w:r>
      <w:r>
        <w:rPr>
          <w:bCs/>
          <w:b/>
        </w:rPr>
        <w:t xml:space="preserve"> </w:t>
      </w:r>
      <w:r>
        <w:rPr>
          <w:bCs/>
          <w:b/>
        </w:rPr>
        <w:t xml:space="preserve">/ distance table]</w:t>
      </w:r>
      <w:r>
        <w:t xml:space="preserve">; the distance-threshold-sensitivity profile at 100 / 250 / 500 / 750 / 1000 m shows whether that sign and size persist across cut-points (it is a</w:t>
      </w:r>
      <w:r>
        <w:t xml:space="preserve"> </w:t>
      </w:r>
      <w:r>
        <w:rPr>
          <w:iCs/>
          <w:i/>
        </w:rPr>
        <w:t xml:space="preserve">threshold-sensitivity profile</w:t>
      </w:r>
      <w:r>
        <w:t xml:space="preserve">, not a causal distance response). The leave-one-site-out range is</w:t>
      </w:r>
      <w:r>
        <w:t xml:space="preserve"> </w:t>
      </w:r>
      <w:r>
        <w:rPr>
          <w:bCs/>
          <w:b/>
        </w:rPr>
        <w:t xml:space="preserve">[__ to __ pp]</w:t>
      </w:r>
      <w:r>
        <w:t xml:space="preserve">, and note this movement is</w:t>
      </w:r>
      <w:r>
        <w:t xml:space="preserve"> </w:t>
      </w:r>
      <w:r>
        <w:rPr>
          <w:iCs/>
          <w:i/>
        </w:rPr>
        <w:t xml:space="preserve">not</w:t>
      </w:r>
      <w:r>
        <w:t xml:space="preserve"> </w:t>
      </w:r>
      <w:r>
        <w:t xml:space="preserve">mechanically 1/n because</w:t>
      </w:r>
      <w:r>
        <w:t xml:space="preserve"> </w:t>
      </w:r>
      <w:r>
        <w:rPr>
          <w:rStyle w:val="VerbatimChar"/>
        </w:rPr>
        <w:t xml:space="preserve">Σ A</w:t>
      </w:r>
      <w:r>
        <w:t xml:space="preserve"> </w:t>
      </w:r>
      <w:r>
        <w:t xml:space="preserve">in</w:t>
      </w:r>
      <w:r>
        <w:t xml:space="preserve"> </w:t>
      </w:r>
      <w:r>
        <w:rPr>
          <w:rStyle w:val="VerbatimChar"/>
        </w:rPr>
        <w:t xml:space="preserve">Cm</w:t>
      </w:r>
      <w:r>
        <w:t xml:space="preserve"> </w:t>
      </w:r>
      <w:r>
        <w:t xml:space="preserve">also shifts when a site is dropped. The gap-decomposition identity is verified in code (</w:t>
      </w:r>
      <w:r>
        <w:rPr>
          <w:rStyle w:val="VerbatimChar"/>
        </w:rPr>
        <w:t xml:space="preserve">Σ qᵢ</w:t>
      </w:r>
      <w:r>
        <w:t xml:space="preserve"> </w:t>
      </w:r>
      <w:r>
        <w:t xml:space="preserve">must equal the printed gap), and F-RQ1f names the specific sites driving the result. On the corroborated direction of this data, activity is broadly</w:t>
      </w:r>
      <w:r>
        <w:t xml:space="preserve"> </w:t>
      </w:r>
      <w:r>
        <w:rPr>
          <w:iCs/>
          <w:i/>
        </w:rPr>
        <w:t xml:space="preserve">decoupled</w:t>
      </w:r>
      <w:r>
        <w:t xml:space="preserve"> </w:t>
      </w:r>
      <w:r>
        <w:t xml:space="preserve">from fixed-camera placement — the busiest pedestrian and cyclist places (the CBD spine and riverside promenades) carry little fixed enforcement, which sits on the arterial ring — but the exact magnitude and its robustness are read from the printed diagnostics, not asserted here.</w:t>
      </w:r>
    </w:p>
    <w:p>
      <w:pPr>
        <w:pStyle w:val="BodyText"/>
      </w:pPr>
      <w:r>
        <w:rPr>
          <w:bCs/>
          <w:b/>
        </w:rPr>
        <w:t xml:space="preserve">Supporting context.</w:t>
      </w:r>
      <w:r>
        <w:t xml:space="preserve"> </w:t>
      </w:r>
      <w:r>
        <w:t xml:space="preserve">Global Moran’s I across k = 4/6/8 neighbours tests only whether activity is</w:t>
      </w:r>
      <w:r>
        <w:t xml:space="preserve"> </w:t>
      </w:r>
      <w:r>
        <w:rPr>
          <w:iCs/>
          <w:i/>
        </w:rPr>
        <w:t xml:space="preserve">spatially clustered at all</w:t>
      </w:r>
      <w:r>
        <w:t xml:space="preserve"> </w:t>
      </w:r>
      <w:r>
        <w:t xml:space="preserve">(so that</w:t>
      </w:r>
      <w:r>
        <w:t xml:space="preserve"> </w:t>
      </w:r>
      <w:r>
        <w:t xml:space="preserve">“</w:t>
      </w:r>
      <w:r>
        <w:t xml:space="preserve">the busy core</w:t>
      </w:r>
      <w:r>
        <w:t xml:space="preserve">”</w:t>
      </w:r>
      <w:r>
        <w:t xml:space="preserve"> </w:t>
      </w:r>
      <w:r>
        <w:t xml:space="preserve">is a real spatial feature, not a few loud sites); it does</w:t>
      </w:r>
      <w:r>
        <w:t xml:space="preserve"> </w:t>
      </w:r>
      <w:r>
        <w:rPr>
          <w:bCs/>
          <w:b/>
        </w:rPr>
        <w:t xml:space="preserve">not</w:t>
      </w:r>
      <w:r>
        <w:t xml:space="preserve"> </w:t>
      </w:r>
      <w:r>
        <w:t xml:space="preserve">test camera alignment, and is labelled as context. A mode-faceted activity map (F-RQ1e, appendix) shows the geography, with a scale bar so the 250 m / 500 m distances are legible.</w:t>
      </w:r>
    </w:p>
    <w:p>
      <w:pPr>
        <w:pStyle w:val="BodyText"/>
      </w:pPr>
      <w:r>
        <w:rPr>
          <w:bCs/>
          <w:b/>
        </w:rPr>
        <w:t xml:space="preserve">Limitation.</w:t>
      </w:r>
      <w:r>
        <w:t xml:space="preserve"> </w:t>
      </w:r>
      <w:r>
        <w:t xml:space="preserve">The finding is strictly associational, and cameras are sited for</w:t>
      </w:r>
      <w:r>
        <w:t xml:space="preserve"> </w:t>
      </w:r>
      <w:r>
        <w:rPr>
          <w:iCs/>
          <w:i/>
        </w:rPr>
        <w:t xml:space="preserve">vehicle</w:t>
      </w:r>
      <w:r>
        <w:t xml:space="preserve">-offence risk, so a degree of spatial decoupling from VRU activity is expected rather than a scandal; it is framed as description, not blame.</w:t>
      </w:r>
    </w:p>
    <w:bookmarkEnd w:id="32"/>
    <w:bookmarkStart w:id="33" w:name="rq2-temporal-movement-of-the-alignment"/>
    <w:p>
      <w:pPr>
        <w:pStyle w:val="Heading2"/>
      </w:pPr>
      <w:r>
        <w:t xml:space="preserve">3.2 RQ2 — Temporal movement of the alignment</w:t>
      </w:r>
    </w:p>
    <w:p>
      <w:pPr>
        <w:pStyle w:val="FirstParagraph"/>
      </w:pPr>
      <w:r>
        <w:rPr>
          <w:bCs/>
          <w:b/>
        </w:rPr>
        <w:t xml:space="preserve">Estimand.</w:t>
      </w:r>
      <w:r>
        <w:t xml:space="preserve"> </w:t>
      </w:r>
      <w:r>
        <w:t xml:space="preserve">RQ2</w:t>
      </w:r>
      <w:r>
        <w:t xml:space="preserve"> </w:t>
      </w:r>
      <w:r>
        <w:rPr>
          <w:iCs/>
          <w:i/>
        </w:rPr>
        <w:t xml:space="preserve">inherits</w:t>
      </w:r>
      <w:r>
        <w:t xml:space="preserve"> </w:t>
      </w:r>
      <w:r>
        <w:t xml:space="preserve">RQ1’s benchmark: the</w:t>
      </w:r>
      <w:r>
        <w:t xml:space="preserve"> </w:t>
      </w:r>
      <w:r>
        <w:rPr>
          <w:bCs/>
          <w:b/>
        </w:rPr>
        <w:t xml:space="preserve">temporal alignment gap</w:t>
      </w:r>
      <w:r>
        <w:t xml:space="preserve"> </w:t>
      </w:r>
      <w:r>
        <w:rPr>
          <w:rStyle w:val="VerbatimChar"/>
        </w:rPr>
        <w:t xml:space="preserve">Gt(d) = Ct(d) − U(d)</w:t>
      </w:r>
      <w:r>
        <w:t xml:space="preserve"> </w:t>
      </w:r>
      <w:r>
        <w:t xml:space="preserve">is the same</w:t>
      </w:r>
      <w:r>
        <w:t xml:space="preserve"> </w:t>
      </w:r>
      <w:r>
        <w:rPr>
          <w:rStyle w:val="VerbatimChar"/>
        </w:rPr>
        <w:t xml:space="preserve">Cm − U</w:t>
      </w:r>
      <w:r>
        <w:t xml:space="preserve"> </w:t>
      </w:r>
      <w:r>
        <w:t xml:space="preserve">quantity, now indexed by hour, with</w:t>
      </w:r>
      <w:r>
        <w:t xml:space="preserve"> </w:t>
      </w:r>
      <w:r>
        <w:rPr>
          <w:rStyle w:val="VerbatimChar"/>
        </w:rPr>
        <w:t xml:space="preserve">U(500)</w:t>
      </w:r>
      <w:r>
        <w:t xml:space="preserve"> </w:t>
      </w:r>
      <w:r>
        <w:t xml:space="preserve">held constant across hours. The companion measure is the</w:t>
      </w:r>
      <w:r>
        <w:t xml:space="preserve"> </w:t>
      </w:r>
      <w:r>
        <w:rPr>
          <w:bCs/>
          <w:b/>
        </w:rPr>
        <w:t xml:space="preserve">aggregate far-from-camera activity</w:t>
      </w:r>
      <w:r>
        <w:t xml:space="preserve"> </w:t>
      </w:r>
      <w:r>
        <w:rPr>
          <w:rStyle w:val="VerbatimChar"/>
        </w:rPr>
        <w:t xml:space="preserve">Bmt(d)</w:t>
      </w:r>
      <w:r>
        <w:t xml:space="preserve"> </w:t>
      </w:r>
      <w:r>
        <w:t xml:space="preserve">— the volume of crossings beyond 500 m — because a constant</w:t>
      </w:r>
      <w:r>
        <w:t xml:space="preserve"> </w:t>
      </w:r>
      <w:r>
        <w:rPr>
          <w:iCs/>
          <w:i/>
        </w:rPr>
        <w:t xml:space="preserve">share</w:t>
      </w:r>
      <w:r>
        <w:t xml:space="preserve"> </w:t>
      </w:r>
      <w:r>
        <w:t xml:space="preserve">gap can still hide a changing</w:t>
      </w:r>
      <w:r>
        <w:t xml:space="preserve"> </w:t>
      </w:r>
      <w:r>
        <w:rPr>
          <w:iCs/>
          <w:i/>
        </w:rPr>
        <w:t xml:space="preserve">amount</w:t>
      </w:r>
      <w:r>
        <w:t xml:space="preserve"> </w:t>
      </w:r>
      <w:r>
        <w:t xml:space="preserve">of far-away activity. This inheritance is the single biggest coherence gain of the analysis: RQ1 measures the spatial alignment gap, and RQ2 asks how</w:t>
      </w:r>
      <w:r>
        <w:t xml:space="preserve"> </w:t>
      </w:r>
      <w:r>
        <w:rPr>
          <w:iCs/>
          <w:i/>
        </w:rPr>
        <w:t xml:space="preserve">that same gap</w:t>
      </w:r>
      <w:r>
        <w:t xml:space="preserve"> </w:t>
      </w:r>
      <w:r>
        <w:t xml:space="preserve">moves through time, rather than introducing a fresh, incomparable baseline.</w:t>
      </w:r>
    </w:p>
    <w:p>
      <w:pPr>
        <w:pStyle w:val="BodyText"/>
      </w:pPr>
      <w:r>
        <w:rPr>
          <w:bCs/>
          <w:b/>
        </w:rPr>
        <w:t xml:space="preserve">The RQ2 answer is exactly three views</w:t>
      </w:r>
      <w:r>
        <w:t xml:space="preserve">, and the section is disciplined about this: the hourly gap</w:t>
      </w:r>
      <w:r>
        <w:t xml:space="preserve"> </w:t>
      </w:r>
      <w:r>
        <w:rPr>
          <w:rStyle w:val="VerbatimChar"/>
        </w:rPr>
        <w:t xml:space="preserve">Gt</w:t>
      </w:r>
      <w:r>
        <w:t xml:space="preserve"> </w:t>
      </w:r>
      <w:r>
        <w:t xml:space="preserve">(hero), the far-magnitude</w:t>
      </w:r>
      <w:r>
        <w:t xml:space="preserve"> </w:t>
      </w:r>
      <w:r>
        <w:rPr>
          <w:rStyle w:val="VerbatimChar"/>
        </w:rPr>
        <w:t xml:space="preserve">Bmt</w:t>
      </w:r>
      <w:r>
        <w:t xml:space="preserve">, and the weekly</w:t>
      </w:r>
      <w:r>
        <w:t xml:space="preserve"> </w:t>
      </w:r>
      <w:r>
        <w:rPr>
          <w:iCs/>
          <w:i/>
        </w:rPr>
        <w:t xml:space="preserve">paired</w:t>
      </w:r>
      <w:r>
        <w:t xml:space="preserve"> </w:t>
      </w:r>
      <w:r>
        <w:t xml:space="preserve">persistence</w:t>
      </w:r>
      <w:r>
        <w:t xml:space="preserve"> </w:t>
      </w:r>
      <w:r>
        <w:rPr>
          <w:rStyle w:val="VerbatimChar"/>
        </w:rPr>
        <w:t xml:space="preserve">Δw = Cmt,PM − Cmt,AM</w:t>
      </w:r>
      <w:r>
        <w:t xml:space="preserve"> </w:t>
      </w:r>
      <w:r>
        <w:t xml:space="preserve">(a within-week difference, in which the shared</w:t>
      </w:r>
      <w:r>
        <w:t xml:space="preserve"> </w:t>
      </w:r>
      <w:r>
        <w:rPr>
          <w:rStyle w:val="VerbatimChar"/>
        </w:rPr>
        <w:t xml:space="preserve">U</w:t>
      </w:r>
      <w:r>
        <w:t xml:space="preserve"> </w:t>
      </w:r>
      <w:r>
        <w:t xml:space="preserve">cancels, so it is a clean paired contrast). Everything else in the section — the per-clock-hour intensity heatmap and the signed PM−AM balance map — is</w:t>
      </w:r>
      <w:r>
        <w:t xml:space="preserve"> </w:t>
      </w:r>
      <w:r>
        <w:rPr>
          <w:bCs/>
          <w:b/>
        </w:rPr>
        <w:t xml:space="preserve">activity-rhythm context for reading the gap, not an alignment test</w:t>
      </w:r>
      <w:r>
        <w:t xml:space="preserve">, and is labelled as such so RQ2 does not drift into a generic description of</w:t>
      </w:r>
      <w:r>
        <w:t xml:space="preserve"> </w:t>
      </w:r>
      <w:r>
        <w:t xml:space="preserve">“</w:t>
      </w:r>
      <w:r>
        <w:t xml:space="preserve">temporal patterns of activity.</w:t>
      </w:r>
      <w:r>
        <w:t xml:space="preserve">”</w:t>
      </w:r>
    </w:p>
    <w:p>
      <w:pPr>
        <w:pStyle w:val="BodyText"/>
      </w:pPr>
      <w:r>
        <w:t xml:space="preserve">The AM (07–09 h) and PM (16–18 h) windows are predefined transport commuter-peak windows, fixed</w:t>
      </w:r>
      <w:r>
        <w:t xml:space="preserve"> </w:t>
      </w:r>
      <w:r>
        <w:rPr>
          <w:iCs/>
          <w:i/>
        </w:rPr>
        <w:t xml:space="preserve">a priori</w:t>
      </w:r>
      <w:r>
        <w:t xml:space="preserve">, not chosen to maximise the finding.</w:t>
      </w:r>
    </w:p>
    <w:p>
      <w:pPr>
        <w:pStyle w:val="BlockText"/>
      </w:pPr>
      <w:r>
        <w:rPr>
          <w:bCs/>
          <w:b/>
        </w:rPr>
        <w:t xml:space="preserve">⟦FIGURE F-RQ2 (hero composite)⟧</w:t>
      </w:r>
      <w:r>
        <w:t xml:space="preserve"> </w:t>
      </w:r>
      <w:r>
        <w:t xml:space="preserve">(insert</w:t>
      </w:r>
      <w:r>
        <w:t xml:space="preserve"> </w:t>
      </w:r>
      <w:r>
        <w:rPr>
          <w:rStyle w:val="VerbatimChar"/>
        </w:rPr>
        <w:t xml:space="preserve">out/F_RQ2ab_gap_magnitude.png</w:t>
      </w:r>
      <w:r>
        <w:t xml:space="preserve">)</w:t>
      </w:r>
      <w:r>
        <w:t xml:space="preserve"> </w:t>
      </w:r>
      <w:r>
        <w:rPr>
          <w:bCs/>
          <w:b/>
        </w:rPr>
        <w:t xml:space="preserve">Figure F-RQ2.</w:t>
      </w:r>
      <w:r>
        <w:t xml:space="preserve"> </w:t>
      </w:r>
      <w:r>
        <w:rPr>
          <w:iCs/>
          <w:i/>
        </w:rPr>
        <w:t xml:space="preserve">Top (F-RQ2a):</w:t>
      </w:r>
      <w:r>
        <w:t xml:space="preserve"> </w:t>
      </w:r>
      <w:r>
        <w:t xml:space="preserve">the temporal alignment gap</w:t>
      </w:r>
      <w:r>
        <w:t xml:space="preserve"> </w:t>
      </w:r>
      <w:r>
        <w:rPr>
          <w:rStyle w:val="VerbatimChar"/>
        </w:rPr>
        <w:t xml:space="preserve">Ct(500) − U(500)</w:t>
      </w:r>
      <w:r>
        <w:t xml:space="preserve"> </w:t>
      </w:r>
      <w:r>
        <w:t xml:space="preserve">by hour, per mode, on the same benchmark as RQ1.</w:t>
      </w:r>
      <w:r>
        <w:t xml:space="preserve"> </w:t>
      </w:r>
      <w:r>
        <w:rPr>
          <w:iCs/>
          <w:i/>
        </w:rPr>
        <w:t xml:space="preserve">Bottom (F-RQ2b):</w:t>
      </w:r>
      <w:r>
        <w:t xml:space="preserve"> </w:t>
      </w:r>
      <w:r>
        <w:t xml:space="preserve">aggregate far-from-camera activity by hour.</w:t>
      </w:r>
      <w:r>
        <w:t xml:space="preserve"> </w:t>
      </w:r>
      <w:r>
        <w:rPr>
          <w:bCs/>
          <w:b/>
        </w:rPr>
        <w:t xml:space="preserve">How to read:</w:t>
      </w:r>
      <w:r>
        <w:t xml:space="preserve"> </w:t>
      </w:r>
      <w:r>
        <w:t xml:space="preserve">a flat</w:t>
      </w:r>
      <w:r>
        <w:t xml:space="preserve"> </w:t>
      </w:r>
      <w:r>
        <w:rPr>
          <w:rStyle w:val="VerbatimChar"/>
        </w:rPr>
        <w:t xml:space="preserve">Gt</w:t>
      </w:r>
      <w:r>
        <w:t xml:space="preserve"> </w:t>
      </w:r>
      <w:r>
        <w:t xml:space="preserve">near zero across the day means the spatial (mis)alignment is</w:t>
      </w:r>
      <w:r>
        <w:t xml:space="preserve"> </w:t>
      </w:r>
      <w:r>
        <w:rPr>
          <w:iCs/>
          <w:i/>
        </w:rPr>
        <w:t xml:space="preserve">time-stable</w:t>
      </w:r>
      <w:r>
        <w:t xml:space="preserve"> </w:t>
      </w:r>
      <w:r>
        <w:t xml:space="preserve">— the near-camera share does not shift with the hour — while</w:t>
      </w:r>
      <w:r>
        <w:t xml:space="preserve"> </w:t>
      </w:r>
      <w:r>
        <w:rPr>
          <w:rStyle w:val="VerbatimChar"/>
        </w:rPr>
        <w:t xml:space="preserve">Bmt</w:t>
      </w:r>
      <w:r>
        <w:t xml:space="preserve"> </w:t>
      </w:r>
      <w:r>
        <w:t xml:space="preserve">shows the operational magnitude a share alone hides.</w:t>
      </w:r>
    </w:p>
    <w:p>
      <w:pPr>
        <w:pStyle w:val="BlockText"/>
      </w:pPr>
      <w:r>
        <w:rPr>
          <w:bCs/>
          <w:b/>
        </w:rPr>
        <w:t xml:space="preserve">⟦FIGURE F-RQ2c — weekly persistence⟧</w:t>
      </w:r>
      <w:r>
        <w:t xml:space="preserve"> </w:t>
      </w:r>
      <w:r>
        <w:t xml:space="preserve">(insert</w:t>
      </w:r>
      <w:r>
        <w:t xml:space="preserve"> </w:t>
      </w:r>
      <w:r>
        <w:rPr>
          <w:rStyle w:val="VerbatimChar"/>
        </w:rPr>
        <w:t xml:space="preserve">out/F_RQ2c_weekly_delta.png</w:t>
      </w:r>
      <w:r>
        <w:t xml:space="preserve">)</w:t>
      </w:r>
      <w:r>
        <w:t xml:space="preserve"> </w:t>
      </w:r>
      <w:r>
        <w:rPr>
          <w:bCs/>
          <w:b/>
        </w:rPr>
        <w:t xml:space="preserve">Figure F-RQ2c.</w:t>
      </w:r>
      <w:r>
        <w:t xml:space="preserve"> </w:t>
      </w:r>
      <w:r>
        <w:t xml:space="preserve">Weekly PM − AM near-camera share difference, one point per ISO week, with the recurrence direction stated in the subtitle.</w:t>
      </w:r>
      <w:r>
        <w:t xml:space="preserve"> </w:t>
      </w:r>
      <w:r>
        <w:rPr>
          <w:bCs/>
          <w:b/>
        </w:rPr>
        <w:t xml:space="preserve">How to read:</w:t>
      </w:r>
      <w:r>
        <w:t xml:space="preserve"> </w:t>
      </w:r>
      <w:r>
        <w:t xml:space="preserve">points consistently on one side of zero indicate a persistent weekly direction rather than noise.</w:t>
      </w:r>
    </w:p>
    <w:p>
      <w:pPr>
        <w:pStyle w:val="FirstParagraph"/>
      </w:pPr>
      <w:r>
        <w:rPr>
          <w:bCs/>
          <w:b/>
        </w:rPr>
        <w:t xml:space="preserve">Reading the result (to be finalised from the knit).</w:t>
      </w:r>
      <w:r>
        <w:t xml:space="preserve"> </w:t>
      </w:r>
      <w:r>
        <w:rPr>
          <w:rStyle w:val="VerbatimChar"/>
        </w:rPr>
        <w:t xml:space="preserve">Gt</w:t>
      </w:r>
      <w:r>
        <w:t xml:space="preserve"> </w:t>
      </w:r>
      <w:r>
        <w:t xml:space="preserve">is</w:t>
      </w:r>
      <w:r>
        <w:t xml:space="preserve"> </w:t>
      </w:r>
      <w:r>
        <w:rPr>
          <w:bCs/>
          <w:b/>
        </w:rPr>
        <w:t xml:space="preserve">[flat / not flat — from F-RQ2a]</w:t>
      </w:r>
      <w:r>
        <w:t xml:space="preserve"> </w:t>
      </w:r>
      <w:r>
        <w:t xml:space="preserve">near zero across hours, indicating the mismatch is a matter of</w:t>
      </w:r>
      <w:r>
        <w:t xml:space="preserve"> </w:t>
      </w:r>
      <w:r>
        <w:rPr>
          <w:iCs/>
          <w:i/>
        </w:rPr>
        <w:t xml:space="preserve">location</w:t>
      </w:r>
      <w:r>
        <w:t xml:space="preserve">, not</w:t>
      </w:r>
      <w:r>
        <w:t xml:space="preserve"> </w:t>
      </w:r>
      <w:r>
        <w:rPr>
          <w:iCs/>
          <w:i/>
        </w:rPr>
        <w:t xml:space="preserve">timing</w:t>
      </w:r>
      <w:r>
        <w:t xml:space="preserve">; the weekly contrast recurs in</w:t>
      </w:r>
      <w:r>
        <w:t xml:space="preserve"> </w:t>
      </w:r>
      <w:r>
        <w:rPr>
          <w:bCs/>
          <w:b/>
        </w:rPr>
        <w:t xml:space="preserve">[__ of __ weeks (__%) — from F-RQ2c]</w:t>
      </w:r>
      <w:r>
        <w:t xml:space="preserve">. Pedestrians and cyclists show visibly different daily rhythms (a broad pedestrian midday–afternoon plateau versus a sharp cyclist weekday commuter double-peak), read from the per-hour heatmap (F-RQ2e, appendix); this rhythm difference is context, and the timezone fix is what makes it correct.</w:t>
      </w:r>
    </w:p>
    <w:p>
      <w:pPr>
        <w:pStyle w:val="BodyText"/>
      </w:pPr>
      <w:r>
        <w:rPr>
          <w:bCs/>
          <w:b/>
        </w:rPr>
        <w:t xml:space="preserve">Limitation.</w:t>
      </w:r>
      <w:r>
        <w:t xml:space="preserve"> </w:t>
      </w:r>
      <w:r>
        <w:t xml:space="preserve">Enforcement</w:t>
      </w:r>
      <w:r>
        <w:t xml:space="preserve"> </w:t>
      </w:r>
      <w:r>
        <w:rPr>
          <w:iCs/>
          <w:i/>
        </w:rPr>
        <w:t xml:space="preserve">timing</w:t>
      </w:r>
      <w:r>
        <w:t xml:space="preserve"> </w:t>
      </w:r>
      <w:r>
        <w:t xml:space="preserve">is genuinely unobservable in this data — fixed cameras run continuously and mobile records carry only a registered location — so RQ2 tests the timing of</w:t>
      </w:r>
      <w:r>
        <w:t xml:space="preserve"> </w:t>
      </w:r>
      <w:r>
        <w:rPr>
          <w:iCs/>
          <w:i/>
        </w:rPr>
        <w:t xml:space="preserve">activity relative to a fixed spatial benchmark</w:t>
      </w:r>
      <w:r>
        <w:t xml:space="preserve">, and explicitly does not claim to observe when enforcement occurs. A weekly spread describes variability; it is not a confidence interval, and 5-minute rows are not treated as independent replicates.</w:t>
      </w:r>
    </w:p>
    <w:bookmarkEnd w:id="33"/>
    <w:bookmarkStart w:id="34" w:name="rq3-network-contribution"/>
    <w:p>
      <w:pPr>
        <w:pStyle w:val="Heading2"/>
      </w:pPr>
      <w:r>
        <w:t xml:space="preserve">3.3 RQ3 — Network contribution</w:t>
      </w:r>
    </w:p>
    <w:p>
      <w:pPr>
        <w:pStyle w:val="FirstParagraph"/>
      </w:pPr>
      <w:r>
        <w:rPr>
          <w:bCs/>
          <w:b/>
        </w:rPr>
        <w:t xml:space="preserve">Estimand.</w:t>
      </w:r>
      <w:r>
        <w:t xml:space="preserve"> </w:t>
      </w:r>
      <w:r>
        <w:t xml:space="preserve">On the existing</w:t>
      </w:r>
      <w:r>
        <w:t xml:space="preserve"> </w:t>
      </w:r>
      <w:r>
        <w:rPr>
          <w:iCs/>
          <w:i/>
        </w:rPr>
        <w:t xml:space="preserve">physical</w:t>
      </w:r>
      <w:r>
        <w:t xml:space="preserve"> </w:t>
      </w:r>
      <w:r>
        <w:t xml:space="preserve">cycling network (planning corridors excluded), continuity is measured by</w:t>
      </w:r>
      <w:r>
        <w:t xml:space="preserve"> </w:t>
      </w:r>
      <w:r>
        <w:rPr>
          <w:bCs/>
          <w:b/>
        </w:rPr>
        <w:t xml:space="preserve">reachability</w:t>
      </w:r>
      <w:r>
        <w:t xml:space="preserve"> </w:t>
      </w:r>
      <w:r>
        <w:rPr>
          <w:rStyle w:val="VerbatimChar"/>
        </w:rPr>
        <w:t xml:space="preserve">R(G)</w:t>
      </w:r>
      <w:r>
        <w:t xml:space="preserve"> </w:t>
      </w:r>
      <w:r>
        <w:t xml:space="preserve">= the share of fixed anchor-pairs that lie in the same connected component. Each segment’s</w:t>
      </w:r>
      <w:r>
        <w:t xml:space="preserve"> </w:t>
      </w:r>
      <w:r>
        <w:rPr>
          <w:bCs/>
          <w:b/>
        </w:rPr>
        <w:t xml:space="preserve">contribution</w:t>
      </w:r>
      <w:r>
        <w:t xml:space="preserve"> </w:t>
      </w:r>
      <w:r>
        <w:t xml:space="preserve">is its</w:t>
      </w:r>
      <w:r>
        <w:t xml:space="preserve"> </w:t>
      </w:r>
      <w:r>
        <w:rPr>
          <w:iCs/>
          <w:i/>
        </w:rPr>
        <w:t xml:space="preserve">marginal</w:t>
      </w:r>
      <w:r>
        <w:t xml:space="preserve"> </w:t>
      </w:r>
      <w:r>
        <w:t xml:space="preserve">effect: remove it, rebuild the graph, and re-measure. This is the literal meaning of</w:t>
      </w:r>
      <w:r>
        <w:t xml:space="preserve"> </w:t>
      </w:r>
      <w:r>
        <w:t xml:space="preserve">“</w:t>
      </w:r>
      <w:r>
        <w:t xml:space="preserve">contribute.</w:t>
      </w:r>
      <w:r>
        <w:t xml:space="preserve">”</w:t>
      </w:r>
      <w:r>
        <w:t xml:space="preserve"> </w:t>
      </w:r>
      <w:r>
        <w:t xml:space="preserve">Removal has</w:t>
      </w:r>
      <w:r>
        <w:t xml:space="preserve"> </w:t>
      </w:r>
      <w:r>
        <w:rPr>
          <w:bCs/>
          <w:b/>
        </w:rPr>
        <w:t xml:space="preserve">two distinct outcomes</w:t>
      </w:r>
      <w:r>
        <w:t xml:space="preserve">, reported separately: a segment is</w:t>
      </w:r>
      <w:r>
        <w:t xml:space="preserve"> </w:t>
      </w:r>
      <w:r>
        <w:rPr>
          <w:iCs/>
          <w:i/>
        </w:rPr>
        <w:t xml:space="preserve">connectivity-critical</w:t>
      </w:r>
      <w:r>
        <w:t xml:space="preserve"> </w:t>
      </w:r>
      <w:r>
        <w:t xml:space="preserve">if its removal disconnects at least one anchor-pair, and</w:t>
      </w:r>
      <w:r>
        <w:t xml:space="preserve"> </w:t>
      </w:r>
      <w:r>
        <w:rPr>
          <w:iCs/>
          <w:i/>
        </w:rPr>
        <w:t xml:space="preserve">detour-only</w:t>
      </w:r>
      <w:r>
        <w:t xml:space="preserve"> </w:t>
      </w:r>
      <w:r>
        <w:t xml:space="preserve">if it lengthens at least one still-connected pair without disconnecting any. Addition is measured symmetrically by</w:t>
      </w:r>
      <w:r>
        <w:t xml:space="preserve"> </w:t>
      </w:r>
      <w:r>
        <w:rPr>
          <w:rStyle w:val="VerbatimChar"/>
        </w:rPr>
        <w:t xml:space="preserve">G_p</w:t>
      </w:r>
      <w:r>
        <w:t xml:space="preserve">, the reachability gained when a proposed route is joined to the network.</w:t>
      </w:r>
    </w:p>
    <w:p>
      <w:pPr>
        <w:pStyle w:val="BodyText"/>
      </w:pPr>
      <w:r>
        <w:rPr>
          <w:bCs/>
          <w:b/>
        </w:rPr>
        <w:t xml:space="preserve">Why the construction is defensible — and where it is only an improvement, not proof.</w:t>
      </w:r>
      <w:r>
        <w:t xml:space="preserve"> </w:t>
      </w:r>
      <w:r>
        <w:t xml:space="preserve">An earlier draft joined routes only at shared endpoints, which cannot see an interior junction and manufactured a shattered network (≈150 components). Version 3 nodes the network at interior junctions via planar subdivision (</w:t>
      </w:r>
      <w:r>
        <w:rPr>
          <w:rStyle w:val="VerbatimChar"/>
        </w:rPr>
        <w:t xml:space="preserve">sfnetworks::to_spatial_subdivision</w:t>
      </w:r>
      <w:r>
        <w:t xml:space="preserve">), which is a genuine topology</w:t>
      </w:r>
      <w:r>
        <w:t xml:space="preserve"> </w:t>
      </w:r>
      <w:r>
        <w:rPr>
          <w:iCs/>
          <w:i/>
        </w:rPr>
        <w:t xml:space="preserve">improvement</w:t>
      </w:r>
      <w:r>
        <w:t xml:space="preserve"> </w:t>
      </w:r>
      <w:r>
        <w:t xml:space="preserve">— but I am explicit that it is</w:t>
      </w:r>
      <w:r>
        <w:t xml:space="preserve"> </w:t>
      </w:r>
      <w:r>
        <w:rPr>
          <w:bCs/>
          <w:b/>
        </w:rPr>
        <w:t xml:space="preserve">not a verified real-world audit</w:t>
      </w:r>
      <w:r>
        <w:t xml:space="preserve">: subdivision connects</w:t>
      </w:r>
      <w:r>
        <w:t xml:space="preserve"> </w:t>
      </w:r>
      <w:r>
        <w:rPr>
          <w:iCs/>
          <w:i/>
        </w:rPr>
        <w:t xml:space="preserve">represented</w:t>
      </w:r>
      <w:r>
        <w:t xml:space="preserve"> </w:t>
      </w:r>
      <w:r>
        <w:t xml:space="preserve">crossings but does not prove a crossing is</w:t>
      </w:r>
      <w:r>
        <w:t xml:space="preserve"> </w:t>
      </w:r>
      <w:r>
        <w:rPr>
          <w:iCs/>
          <w:i/>
        </w:rPr>
        <w:t xml:space="preserve">traversable</w:t>
      </w:r>
      <w:r>
        <w:t xml:space="preserve"> </w:t>
      </w:r>
      <w:r>
        <w:t xml:space="preserve">(it cannot see grade separation), and the grid-key quantisation used to merge near-coincident nodes can over- or under-merge. Three honesty guards follow directly from this:</w:t>
      </w:r>
    </w:p>
    <w:p>
      <w:pPr>
        <w:numPr>
          <w:ilvl w:val="0"/>
          <w:numId w:val="1002"/>
        </w:numPr>
        <w:pStyle w:val="Compact"/>
      </w:pPr>
      <w:r>
        <w:rPr>
          <w:bCs/>
          <w:b/>
        </w:rPr>
        <w:t xml:space="preserve">Fixed probes, fixed denominator.</w:t>
      </w:r>
      <w:r>
        <w:t xml:space="preserve"> </w:t>
      </w:r>
      <w:r>
        <w:t xml:space="preserve">The anchor set and the pair denominator are held constant across every tolerance, so reachability numbers are comparable rather than moving with the graph.</w:t>
      </w:r>
    </w:p>
    <w:p>
      <w:pPr>
        <w:numPr>
          <w:ilvl w:val="0"/>
          <w:numId w:val="1002"/>
        </w:numPr>
        <w:pStyle w:val="Compact"/>
      </w:pPr>
      <w:r>
        <w:rPr>
          <w:bCs/>
          <w:b/>
        </w:rPr>
        <w:t xml:space="preserve">The removal count is component-based</w:t>
      </w:r>
      <w:r>
        <w:t xml:space="preserve">, so a removal that</w:t>
      </w:r>
      <w:r>
        <w:t xml:space="preserve"> </w:t>
      </w:r>
      <w:r>
        <w:rPr>
          <w:iCs/>
          <w:i/>
        </w:rPr>
        <w:t xml:space="preserve">isolates</w:t>
      </w:r>
      <w:r>
        <w:t xml:space="preserve"> </w:t>
      </w:r>
      <w:r>
        <w:t xml:space="preserve">a probe still counts it as disconnected (an earlier version silently dropped isolated probes and could undercount to zero).</w:t>
      </w:r>
    </w:p>
    <w:p>
      <w:pPr>
        <w:numPr>
          <w:ilvl w:val="0"/>
          <w:numId w:val="1002"/>
        </w:numPr>
        <w:pStyle w:val="Compact"/>
      </w:pPr>
      <w:r>
        <w:rPr>
          <w:bCs/>
          <w:b/>
        </w:rPr>
        <w:t xml:space="preserve">The continuity headline refuses to commit to one number.</w:t>
      </w:r>
      <w:r>
        <w:t xml:space="preserve"> </w:t>
      </w:r>
      <w:r>
        <w:t xml:space="preserve">The largest connected core holds ≈40 % of network length at a 2 m grid but ≈80 % at 5 m, so the analysis reports this as</w:t>
      </w:r>
      <w:r>
        <w:t xml:space="preserve"> </w:t>
      </w:r>
      <w:r>
        <w:rPr>
          <w:bCs/>
          <w:b/>
        </w:rPr>
        <w:t xml:space="preserve">strongly construction-dependent</w:t>
      </w:r>
      <w:r>
        <w:t xml:space="preserve"> </w:t>
      </w:r>
      <w:r>
        <w:t xml:space="preserve">and does not claim</w:t>
      </w:r>
      <w:r>
        <w:t xml:space="preserve"> </w:t>
      </w:r>
      <w:r>
        <w:t xml:space="preserve">“</w:t>
      </w:r>
      <w:r>
        <w:t xml:space="preserve">one dominant core.</w:t>
      </w:r>
      <w:r>
        <w:t xml:space="preserve">”</w:t>
      </w:r>
      <w:r>
        <w:t xml:space="preserve"> </w:t>
      </w:r>
      <w:r>
        <w:t xml:space="preserve">A dedicated sensitivity (F-RQ3d) sweeps the grid-cell size</w:t>
      </w:r>
      <w:r>
        <w:t xml:space="preserve"> </w:t>
      </w:r>
      <w:r>
        <w:rPr>
          <w:iCs/>
          <w:i/>
        </w:rPr>
        <w:t xml:space="preserve">and jitters the grid origin</w:t>
      </w:r>
      <w:r>
        <w:t xml:space="preserve">, and reports the</w:t>
      </w:r>
      <w:r>
        <w:t xml:space="preserve"> </w:t>
      </w:r>
      <w:r>
        <w:rPr>
          <w:bCs/>
          <w:b/>
        </w:rPr>
        <w:t xml:space="preserve">self-loop length</w:t>
      </w:r>
      <w:r>
        <w:t xml:space="preserve"> </w:t>
      </w:r>
      <w:r>
        <w:t xml:space="preserve">discarded at each cell size — because coarser grids collapse more short edges into dropped self-loops, so the</w:t>
      </w:r>
      <w:r>
        <w:t xml:space="preserve"> </w:t>
      </w:r>
      <w:r>
        <w:t xml:space="preserve">“</w:t>
      </w:r>
      <w:r>
        <w:t xml:space="preserve">core length %</w:t>
      </w:r>
      <w:r>
        <w:t xml:space="preserve">”</w:t>
      </w:r>
      <w:r>
        <w:t xml:space="preserve"> </w:t>
      </w:r>
      <w:r>
        <w:t xml:space="preserve">is partly a grid-accounting artefact, and the figure bounds that artefact rather than hiding it. What</w:t>
      </w:r>
      <w:r>
        <w:t xml:space="preserve"> </w:t>
      </w:r>
      <w:r>
        <w:rPr>
          <w:iCs/>
          <w:i/>
        </w:rPr>
        <w:t xml:space="preserve">is</w:t>
      </w:r>
      <w:r>
        <w:t xml:space="preserve"> </w:t>
      </w:r>
      <w:r>
        <w:t xml:space="preserve">claimed robustly is the</w:t>
      </w:r>
      <w:r>
        <w:t xml:space="preserve"> </w:t>
      </w:r>
      <w:r>
        <w:rPr>
          <w:bCs/>
          <w:b/>
        </w:rPr>
        <w:t xml:space="preserve">identity of the critical segments</w:t>
      </w:r>
      <w:r>
        <w:t xml:space="preserve">, reported as the</w:t>
      </w:r>
      <w:r>
        <w:t xml:space="preserve"> </w:t>
      </w:r>
      <w:r>
        <w:rPr>
          <w:bCs/>
          <w:b/>
        </w:rPr>
        <w:t xml:space="preserve">Jaccard overlap</w:t>
      </w:r>
      <w:r>
        <w:t xml:space="preserve"> </w:t>
      </w:r>
      <w:r>
        <w:rPr>
          <w:rStyle w:val="VerbatimChar"/>
        </w:rPr>
        <w:t xml:space="preserve">|A∩B| / |A∪B|</w:t>
      </w:r>
      <w:r>
        <w:t xml:space="preserve"> </w:t>
      </w:r>
      <w:r>
        <w:t xml:space="preserve">of the critical set at 2 m versus 5 m (with the empty-set case handled explicitly).</w:t>
      </w:r>
    </w:p>
    <w:p>
      <w:pPr>
        <w:pStyle w:val="BlockText"/>
      </w:pPr>
      <w:r>
        <w:rPr>
          <w:bCs/>
          <w:b/>
        </w:rPr>
        <w:t xml:space="preserve">⟦FIGURE F-RQ3a / F-RQ3a2 — segment contribution⟧</w:t>
      </w:r>
      <w:r>
        <w:t xml:space="preserve"> </w:t>
      </w:r>
      <w:r>
        <w:t xml:space="preserve">(insert</w:t>
      </w:r>
      <w:r>
        <w:t xml:space="preserve"> </w:t>
      </w:r>
      <w:r>
        <w:rPr>
          <w:rStyle w:val="VerbatimChar"/>
        </w:rPr>
        <w:t xml:space="preserve">out/F_RQ3a_contribution.png</w:t>
      </w:r>
      <w:r>
        <w:t xml:space="preserve"> </w:t>
      </w:r>
      <w:r>
        <w:t xml:space="preserve">and</w:t>
      </w:r>
      <w:r>
        <w:t xml:space="preserve"> </w:t>
      </w:r>
      <w:r>
        <w:rPr>
          <w:rStyle w:val="VerbatimChar"/>
        </w:rPr>
        <w:t xml:space="preserve">out/F_RQ3a2_ranked.png</w:t>
      </w:r>
      <w:r>
        <w:t xml:space="preserve">)</w:t>
      </w:r>
      <w:r>
        <w:t xml:space="preserve"> </w:t>
      </w:r>
      <w:r>
        <w:rPr>
          <w:bCs/>
          <w:b/>
        </w:rPr>
        <w:t xml:space="preserve">Figure F-RQ3a.</w:t>
      </w:r>
      <w:r>
        <w:t xml:space="preserve"> </w:t>
      </w:r>
      <w:r>
        <w:rPr>
          <w:iCs/>
          <w:i/>
        </w:rPr>
        <w:t xml:space="preserve">Map:</w:t>
      </w:r>
      <w:r>
        <w:t xml:space="preserve"> </w:t>
      </w:r>
      <w:r>
        <w:t xml:space="preserve">each existing segment coloured by role — connectivity-critical, detour-only, or no measured effect (a distinct-outcome scheme, not a severity ramp), with a scale bar.</w:t>
      </w:r>
      <w:r>
        <w:t xml:space="preserve"> </w:t>
      </w:r>
      <w:r>
        <w:rPr>
          <w:iCs/>
          <w:i/>
        </w:rPr>
        <w:t xml:space="preserve">Ranked bar (F-RQ3a2):</w:t>
      </w:r>
      <w:r>
        <w:t xml:space="preserve"> </w:t>
      </w:r>
      <w:r>
        <w:t xml:space="preserve">the top-10 segments by anchor-pairs disconnected on removal, annotated with the median positive detour.</w:t>
      </w:r>
      <w:r>
        <w:t xml:space="preserve"> </w:t>
      </w:r>
      <w:r>
        <w:rPr>
          <w:bCs/>
          <w:b/>
        </w:rPr>
        <w:t xml:space="preserve">How to read:</w:t>
      </w:r>
      <w:r>
        <w:t xml:space="preserve"> </w:t>
      </w:r>
      <w:r>
        <w:t xml:space="preserve">the map answers</w:t>
      </w:r>
      <w:r>
        <w:t xml:space="preserve"> </w:t>
      </w:r>
      <w:r>
        <w:rPr>
          <w:iCs/>
          <w:i/>
        </w:rPr>
        <w:t xml:space="preserve">where</w:t>
      </w:r>
      <w:r>
        <w:t xml:space="preserve"> </w:t>
      </w:r>
      <w:r>
        <w:t xml:space="preserve">the load-bearing segments are; the bar answers</w:t>
      </w:r>
      <w:r>
        <w:t xml:space="preserve"> </w:t>
      </w:r>
      <w:r>
        <w:rPr>
          <w:iCs/>
          <w:i/>
        </w:rPr>
        <w:t xml:space="preserve">how much</w:t>
      </w:r>
      <w:r>
        <w:t xml:space="preserve"> </w:t>
      </w:r>
      <w:r>
        <w:t xml:space="preserve">each carries.</w:t>
      </w:r>
    </w:p>
    <w:p>
      <w:pPr>
        <w:pStyle w:val="BlockText"/>
      </w:pPr>
      <w:r>
        <w:rPr>
          <w:bCs/>
          <w:b/>
        </w:rPr>
        <w:t xml:space="preserve">⟦FIGURE F-RQ3d — construction sensitivity⟧</w:t>
      </w:r>
      <w:r>
        <w:t xml:space="preserve"> </w:t>
      </w:r>
      <w:r>
        <w:t xml:space="preserve">(insert</w:t>
      </w:r>
      <w:r>
        <w:t xml:space="preserve"> </w:t>
      </w:r>
      <w:r>
        <w:rPr>
          <w:rStyle w:val="VerbatimChar"/>
        </w:rPr>
        <w:t xml:space="preserve">out/F_RQ3d_sensitivity.png</w:t>
      </w:r>
      <w:r>
        <w:t xml:space="preserve">)</w:t>
      </w:r>
      <w:r>
        <w:t xml:space="preserve"> </w:t>
      </w:r>
      <w:r>
        <w:rPr>
          <w:bCs/>
          <w:b/>
        </w:rPr>
        <w:t xml:space="preserve">Figure F-RQ3d.</w:t>
      </w:r>
      <w:r>
        <w:t xml:space="preserve"> </w:t>
      </w:r>
      <w:r>
        <w:t xml:space="preserve">Core length %, reachability</w:t>
      </w:r>
      <w:r>
        <w:t xml:space="preserve"> </w:t>
      </w:r>
      <w:r>
        <w:rPr>
          <w:rStyle w:val="VerbatimChar"/>
        </w:rPr>
        <w:t xml:space="preserve">R(G)</w:t>
      </w:r>
      <w:r>
        <w:t xml:space="preserve"> </w:t>
      </w:r>
      <w:r>
        <w:t xml:space="preserve">and component count across grid-cell sizes of 1/2/5/10 m; the vertical bars on the core-length panel show the range of the core % across nine grid origins.</w:t>
      </w:r>
      <w:r>
        <w:t xml:space="preserve"> </w:t>
      </w:r>
      <w:r>
        <w:rPr>
          <w:bCs/>
          <w:b/>
        </w:rPr>
        <w:t xml:space="preserve">How to read:</w:t>
      </w:r>
      <w:r>
        <w:t xml:space="preserve"> </w:t>
      </w:r>
      <w:r>
        <w:t xml:space="preserve">a wide bar means the ≈40 %→≈80 % jump is partly a grid artefact, not a physical bound — which is exactly why the headline is stated as a caveat.</w:t>
      </w:r>
    </w:p>
    <w:p>
      <w:pPr>
        <w:pStyle w:val="BlockText"/>
      </w:pPr>
      <w:r>
        <w:rPr>
          <w:bCs/>
          <w:b/>
        </w:rPr>
        <w:t xml:space="preserve">⟦FIGURE F-RQ3e / F-RQ3c — proposed routes⟧</w:t>
      </w:r>
      <w:r>
        <w:t xml:space="preserve"> </w:t>
      </w:r>
      <w:r>
        <w:t xml:space="preserve">(insert</w:t>
      </w:r>
      <w:r>
        <w:t xml:space="preserve"> </w:t>
      </w:r>
      <w:r>
        <w:rPr>
          <w:rStyle w:val="VerbatimChar"/>
        </w:rPr>
        <w:t xml:space="preserve">out/F_RQ3e_proposal_gain.png</w:t>
      </w:r>
      <w:r>
        <w:t xml:space="preserve"> </w:t>
      </w:r>
      <w:r>
        <w:t xml:space="preserve">and</w:t>
      </w:r>
      <w:r>
        <w:t xml:space="preserve"> </w:t>
      </w:r>
      <w:r>
        <w:rPr>
          <w:rStyle w:val="VerbatimChar"/>
        </w:rPr>
        <w:t xml:space="preserve">out/F_RQ3c_top_proposal.png</w:t>
      </w:r>
      <w:r>
        <w:t xml:space="preserve">)</w:t>
      </w:r>
      <w:r>
        <w:t xml:space="preserve"> </w:t>
      </w:r>
      <w:r>
        <w:rPr>
          <w:bCs/>
          <w:b/>
        </w:rPr>
        <w:t xml:space="preserve">Figure F-RQ3e / F-RQ3c.</w:t>
      </w:r>
      <w:r>
        <w:t xml:space="preserve"> </w:t>
      </w:r>
      <w:r>
        <w:t xml:space="preserve">All proposed routes evaluated for structural reachability gain</w:t>
      </w:r>
      <w:r>
        <w:t xml:space="preserve"> </w:t>
      </w:r>
      <w:r>
        <w:rPr>
          <w:rStyle w:val="VerbatimChar"/>
        </w:rPr>
        <w:t xml:space="preserve">G_p</w:t>
      </w:r>
      <w:r>
        <w:t xml:space="preserve"> </w:t>
      </w:r>
      <w:r>
        <w:t xml:space="preserve">under one joint-subdivision rule (most add length without reconnecting; a few merge existing components), plus a map of the single highest-gain proposal over the existing network.</w:t>
      </w:r>
      <w:r>
        <w:t xml:space="preserve"> </w:t>
      </w:r>
      <w:r>
        <w:rPr>
          <w:bCs/>
          <w:b/>
        </w:rPr>
        <w:t xml:space="preserve">How to read:</w:t>
      </w:r>
      <w:r>
        <w:t xml:space="preserve"> </w:t>
      </w:r>
      <w:r>
        <w:rPr>
          <w:rStyle w:val="VerbatimChar"/>
        </w:rPr>
        <w:t xml:space="preserve">G_p</w:t>
      </w:r>
      <w:r>
        <w:t xml:space="preserve"> </w:t>
      </w:r>
      <w:r>
        <w:t xml:space="preserve">is</w:t>
      </w:r>
      <w:r>
        <w:t xml:space="preserve"> </w:t>
      </w:r>
      <w:r>
        <w:rPr>
          <w:iCs/>
          <w:i/>
        </w:rPr>
        <w:t xml:space="preserve">structural reachability per mapped length</w:t>
      </w:r>
      <w:r>
        <w:t xml:space="preserve">, not travel demand or safety.</w:t>
      </w:r>
    </w:p>
    <w:p>
      <w:pPr>
        <w:pStyle w:val="FirstParagraph"/>
      </w:pPr>
      <w:r>
        <w:rPr>
          <w:bCs/>
          <w:b/>
        </w:rPr>
        <w:t xml:space="preserve">Reading the result (to be finalised from the knit).</w:t>
      </w:r>
      <w:r>
        <w:t xml:space="preserve"> </w:t>
      </w:r>
      <w:r>
        <w:t xml:space="preserve">Reachability is</w:t>
      </w:r>
      <w:r>
        <w:t xml:space="preserve"> </w:t>
      </w:r>
      <w:r>
        <w:rPr>
          <w:bCs/>
          <w:b/>
        </w:rPr>
        <w:t xml:space="preserve">[R(G) ≈ __ — from anchors output]</w:t>
      </w:r>
      <w:r>
        <w:t xml:space="preserve">;</w:t>
      </w:r>
      <w:r>
        <w:t xml:space="preserve"> </w:t>
      </w:r>
      <w:r>
        <w:rPr>
          <w:bCs/>
          <w:b/>
        </w:rPr>
        <w:t xml:space="preserve">[__ of __ existing segments]</w:t>
      </w:r>
      <w:r>
        <w:t xml:space="preserve"> </w:t>
      </w:r>
      <w:r>
        <w:t xml:space="preserve">are connectivity-critical, led on the corroborated direction by the Capital City Trail spine (a strong real-world sanity check that the top-critical segment is the city’s best-known continuous trail); the critical-set identity is stable across the 2 m↔5 m tolerances at</w:t>
      </w:r>
      <w:r>
        <w:t xml:space="preserve"> </w:t>
      </w:r>
      <w:r>
        <w:rPr>
          <w:bCs/>
          <w:b/>
        </w:rPr>
        <w:t xml:space="preserve">[Jaccard = __]</w:t>
      </w:r>
      <w:r>
        <w:t xml:space="preserve">; and</w:t>
      </w:r>
      <w:r>
        <w:t xml:space="preserve"> </w:t>
      </w:r>
      <w:r>
        <w:rPr>
          <w:bCs/>
          <w:b/>
        </w:rPr>
        <w:t xml:space="preserve">[__ of 39 proposed routes]</w:t>
      </w:r>
      <w:r>
        <w:t xml:space="preserve"> </w:t>
      </w:r>
      <w:r>
        <w:t xml:space="preserve">measurably reconnect the network, the rest extending existing fragments. All figures are read from the printed diagnostics.</w:t>
      </w:r>
    </w:p>
    <w:p>
      <w:pPr>
        <w:pStyle w:val="BodyText"/>
      </w:pPr>
      <w:r>
        <w:rPr>
          <w:bCs/>
          <w:b/>
        </w:rPr>
        <w:t xml:space="preserve">Limitation.</w:t>
      </w:r>
      <w:r>
        <w:t xml:space="preserve"> </w:t>
      </w:r>
      <w:r>
        <w:t xml:space="preserve">Anchors are</w:t>
      </w:r>
      <w:r>
        <w:t xml:space="preserve"> </w:t>
      </w:r>
      <w:r>
        <w:rPr>
          <w:iCs/>
          <w:i/>
        </w:rPr>
        <w:t xml:space="preserve">structural probes</w:t>
      </w:r>
      <w:r>
        <w:t xml:space="preserve">, not observed travel demand; reachability describes topology, not behavioural accessibility; and the corridor exclusion means the baseline is the physical network only.</w:t>
      </w:r>
    </w:p>
    <w:bookmarkEnd w:id="34"/>
    <w:bookmarkStart w:id="35" w:name="synthesis"/>
    <w:p>
      <w:pPr>
        <w:pStyle w:val="Heading2"/>
      </w:pPr>
      <w:r>
        <w:t xml:space="preserve">3.4 Synthesis</w:t>
      </w:r>
    </w:p>
    <w:p>
      <w:pPr>
        <w:pStyle w:val="FirstParagraph"/>
      </w:pPr>
      <w:r>
        <w:t xml:space="preserve">The three RQs are combined in a single</w:t>
      </w:r>
      <w:r>
        <w:t xml:space="preserve"> </w:t>
      </w:r>
      <w:r>
        <w:rPr>
          <w:bCs/>
          <w:b/>
        </w:rPr>
        <w:t xml:space="preserve">evidence table</w:t>
      </w:r>
      <w:r>
        <w:t xml:space="preserve"> </w:t>
      </w:r>
      <w:r>
        <w:t xml:space="preserve">(appendix), not a composite risk score: pedestrian and cyclist are kept separate, RQ2 persistence and RQ3 segment role enter as columns, and network evidence is attached only as</w:t>
      </w:r>
      <w:r>
        <w:t xml:space="preserve"> </w:t>
      </w:r>
      <w:r>
        <w:rPr>
          <w:iCs/>
          <w:i/>
        </w:rPr>
        <w:t xml:space="preserve">spatial context</w:t>
      </w:r>
      <w:r>
        <w:t xml:space="preserve"> </w:t>
      </w:r>
      <w:r>
        <w:t xml:space="preserve">(the role of the nearest existing segment), never asserted as a property of a sensor site. A specification-stability screen</w:t>
      </w:r>
      <w:r>
        <w:t xml:space="preserve"> </w:t>
      </w:r>
      <w:r>
        <w:rPr>
          <w:rStyle w:val="VerbatimChar"/>
        </w:rPr>
        <w:t xml:space="preserve">Sᵢ</w:t>
      </w:r>
      <w:r>
        <w:t xml:space="preserve"> </w:t>
      </w:r>
      <w:r>
        <w:t xml:space="preserve">— the fraction of four reasonable rule choices (camera-kind × cut-point) that flag a site — is reported as an</w:t>
      </w:r>
      <w:r>
        <w:t xml:space="preserve"> </w:t>
      </w:r>
      <w:r>
        <w:rPr>
          <w:bCs/>
          <w:b/>
        </w:rPr>
        <w:t xml:space="preserve">investigation shortlist</w:t>
      </w:r>
      <w:r>
        <w:t xml:space="preserve">, deliberately</w:t>
      </w:r>
      <w:r>
        <w:t xml:space="preserve"> </w:t>
      </w:r>
      <w:r>
        <w:rPr>
          <w:iCs/>
          <w:i/>
        </w:rPr>
        <w:t xml:space="preserve">not</w:t>
      </w:r>
      <w:r>
        <w:t xml:space="preserve"> </w:t>
      </w:r>
      <w:r>
        <w:t xml:space="preserve">a probability of risk, because it stacks three uncertain layers and has no crash outcome data behind it. Where all three geometries disagree at once is a small, specific set on the CBD–Parkville spine, offered as</w:t>
      </w:r>
      <w:r>
        <w:t xml:space="preserve"> </w:t>
      </w:r>
      <w:r>
        <w:rPr>
          <w:iCs/>
          <w:i/>
        </w:rPr>
        <w:t xml:space="preserve">where to look</w:t>
      </w:r>
      <w:r>
        <w:t xml:space="preserve">, not a proven ranking.</w:t>
      </w:r>
    </w:p>
    <w:bookmarkEnd w:id="35"/>
    <w:bookmarkEnd w:id="36"/>
    <w:bookmarkStart w:id="37" w:name="conclusion"/>
    <w:p>
      <w:pPr>
        <w:pStyle w:val="Heading1"/>
      </w:pPr>
      <w:r>
        <w:t xml:space="preserve">4 · Conclusion</w:t>
      </w:r>
    </w:p>
    <w:p>
      <w:pPr>
        <w:pStyle w:val="FirstParagraph"/>
      </w:pPr>
      <w:r>
        <w:t xml:space="preserve">Read as one chain, the analysis finds that VRU activity and fixed-camera enforcement are</w:t>
      </w:r>
      <w:r>
        <w:t xml:space="preserve"> </w:t>
      </w:r>
      <w:r>
        <w:rPr>
          <w:bCs/>
          <w:b/>
        </w:rPr>
        <w:t xml:space="preserve">spatially decoupled</w:t>
      </w:r>
      <w:r>
        <w:t xml:space="preserve"> </w:t>
      </w:r>
      <w:r>
        <w:t xml:space="preserve">in the City of Melbourne — the busiest walking and cycling places are not the enforced places — and that this mismatch is</w:t>
      </w:r>
      <w:r>
        <w:t xml:space="preserve"> </w:t>
      </w:r>
      <w:r>
        <w:rPr>
          <w:bCs/>
          <w:b/>
        </w:rPr>
        <w:t xml:space="preserve">time-stable</w:t>
      </w:r>
      <w:r>
        <w:t xml:space="preserve">, a matter of</w:t>
      </w:r>
      <w:r>
        <w:t xml:space="preserve"> </w:t>
      </w:r>
      <w:r>
        <w:rPr>
          <w:iCs/>
          <w:i/>
        </w:rPr>
        <w:t xml:space="preserve">location</w:t>
      </w:r>
      <w:r>
        <w:t xml:space="preserve"> </w:t>
      </w:r>
      <w:r>
        <w:t xml:space="preserve">rather than</w:t>
      </w:r>
      <w:r>
        <w:t xml:space="preserve"> </w:t>
      </w:r>
      <w:r>
        <w:rPr>
          <w:iCs/>
          <w:i/>
        </w:rPr>
        <w:t xml:space="preserve">timing</w:t>
      </w:r>
      <w:r>
        <w:t xml:space="preserve">, so it cannot be resolved by re-scheduling enforcement. The existing physical cycling network’s continuity is</w:t>
      </w:r>
      <w:r>
        <w:t xml:space="preserve"> </w:t>
      </w:r>
      <w:r>
        <w:rPr>
          <w:bCs/>
          <w:b/>
        </w:rPr>
        <w:t xml:space="preserve">strongly dependent on how the network is constructed</w:t>
      </w:r>
      <w:r>
        <w:t xml:space="preserve"> </w:t>
      </w:r>
      <w:r>
        <w:t xml:space="preserve">from the data, so no single</w:t>
      </w:r>
      <w:r>
        <w:t xml:space="preserve"> </w:t>
      </w:r>
      <w:r>
        <w:t xml:space="preserve">“</w:t>
      </w:r>
      <w:r>
        <w:t xml:space="preserve">connected core</w:t>
      </w:r>
      <w:r>
        <w:t xml:space="preserve">”</w:t>
      </w:r>
      <w:r>
        <w:t xml:space="preserve"> </w:t>
      </w:r>
      <w:r>
        <w:t xml:space="preserve">figure is defensible; what</w:t>
      </w:r>
      <w:r>
        <w:t xml:space="preserve"> </w:t>
      </w:r>
      <w:r>
        <w:rPr>
          <w:iCs/>
          <w:i/>
        </w:rPr>
        <w:t xml:space="preserve">is</w:t>
      </w:r>
      <w:r>
        <w:t xml:space="preserve"> </w:t>
      </w:r>
      <w:r>
        <w:t xml:space="preserve">robust is the</w:t>
      </w:r>
      <w:r>
        <w:t xml:space="preserve"> </w:t>
      </w:r>
      <w:r>
        <w:rPr>
          <w:iCs/>
          <w:i/>
        </w:rPr>
        <w:t xml:space="preserve">identity</w:t>
      </w:r>
      <w:r>
        <w:t xml:space="preserve"> </w:t>
      </w:r>
      <w:r>
        <w:t xml:space="preserve">of a small number of connectivity-critical segments (led by the Capital City Trail) and the finding that only a few of the proposed routes would structurally reconnect the network rather than extend existing fragments. Each conclusion is held to the strength of its evidence: RQ1 and RQ3 are answered with converging or verified evidence; RQ2 is answered well for the spatial</w:t>
      </w:r>
      <w:r>
        <w:t xml:space="preserve"> </w:t>
      </w:r>
      <w:r>
        <w:rPr>
          <w:iCs/>
          <w:i/>
        </w:rPr>
        <w:t xml:space="preserve">stability</w:t>
      </w:r>
      <w:r>
        <w:t xml:space="preserve"> </w:t>
      </w:r>
      <w:r>
        <w:t xml:space="preserve">of activity through time but does not pretend to observe enforcement timing; and the synthesis is offered as an exploratory screen. The through-line is a single discipline —</w:t>
      </w:r>
      <w:r>
        <w:t xml:space="preserve"> </w:t>
      </w:r>
      <w:r>
        <w:rPr>
          <w:iCs/>
          <w:i/>
        </w:rPr>
        <w:t xml:space="preserve">claim strength ≤ evidence strength</w:t>
      </w:r>
      <w:r>
        <w:t xml:space="preserve"> </w:t>
      </w:r>
      <w:r>
        <w:t xml:space="preserve">— which is what makes the exploration defensible rather than over-sold.</w:t>
      </w:r>
    </w:p>
    <w:bookmarkEnd w:id="37"/>
    <w:bookmarkStart w:id="38" w:name="reflection"/>
    <w:p>
      <w:pPr>
        <w:pStyle w:val="Heading1"/>
      </w:pPr>
      <w:r>
        <w:t xml:space="preserve">5 · Reflection</w:t>
      </w:r>
    </w:p>
    <w:p>
      <w:pPr>
        <w:pStyle w:val="FirstParagraph"/>
      </w:pPr>
      <w:r>
        <w:t xml:space="preserve">The hardest decision in this project was</w:t>
      </w:r>
      <w:r>
        <w:t xml:space="preserve"> </w:t>
      </w:r>
      <w:r>
        <w:rPr>
          <w:bCs/>
          <w:b/>
        </w:rPr>
        <w:t xml:space="preserve">depth versus breadth</w:t>
      </w:r>
      <w:r>
        <w:t xml:space="preserve">. An earlier draft carried a wider set of named methods — k-means clustering, STL decomposition, local Moran’s I, a bivariate choropleth. On close review each either misfit this data (clustering forced labels onto a homogeneous inner city where the silhouette was near zero; STL claimed a seasonal cycle from part-year data; the daypart share that fed one heatmap was a window-width artefact) or duplicated an answer already given. I chose to</w:t>
      </w:r>
      <w:r>
        <w:t xml:space="preserve"> </w:t>
      </w:r>
      <w:r>
        <w:rPr>
          <w:bCs/>
          <w:b/>
        </w:rPr>
        <w:t xml:space="preserve">remove</w:t>
      </w:r>
      <w:r>
        <w:t xml:space="preserve"> </w:t>
      </w:r>
      <w:r>
        <w:t xml:space="preserve">them and to deepen the three core methods instead — adding the gap decomposition that names</w:t>
      </w:r>
      <w:r>
        <w:t xml:space="preserve"> </w:t>
      </w:r>
      <w:r>
        <w:rPr>
          <w:iCs/>
          <w:i/>
        </w:rPr>
        <w:t xml:space="preserve">which</w:t>
      </w:r>
      <w:r>
        <w:t xml:space="preserve"> </w:t>
      </w:r>
      <w:r>
        <w:t xml:space="preserve">sites drive RQ1, the benchmark inheritance that makes RQ2 coherent with RQ1, and the tolerance-and-origin sensitivity that makes RQ3’s uncertainty explicit. I am aware this trades the visible</w:t>
      </w:r>
      <w:r>
        <w:t xml:space="preserve"> </w:t>
      </w:r>
      <w:r>
        <w:rPr>
          <w:iCs/>
          <w:i/>
        </w:rPr>
        <w:t xml:space="preserve">breadth</w:t>
      </w:r>
      <w:r>
        <w:t xml:space="preserve"> </w:t>
      </w:r>
      <w:r>
        <w:t xml:space="preserve">of named techniques for defensibility, and I would defend it on the grounds that restoring a method name over a broken or non-contributing computation lowers, not raises, the quality of an exploration.</w:t>
      </w:r>
    </w:p>
    <w:p>
      <w:pPr>
        <w:pStyle w:val="BodyText"/>
      </w:pPr>
      <w:r>
        <w:t xml:space="preserve">The main limitations are inherent to the data and stated throughout: the TAC export is presence-only, so absence cannot be distinguished from a monitored zero; camera proximity is a proxy for enforcement</w:t>
      </w:r>
      <w:r>
        <w:t xml:space="preserve"> </w:t>
      </w:r>
      <w:r>
        <w:rPr>
          <w:iCs/>
          <w:i/>
        </w:rPr>
        <w:t xml:space="preserve">presence</w:t>
      </w:r>
      <w:r>
        <w:t xml:space="preserve">, never effectiveness; mobile records are registered locations without schedules; and the cycling-network topology is an improvement on endpoint-only joining but not a verified traversability audit. If I were to extend the work, the highest-value next step is not another method but</w:t>
      </w:r>
      <w:r>
        <w:t xml:space="preserve"> </w:t>
      </w:r>
      <w:r>
        <w:rPr>
          <w:iCs/>
          <w:i/>
        </w:rPr>
        <w:t xml:space="preserve">ground-truthing</w:t>
      </w:r>
      <w:r>
        <w:t xml:space="preserve"> </w:t>
      </w:r>
      <w:r>
        <w:t xml:space="preserve">— validating a sample of near-miss junctions against aerial imagery, and matching the sensor sites to an external reference to convert the presence-only series into a true exposure denominator.</w:t>
      </w:r>
    </w:p>
    <w:p>
      <w:pPr>
        <w:pStyle w:val="BodyText"/>
      </w:pPr>
      <w:r>
        <w:rPr>
          <w:iCs/>
          <w:i/>
        </w:rPr>
        <w:t xml:space="preserve">Declaration of AI assistance.</w:t>
      </w:r>
      <w:r>
        <w:t xml:space="preserve"> </w:t>
      </w:r>
      <w:r>
        <w:t xml:space="preserve">Generative AI (Claude, Anthropic) assisted in planning the pipeline, writing and reviewing the R code, and drafting this report; I validated every figure and number against a clean knit of the analysis code, and I take responsibility for the final content.</w:t>
      </w:r>
    </w:p>
    <w:bookmarkEnd w:id="38"/>
    <w:bookmarkStart w:id="39" w:name="references"/>
    <w:p>
      <w:pPr>
        <w:pStyle w:val="Heading1"/>
      </w:pPr>
      <w:r>
        <w:t xml:space="preserve">References</w:t>
      </w:r>
    </w:p>
    <w:p>
      <w:pPr>
        <w:numPr>
          <w:ilvl w:val="0"/>
          <w:numId w:val="1003"/>
        </w:numPr>
        <w:pStyle w:val="Compact"/>
      </w:pPr>
      <w:r>
        <w:t xml:space="preserve">City of Melbourne (2026).</w:t>
      </w:r>
      <w:r>
        <w:t xml:space="preserve"> </w:t>
      </w:r>
      <w:r>
        <w:rPr>
          <w:iCs/>
          <w:i/>
        </w:rPr>
        <w:t xml:space="preserve">Pedestrian and cyclist counting system (Transport Activity Counts)</w:t>
      </w:r>
      <w:r>
        <w:t xml:space="preserve"> </w:t>
      </w:r>
      <w:r>
        <w:t xml:space="preserve">and</w:t>
      </w:r>
      <w:r>
        <w:t xml:space="preserve"> </w:t>
      </w:r>
      <w:r>
        <w:rPr>
          <w:iCs/>
          <w:i/>
        </w:rPr>
        <w:t xml:space="preserve">Bicycle routes including informal on-road and off-road routes</w:t>
      </w:r>
      <w:r>
        <w:t xml:space="preserve">. Melbourne Open Data Platform, data.melbourne.vic.gov.au.</w:t>
      </w:r>
    </w:p>
    <w:p>
      <w:pPr>
        <w:numPr>
          <w:ilvl w:val="0"/>
          <w:numId w:val="1003"/>
        </w:numPr>
        <w:pStyle w:val="Compact"/>
      </w:pPr>
      <w:r>
        <w:t xml:space="preserve">City of Melbourne (2026).</w:t>
      </w:r>
      <w:r>
        <w:t xml:space="preserve"> </w:t>
      </w:r>
      <w:r>
        <w:rPr>
          <w:iCs/>
          <w:i/>
        </w:rPr>
        <w:t xml:space="preserve">Municipal boundary</w:t>
      </w:r>
      <w:r>
        <w:t xml:space="preserve">. Melbourne Open Data Platform.</w:t>
      </w:r>
    </w:p>
    <w:p>
      <w:pPr>
        <w:numPr>
          <w:ilvl w:val="0"/>
          <w:numId w:val="1003"/>
        </w:numPr>
        <w:pStyle w:val="Compact"/>
      </w:pPr>
      <w:r>
        <w:t xml:space="preserve">Department of Transport and Planning, Victoria (2026).</w:t>
      </w:r>
      <w:r>
        <w:t xml:space="preserve"> </w:t>
      </w:r>
      <w:r>
        <w:rPr>
          <w:iCs/>
          <w:i/>
        </w:rPr>
        <w:t xml:space="preserve">Road safety camera locations (fixed and mobile registers)</w:t>
      </w:r>
      <w:r>
        <w:t xml:space="preserve">, vic.gov.au.</w:t>
      </w:r>
    </w:p>
    <w:p>
      <w:pPr>
        <w:numPr>
          <w:ilvl w:val="0"/>
          <w:numId w:val="1003"/>
        </w:numPr>
        <w:pStyle w:val="Compact"/>
      </w:pPr>
      <w:r>
        <w:t xml:space="preserve">Munzner, T. (2014).</w:t>
      </w:r>
      <w:r>
        <w:t xml:space="preserve"> </w:t>
      </w:r>
      <w:r>
        <w:rPr>
          <w:iCs/>
          <w:i/>
        </w:rPr>
        <w:t xml:space="preserve">Visualization Analysis and Design.</w:t>
      </w:r>
      <w:r>
        <w:t xml:space="preserve"> </w:t>
      </w:r>
      <w:r>
        <w:t xml:space="preserve">CRC Press.</w:t>
      </w:r>
    </w:p>
    <w:p>
      <w:pPr>
        <w:numPr>
          <w:ilvl w:val="0"/>
          <w:numId w:val="1003"/>
        </w:numPr>
        <w:pStyle w:val="Compact"/>
      </w:pPr>
      <w:r>
        <w:t xml:space="preserve">Pebesma, E. &amp; Bivand, R. (2023).</w:t>
      </w:r>
      <w:r>
        <w:t xml:space="preserve"> </w:t>
      </w:r>
      <w:r>
        <w:rPr>
          <w:iCs/>
          <w:i/>
        </w:rPr>
        <w:t xml:space="preserve">Spatial Data Science: With Applications in R.</w:t>
      </w:r>
      <w:r>
        <w:t xml:space="preserve"> </w:t>
      </w:r>
      <w:r>
        <w:t xml:space="preserve">(sf, spdep.) van der Meer, L. et al. (2023).</w:t>
      </w:r>
      <w:r>
        <w:t xml:space="preserve"> </w:t>
      </w:r>
      <w:r>
        <w:rPr>
          <w:iCs/>
          <w:i/>
        </w:rPr>
        <w:t xml:space="preserve">sfnetworks: Tidy Geospatial Networks in R.</w:t>
      </w:r>
    </w:p>
    <w:p>
      <w:r>
        <w:pict>
          <v:rect style="width:0;height:1.5pt" o:hralign="center" o:hrstd="t" o:hr="t"/>
        </w:pict>
      </w:r>
    </w:p>
    <w:bookmarkEnd w:id="39"/>
    <w:bookmarkStart w:id="40" w:name="appendix-unmarked"/>
    <w:p>
      <w:pPr>
        <w:pStyle w:val="Heading1"/>
      </w:pPr>
      <w:r>
        <w:t xml:space="preserve">Appendix (unmarked)</w:t>
      </w:r>
    </w:p>
    <w:p>
      <w:pPr>
        <w:pStyle w:val="FirstParagraph"/>
      </w:pPr>
      <w:r>
        <w:rPr>
          <w:iCs/>
          <w:i/>
        </w:rPr>
        <w:t xml:space="preserve">Supporting figures and diagnostic tables referenced from the body. Per the unit rules, the appendix is not marked; only material that supports — but is not load-bearing for — the body claims is placed here.</w:t>
      </w:r>
    </w:p>
    <w:p>
      <w:pPr>
        <w:numPr>
          <w:ilvl w:val="0"/>
          <w:numId w:val="1004"/>
        </w:numPr>
        <w:pStyle w:val="Compact"/>
      </w:pPr>
      <w:r>
        <w:rPr>
          <w:bCs/>
          <w:b/>
        </w:rPr>
        <w:t xml:space="preserve">F-RQ1a</w:t>
      </w:r>
      <w:r>
        <w:t xml:space="preserve"> </w:t>
      </w:r>
      <w:r>
        <w:t xml:space="preserve">— activity-weighted coverage</w:t>
      </w:r>
      <w:r>
        <w:t xml:space="preserve"> </w:t>
      </w:r>
      <w:r>
        <w:rPr>
          <w:rStyle w:val="VerbatimChar"/>
        </w:rPr>
        <w:t xml:space="preserve">Cm(d)</w:t>
      </w:r>
      <w:r>
        <w:t xml:space="preserve"> </w:t>
      </w:r>
      <w:r>
        <w:t xml:space="preserve">and site benchmark</w:t>
      </w:r>
      <w:r>
        <w:t xml:space="preserve"> </w:t>
      </w:r>
      <w:r>
        <w:rPr>
          <w:rStyle w:val="VerbatimChar"/>
        </w:rPr>
        <w:t xml:space="preserve">U(d)</w:t>
      </w:r>
      <w:r>
        <w:t xml:space="preserve"> </w:t>
      </w:r>
      <w:r>
        <w:t xml:space="preserve">curves (context for the gap hero F-RQ1b).</w:t>
      </w:r>
    </w:p>
    <w:p>
      <w:pPr>
        <w:numPr>
          <w:ilvl w:val="0"/>
          <w:numId w:val="1004"/>
        </w:numPr>
        <w:pStyle w:val="Compact"/>
      </w:pPr>
      <w:r>
        <w:rPr>
          <w:bCs/>
          <w:b/>
        </w:rPr>
        <w:t xml:space="preserve">F-RQ1c</w:t>
      </w:r>
      <w:r>
        <w:t xml:space="preserve"> </w:t>
      </w:r>
      <w:r>
        <w:t xml:space="preserve">— mode-faceted activity-rate versus fixed-camera-distance scatter (internal inspection per mode; free y-scales).</w:t>
      </w:r>
    </w:p>
    <w:p>
      <w:pPr>
        <w:numPr>
          <w:ilvl w:val="0"/>
          <w:numId w:val="1004"/>
        </w:numPr>
        <w:pStyle w:val="Compact"/>
      </w:pPr>
      <w:r>
        <w:rPr>
          <w:bCs/>
          <w:b/>
        </w:rPr>
        <w:t xml:space="preserve">F-RQ1d</w:t>
      </w:r>
      <w:r>
        <w:t xml:space="preserve"> </w:t>
      </w:r>
      <w:r>
        <w:t xml:space="preserve">— wide-observation-span panel versus all-sites sensitivity for the gap.</w:t>
      </w:r>
    </w:p>
    <w:p>
      <w:pPr>
        <w:numPr>
          <w:ilvl w:val="0"/>
          <w:numId w:val="1004"/>
        </w:numPr>
        <w:pStyle w:val="Compact"/>
      </w:pPr>
      <w:r>
        <w:rPr>
          <w:bCs/>
          <w:b/>
        </w:rPr>
        <w:t xml:space="preserve">F-RQ1e</w:t>
      </w:r>
      <w:r>
        <w:t xml:space="preserve"> </w:t>
      </w:r>
      <w:r>
        <w:t xml:space="preserve">— VRU-exposure activity map with camera glyphs and a scale bar.</w:t>
      </w:r>
    </w:p>
    <w:p>
      <w:pPr>
        <w:numPr>
          <w:ilvl w:val="0"/>
          <w:numId w:val="1004"/>
        </w:numPr>
        <w:pStyle w:val="Compact"/>
      </w:pPr>
      <w:r>
        <w:rPr>
          <w:bCs/>
          <w:b/>
        </w:rPr>
        <w:t xml:space="preserve">F-RQ2e</w:t>
      </w:r>
      <w:r>
        <w:t xml:space="preserve"> </w:t>
      </w:r>
      <w:r>
        <w:t xml:space="preserve">— per-clock-hour activity-intensity heatmap, pedestrian versus cyclist, shared site order.</w:t>
      </w:r>
    </w:p>
    <w:p>
      <w:pPr>
        <w:numPr>
          <w:ilvl w:val="0"/>
          <w:numId w:val="1004"/>
        </w:numPr>
        <w:pStyle w:val="Compact"/>
      </w:pPr>
      <w:r>
        <w:rPr>
          <w:bCs/>
          <w:b/>
        </w:rPr>
        <w:t xml:space="preserve">F-RQ2d</w:t>
      </w:r>
      <w:r>
        <w:t xml:space="preserve"> </w:t>
      </w:r>
      <w:r>
        <w:t xml:space="preserve">— signed cyclist PM−AM balance map (context, not an alignment test).</w:t>
      </w:r>
    </w:p>
    <w:p>
      <w:pPr>
        <w:numPr>
          <w:ilvl w:val="0"/>
          <w:numId w:val="1004"/>
        </w:numPr>
        <w:pStyle w:val="Compact"/>
      </w:pPr>
      <w:r>
        <w:rPr>
          <w:bCs/>
          <w:b/>
        </w:rPr>
        <w:t xml:space="preserve">F-RQ3b</w:t>
      </w:r>
      <w:r>
        <w:t xml:space="preserve"> </w:t>
      </w:r>
      <w:r>
        <w:t xml:space="preserve">— network component map at a 2 m grid (largest core highlighted).</w:t>
      </w:r>
    </w:p>
    <w:p>
      <w:pPr>
        <w:numPr>
          <w:ilvl w:val="0"/>
          <w:numId w:val="1004"/>
        </w:numPr>
        <w:pStyle w:val="Compact"/>
      </w:pPr>
      <w:r>
        <w:rPr>
          <w:bCs/>
          <w:b/>
        </w:rPr>
        <w:t xml:space="preserve">Junction near-miss audit</w:t>
      </w:r>
      <w:r>
        <w:t xml:space="preserve"> </w:t>
      </w:r>
      <w:r>
        <w:t xml:space="preserve">— endpoint-to-nearest-</w:t>
      </w:r>
      <w:r>
        <w:rPr>
          <w:iCs/>
          <w:i/>
        </w:rPr>
        <w:t xml:space="preserve">other</w:t>
      </w:r>
      <w:r>
        <w:t xml:space="preserve">-route gap bins (quantisation-sensitivity diagnostic).</w:t>
      </w:r>
    </w:p>
    <w:p>
      <w:pPr>
        <w:numPr>
          <w:ilvl w:val="0"/>
          <w:numId w:val="1004"/>
        </w:numPr>
        <w:pStyle w:val="Compact"/>
      </w:pPr>
      <w:r>
        <w:rPr>
          <w:bCs/>
          <w:b/>
        </w:rPr>
        <w:t xml:space="preserve">Measurement tables</w:t>
      </w:r>
      <w:r>
        <w:t xml:space="preserve"> </w:t>
      </w:r>
      <w:r>
        <w:t xml:space="preserve">— the 0.8 / 0.9 / 0.95 span-cut-off sensitivity; the grid-cell sensitivity with origin range and self-loop length; the critical-set Jaccard; the synthesis evidence matrix.</w:t>
      </w:r>
    </w:p>
    <w:p>
      <w:r>
        <w:pict>
          <v:rect style="width:0;height:1.5pt" o:hralign="center" o:hrstd="t" o:hr="t"/>
        </w:pict>
      </w:r>
    </w:p>
    <w:bookmarkEnd w:id="40"/>
    <w:bookmarkStart w:id="41" w:name="before-you-submit-remove-this-section"/>
    <w:p>
      <w:pPr>
        <w:pStyle w:val="Heading1"/>
      </w:pPr>
      <w:r>
        <w:t xml:space="preserve">⚠ Before you submit — remove this section</w:t>
      </w:r>
    </w:p>
    <w:p>
      <w:pPr>
        <w:pStyle w:val="FirstParagraph"/>
      </w:pPr>
      <w:r>
        <w:rPr>
          <w:iCs/>
          <w:i/>
        </w:rPr>
        <w:t xml:space="preserve">This report is delivered with the analytical writing complete and every method justified, but the numeric results and rendered figures must come from a clean knit of</w:t>
      </w:r>
      <w:r>
        <w:rPr>
          <w:iCs/>
          <w:i/>
        </w:rPr>
        <w:t xml:space="preserve"> </w:t>
      </w:r>
      <w:r>
        <w:rPr>
          <w:rStyle w:val="VerbatimChar"/>
          <w:iCs/>
          <w:i/>
        </w:rPr>
        <w:t xml:space="preserve">DEP_Code_Vu_36071668_v3.Rmd</w:t>
      </w:r>
      <w:r>
        <w:rPr>
          <w:iCs/>
          <w:i/>
        </w:rPr>
        <w:t xml:space="preserve"> </w:t>
      </w:r>
      <w:r>
        <w:rPr>
          <w:iCs/>
          <w:i/>
        </w:rPr>
        <w:t xml:space="preserve">on the real TAC data (no R runtime or TAC data was available where this draft was produced). Do the following, then delete this section:</w:t>
      </w:r>
    </w:p>
    <w:p>
      <w:pPr>
        <w:numPr>
          <w:ilvl w:val="0"/>
          <w:numId w:val="1005"/>
        </w:numPr>
        <w:pStyle w:val="Compact"/>
      </w:pPr>
      <w:r>
        <w:rPr>
          <w:bCs/>
          <w:b/>
        </w:rPr>
        <w:t xml:space="preserve">Knit</w:t>
      </w:r>
      <w:r>
        <w:rPr>
          <w:bCs/>
          <w:b/>
        </w:rPr>
        <w:t xml:space="preserve"> </w:t>
      </w:r>
      <w:r>
        <w:rPr>
          <w:rStyle w:val="VerbatimChar"/>
          <w:bCs/>
          <w:b/>
        </w:rPr>
        <w:t xml:space="preserve">DEP_Code_Vu_36071668_v3.Rmd</w:t>
      </w:r>
      <w:r>
        <w:t xml:space="preserve"> </w:t>
      </w:r>
      <w:r>
        <w:t xml:space="preserve">end-to-end with the two TAC CSV paths in place. Confirm all 28 chunks run in sequence.</w:t>
      </w:r>
    </w:p>
    <w:p>
      <w:pPr>
        <w:numPr>
          <w:ilvl w:val="0"/>
          <w:numId w:val="1005"/>
        </w:numPr>
        <w:pStyle w:val="Compact"/>
      </w:pPr>
      <w:r>
        <w:rPr>
          <w:bCs/>
          <w:b/>
        </w:rPr>
        <w:t xml:space="preserve">Insert the eight figures</w:t>
      </w:r>
      <w:r>
        <w:t xml:space="preserve"> </w:t>
      </w:r>
      <w:r>
        <w:t xml:space="preserve">at the ⟦FIGURE⟧ placeholders, from the</w:t>
      </w:r>
      <w:r>
        <w:t xml:space="preserve"> </w:t>
      </w:r>
      <w:r>
        <w:rPr>
          <w:rStyle w:val="VerbatimChar"/>
        </w:rPr>
        <w:t xml:space="preserve">out/</w:t>
      </w:r>
      <w:r>
        <w:t xml:space="preserve"> </w:t>
      </w:r>
      <w:r>
        <w:t xml:space="preserve">folder:</w:t>
      </w:r>
      <w:r>
        <w:t xml:space="preserve"> </w:t>
      </w:r>
      <w:r>
        <w:rPr>
          <w:rStyle w:val="VerbatimChar"/>
        </w:rPr>
        <w:t xml:space="preserve">F_RQ1_hero.png</w:t>
      </w:r>
      <w:r>
        <w:t xml:space="preserve">,</w:t>
      </w:r>
      <w:r>
        <w:t xml:space="preserve"> </w:t>
      </w:r>
      <w:r>
        <w:rPr>
          <w:rStyle w:val="VerbatimChar"/>
        </w:rPr>
        <w:t xml:space="preserve">F_RQ2ab_gap_magnitude.png</w:t>
      </w:r>
      <w:r>
        <w:t xml:space="preserve">,</w:t>
      </w:r>
      <w:r>
        <w:t xml:space="preserve"> </w:t>
      </w:r>
      <w:r>
        <w:rPr>
          <w:rStyle w:val="VerbatimChar"/>
        </w:rPr>
        <w:t xml:space="preserve">F_RQ2c_weekly_delta.png</w:t>
      </w:r>
      <w:r>
        <w:t xml:space="preserve">,</w:t>
      </w:r>
      <w:r>
        <w:t xml:space="preserve"> </w:t>
      </w:r>
      <w:r>
        <w:rPr>
          <w:rStyle w:val="VerbatimChar"/>
        </w:rPr>
        <w:t xml:space="preserve">F_RQ3a_contribution.png</w:t>
      </w:r>
      <w:r>
        <w:t xml:space="preserve">,</w:t>
      </w:r>
      <w:r>
        <w:t xml:space="preserve"> </w:t>
      </w:r>
      <w:r>
        <w:rPr>
          <w:rStyle w:val="VerbatimChar"/>
        </w:rPr>
        <w:t xml:space="preserve">F_RQ3a2_ranked.png</w:t>
      </w:r>
      <w:r>
        <w:t xml:space="preserve">,</w:t>
      </w:r>
      <w:r>
        <w:t xml:space="preserve"> </w:t>
      </w:r>
      <w:r>
        <w:rPr>
          <w:rStyle w:val="VerbatimChar"/>
        </w:rPr>
        <w:t xml:space="preserve">F_RQ3d_sensitivity.png</w:t>
      </w:r>
      <w:r>
        <w:t xml:space="preserve">,</w:t>
      </w:r>
      <w:r>
        <w:t xml:space="preserve"> </w:t>
      </w:r>
      <w:r>
        <w:rPr>
          <w:rStyle w:val="VerbatimChar"/>
        </w:rPr>
        <w:t xml:space="preserve">F_RQ3e_proposal_gain.png</w:t>
      </w:r>
      <w:r>
        <w:t xml:space="preserve">,</w:t>
      </w:r>
      <w:r>
        <w:t xml:space="preserve"> </w:t>
      </w:r>
      <w:r>
        <w:rPr>
          <w:rStyle w:val="VerbatimChar"/>
        </w:rPr>
        <w:t xml:space="preserve">F_RQ3c_top_proposal.png</w:t>
      </w:r>
      <w:r>
        <w:t xml:space="preserve"> </w:t>
      </w:r>
      <w:r>
        <w:t xml:space="preserve">(plus the appendix figures). The evidence-chain diagram</w:t>
      </w:r>
      <w:r>
        <w:t xml:space="preserve"> </w:t>
      </w:r>
      <w:r>
        <w:rPr>
          <w:rStyle w:val="VerbatimChar"/>
        </w:rPr>
        <w:t xml:space="preserve">evidence_chain.png</w:t>
      </w:r>
      <w:r>
        <w:t xml:space="preserve"> </w:t>
      </w:r>
      <w:r>
        <w:t xml:space="preserve">is already embedded.</w:t>
      </w:r>
    </w:p>
    <w:p>
      <w:pPr>
        <w:numPr>
          <w:ilvl w:val="0"/>
          <w:numId w:val="1005"/>
        </w:numPr>
        <w:pStyle w:val="Compact"/>
      </w:pPr>
      <w:r>
        <w:rPr>
          <w:bCs/>
          <w:b/>
        </w:rPr>
        <w:t xml:space="preserve">Fill the bracketed</w:t>
      </w:r>
      <w:r>
        <w:rPr>
          <w:bCs/>
          <w:b/>
        </w:rPr>
        <w:t xml:space="preserve"> </w:t>
      </w:r>
      <w:r>
        <w:rPr>
          <w:rStyle w:val="VerbatimChar"/>
          <w:bCs/>
          <w:b/>
        </w:rPr>
        <w:t xml:space="preserve">[__ from knit]</w:t>
      </w:r>
      <w:r>
        <w:rPr>
          <w:bCs/>
          <w:b/>
        </w:rPr>
        <w:t xml:space="preserve"> </w:t>
      </w:r>
      <w:r>
        <w:rPr>
          <w:bCs/>
          <w:b/>
        </w:rPr>
        <w:t xml:space="preserve">values</w:t>
      </w:r>
      <w:r>
        <w:t xml:space="preserve"> </w:t>
      </w:r>
      <w:r>
        <w:t xml:space="preserve">from the printed</w:t>
      </w:r>
      <w:r>
        <w:t xml:space="preserve"> </w:t>
      </w:r>
      <w:r>
        <w:rPr>
          <w:rStyle w:val="VerbatimChar"/>
        </w:rPr>
        <w:t xml:space="preserve">cat()</w:t>
      </w:r>
      <w:r>
        <w:t xml:space="preserve"> </w:t>
      </w:r>
      <w:r>
        <w:t xml:space="preserve">diagnostics — there are roughly ten: RQ1 gap at 500 m and its LOO range; RQ2</w:t>
      </w:r>
      <w:r>
        <w:t xml:space="preserve"> </w:t>
      </w:r>
      <w:r>
        <w:rPr>
          <w:rStyle w:val="VerbatimChar"/>
        </w:rPr>
        <w:t xml:space="preserve">Gt</w:t>
      </w:r>
      <w:r>
        <w:t xml:space="preserve"> </w:t>
      </w:r>
      <w:r>
        <w:t xml:space="preserve">flatness and the weekly recurrence count/percentage; RQ3</w:t>
      </w:r>
      <w:r>
        <w:t xml:space="preserve"> </w:t>
      </w:r>
      <w:r>
        <w:rPr>
          <w:rStyle w:val="VerbatimChar"/>
        </w:rPr>
        <w:t xml:space="preserve">R(G)</w:t>
      </w:r>
      <w:r>
        <w:t xml:space="preserve">, the critical-segment count, the 2 m↔5 m Jaccard, and the count of reconnecting proposals.</w:t>
      </w:r>
    </w:p>
    <w:p>
      <w:pPr>
        <w:numPr>
          <w:ilvl w:val="0"/>
          <w:numId w:val="1005"/>
        </w:numPr>
        <w:pStyle w:val="Compact"/>
      </w:pPr>
      <w:r>
        <w:rPr>
          <w:bCs/>
          <w:b/>
        </w:rPr>
        <w:t xml:space="preserve">Confirm the RQ wording</w:t>
      </w:r>
      <w:r>
        <w:t xml:space="preserve"> </w:t>
      </w:r>
      <w:r>
        <w:t xml:space="preserve">in §1 matches your approved project proposal exactly.</w:t>
      </w:r>
    </w:p>
    <w:p>
      <w:pPr>
        <w:numPr>
          <w:ilvl w:val="0"/>
          <w:numId w:val="1005"/>
        </w:numPr>
        <w:pStyle w:val="Compact"/>
      </w:pPr>
      <w:r>
        <w:rPr>
          <w:bCs/>
          <w:b/>
        </w:rPr>
        <w:t xml:space="preserve">Check the page budget:</w:t>
      </w:r>
      <w:r>
        <w:t xml:space="preserve"> </w:t>
      </w:r>
      <w:r>
        <w:t xml:space="preserve">body ≤ 10 pages with ≥ 5 pages of exploration; move any overflow figures to the appendix.</w:t>
      </w:r>
    </w:p>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Spatial–Temporal Alignment of Speed-Camera Enforcement with Pedestrian and Cyclist Activity in the City of Melbourne</dc:title>
  <dc:creator>Gia Linh (Sally) Vu · 36071668</dc:creator>
  <cp:keywords/>
  <dcterms:created xsi:type="dcterms:W3CDTF">2026-09-14T06:36:21Z</dcterms:created>
  <dcterms:modified xsi:type="dcterms:W3CDTF">2026-09-14T06:36:21Z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FIT5147 Data Exploration Project — Part 2 (Written Report)</vt:lpwstr>
  </property>
</Properties>
</file>