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595959"/>
          <w:sz w:val="24"/>
          <w:szCs w:val="24"/>
        </w:rPr>
        <w:t xml:space="preserve">FIT5147 Data Exploration Project — Part 2</w:t>
      </w:r>
    </w:p>
    <w:p>
      <w:pPr>
        <w:spacing w:after="200"/>
        <w:jc w:val="center"/>
      </w:pPr>
      <w:r>
        <w:rPr>
          <w:b/>
          <w:bCs/>
          <w:color w:val="1F3864"/>
          <w:sz w:val="34"/>
          <w:szCs w:val="34"/>
        </w:rPr>
        <w:t xml:space="preserve">Spatial–Temporal Alignment of Speed-Camera Enforcement with Pedestrian and Cyclist Activity in the City of Melbourne</w:t>
      </w:r>
    </w:p>
    <w:p>
      <w:pPr>
        <w:spacing w:after="40"/>
        <w:jc w:val="center"/>
      </w:pPr>
      <w:r>
        <w:rPr>
          <w:sz w:val="22"/>
          <w:szCs w:val="22"/>
        </w:rPr>
        <w:t xml:space="preserve">Gia Linh (Sally) Vu · Student ID 36071668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Teaching Associates: Michael Niemann &amp; Bruno Luis Mendivez Vasquez · Applied 08</w:t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Exploration tool: R / Python (sf · data.table · ggplot2 · classInt · spdep · sfnetworks)</w:t>
      </w:r>
    </w:p>
    <w:p>
      <w:pPr>
        <w:spacing w:after="120" w:before="200"/>
        <w:jc w:val="center"/>
      </w:pPr>
      <w:r>
        <w:rPr>
          <w:b/>
          <w:bCs/>
          <w:color w:val="1F3864"/>
          <w:sz w:val="22"/>
          <w:szCs w:val="22"/>
        </w:rPr>
        <w:t xml:space="preserve">Table of Contents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/>
          <w:bCs/>
          <w:sz w:val="20"/>
          <w:szCs w:val="20"/>
        </w:rPr>
        <w:t xml:space="preserve">1  Introduction</w:t>
      </w:r>
      <w:r>
        <w:rPr>
          <w:sz w:val="20"/>
          <w:szCs w:val="20"/>
        </w:rPr>
        <w:t xml:space="preserve">	2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/>
          <w:bCs/>
          <w:sz w:val="20"/>
          <w:szCs w:val="20"/>
        </w:rPr>
        <w:t xml:space="preserve">2  Data Wrangling and Checking</w:t>
      </w:r>
      <w:r>
        <w:rPr>
          <w:sz w:val="20"/>
          <w:szCs w:val="20"/>
        </w:rPr>
        <w:t xml:space="preserve">	2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 w:val="false"/>
          <w:bCs w:val="false"/>
          <w:sz w:val="20"/>
          <w:szCs w:val="20"/>
        </w:rPr>
        <w:t xml:space="preserve">      2.1  Data sources and provenance</w:t>
      </w:r>
      <w:r>
        <w:rPr>
          <w:sz w:val="20"/>
          <w:szCs w:val="20"/>
        </w:rPr>
        <w:t xml:space="preserve">	2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 w:val="false"/>
          <w:bCs w:val="false"/>
          <w:sz w:val="20"/>
          <w:szCs w:val="20"/>
        </w:rPr>
        <w:t xml:space="preserve">      2.2  Wrangling — steps that carried the complexity</w:t>
      </w:r>
      <w:r>
        <w:rPr>
          <w:sz w:val="20"/>
          <w:szCs w:val="20"/>
        </w:rPr>
        <w:t xml:space="preserve">	3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 w:val="false"/>
          <w:bCs w:val="false"/>
          <w:sz w:val="20"/>
          <w:szCs w:val="20"/>
        </w:rPr>
        <w:t xml:space="preserve">      2.3  Data checking, error log, projection</w:t>
      </w:r>
      <w:r>
        <w:rPr>
          <w:sz w:val="20"/>
          <w:szCs w:val="20"/>
        </w:rPr>
        <w:t xml:space="preserve">	3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/>
          <w:bCs/>
          <w:sz w:val="20"/>
          <w:szCs w:val="20"/>
        </w:rPr>
        <w:t xml:space="preserve">3  Data Exploration</w:t>
      </w:r>
      <w:r>
        <w:rPr>
          <w:sz w:val="20"/>
          <w:szCs w:val="20"/>
        </w:rPr>
        <w:t xml:space="preserve">	5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 w:val="false"/>
          <w:bCs w:val="false"/>
          <w:sz w:val="20"/>
          <w:szCs w:val="20"/>
        </w:rPr>
        <w:t xml:space="preserve">      3.1  RQ1 — Spatial</w:t>
      </w:r>
      <w:r>
        <w:rPr>
          <w:sz w:val="20"/>
          <w:szCs w:val="20"/>
        </w:rPr>
        <w:t xml:space="preserve">	5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 w:val="false"/>
          <w:bCs w:val="false"/>
          <w:sz w:val="20"/>
          <w:szCs w:val="20"/>
        </w:rPr>
        <w:t xml:space="preserve">      3.2  RQ2 — Temporal</w:t>
      </w:r>
      <w:r>
        <w:rPr>
          <w:sz w:val="20"/>
          <w:szCs w:val="20"/>
        </w:rPr>
        <w:t xml:space="preserve">	6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 w:val="false"/>
          <w:bCs w:val="false"/>
          <w:sz w:val="20"/>
          <w:szCs w:val="20"/>
        </w:rPr>
        <w:t xml:space="preserve">      3.3  RQ3 — Network</w:t>
      </w:r>
      <w:r>
        <w:rPr>
          <w:sz w:val="20"/>
          <w:szCs w:val="20"/>
        </w:rPr>
        <w:t xml:space="preserve">	8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 w:val="false"/>
          <w:bCs w:val="false"/>
          <w:sz w:val="20"/>
          <w:szCs w:val="20"/>
        </w:rPr>
        <w:t xml:space="preserve">      3.4  Synthesis</w:t>
      </w:r>
      <w:r>
        <w:rPr>
          <w:sz w:val="20"/>
          <w:szCs w:val="20"/>
        </w:rPr>
        <w:t xml:space="preserve">	9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/>
          <w:bCs/>
          <w:sz w:val="20"/>
          <w:szCs w:val="20"/>
        </w:rPr>
        <w:t xml:space="preserve">4  Conclusion</w:t>
      </w:r>
      <w:r>
        <w:rPr>
          <w:sz w:val="20"/>
          <w:szCs w:val="20"/>
        </w:rPr>
        <w:t xml:space="preserve">	10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/>
          <w:bCs/>
          <w:sz w:val="20"/>
          <w:szCs w:val="20"/>
        </w:rPr>
        <w:t xml:space="preserve">5  Reflection</w:t>
      </w:r>
      <w:r>
        <w:rPr>
          <w:sz w:val="20"/>
          <w:szCs w:val="20"/>
        </w:rPr>
        <w:t xml:space="preserve">	10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/>
          <w:bCs/>
          <w:sz w:val="20"/>
          <w:szCs w:val="20"/>
        </w:rPr>
        <w:t xml:space="preserve">6  Limitations</w:t>
      </w:r>
      <w:r>
        <w:rPr>
          <w:sz w:val="20"/>
          <w:szCs w:val="20"/>
        </w:rPr>
        <w:t xml:space="preserve">	10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/>
          <w:bCs/>
          <w:sz w:val="20"/>
          <w:szCs w:val="20"/>
        </w:rPr>
        <w:t xml:space="preserve">Bibliography</w:t>
      </w:r>
      <w:r>
        <w:rPr>
          <w:sz w:val="20"/>
          <w:szCs w:val="20"/>
        </w:rPr>
        <w:t xml:space="preserve">	11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/>
          <w:bCs/>
          <w:sz w:val="20"/>
          <w:szCs w:val="20"/>
        </w:rPr>
        <w:t xml:space="preserve">Declaration of AI Assistance</w:t>
      </w:r>
      <w:r>
        <w:rPr>
          <w:sz w:val="20"/>
          <w:szCs w:val="20"/>
        </w:rPr>
        <w:t xml:space="preserve">	11</w:t>
      </w:r>
    </w:p>
    <w:p>
      <w:pPr>
        <w:tabs>
          <w:tab w:val="right" w:pos="8600" w:leader="dot"/>
        </w:tabs>
        <w:spacing w:after="60"/>
        <w:ind w:left="600" w:right="400"/>
      </w:pPr>
      <w:r>
        <w:rPr>
          <w:b/>
          <w:bCs/>
          <w:sz w:val="20"/>
          <w:szCs w:val="20"/>
        </w:rPr>
        <w:t xml:space="preserve">Appendix (unmarked)</w:t>
      </w:r>
      <w:r>
        <w:rPr>
          <w:sz w:val="20"/>
          <w:szCs w:val="20"/>
        </w:rPr>
        <w:t xml:space="preserve">	12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1  Introduction</w:t>
      </w:r>
    </w:p>
    <w:p>
      <w:pPr>
        <w:spacing w:after="120" w:line="276"/>
      </w:pPr>
      <w:r>
        <w:rPr>
          <w:sz w:val="21"/>
          <w:szCs w:val="21"/>
        </w:rPr>
        <w:t xml:space="preserve">Speed and red-light cameras are among the most direct instruments a city has for managing road-user risk, yet they are sparse, fixed and location-based, whereas the people most exposed to that risk — pedestrians and cyclists, the vulnerable road users (VRUs) — move through the city in patterns that are dense, continuous and time-varying. The cycling network meant to protect one of those groups is a third geometry again: linear and, in places, discontinuous. This project asks whether these three geometries agree — whether enforcement is placed where VRU activity is greatest, and whether the protective infrastructure holds together as a system. The motivation is a Vision-Zero one: exposure without either enforcement or protection is precisely the combination a safe-system approach tries to eliminate, a tension I experience directly as a daily inner-Melbourne pedestrian and cyclist. The analysis is strictly exploratory and associational: it describes where patterns coincide or diverge and never claims a camera causes a change in behaviour.</w:t>
      </w:r>
    </w:p>
    <w:p>
      <w:pPr>
        <w:spacing w:after="120" w:line="276"/>
      </w:pPr>
      <w:r>
        <w:rPr>
          <w:sz w:val="21"/>
          <w:szCs w:val="21"/>
        </w:rPr>
        <w:t xml:space="preserve">The study area is the City of Melbourne (CoM) local-government area (37.7 km²), defined authoritatively by its municipal-boundary polygon rather than by suburb labels. Five open spatial layers are integrated: ~8.2 million five-minute pedestrian/cyclist counts (Transport Activity Counts 2026), fixed and mobile road-safety camera locations, the municipal cycling network including informal routes, and the CoM boundary. Three research questions guide the exploration (stated verbatim from the Part-1 proposal):</w:t>
      </w:r>
    </w:p>
    <w:p>
      <w:pPr>
        <w:spacing w:after="80"/>
        <w:ind w:left="360"/>
      </w:pPr>
      <w:r>
        <w:rPr>
          <w:b/>
          <w:bCs/>
          <w:sz w:val="21"/>
          <w:szCs w:val="21"/>
        </w:rPr>
        <w:t xml:space="preserve">RQ1 (Spatial). </w:t>
      </w:r>
      <w:r>
        <w:rPr>
          <w:i/>
          <w:iCs/>
          <w:sz w:val="21"/>
          <w:szCs w:val="21"/>
        </w:rPr>
        <w:t xml:space="preserve">Across the CoM, how does the spatial distribution of speed-camera enforcement relate to patterns of pedestrian and cyclist activity?</w:t>
      </w:r>
    </w:p>
    <w:p>
      <w:pPr>
        <w:spacing w:after="80"/>
        <w:ind w:left="360"/>
      </w:pPr>
      <w:r>
        <w:rPr>
          <w:b/>
          <w:bCs/>
          <w:sz w:val="21"/>
          <w:szCs w:val="21"/>
        </w:rPr>
        <w:t xml:space="preserve">RQ2 (Temporal). </w:t>
      </w:r>
      <w:r>
        <w:rPr>
          <w:i/>
          <w:iCs/>
          <w:sz w:val="21"/>
          <w:szCs w:val="21"/>
        </w:rPr>
        <w:t xml:space="preserve">Across the CoM, is there a relationship between when pedestrians and cyclists are active and when traffic enforcement occurs?</w:t>
      </w:r>
    </w:p>
    <w:p>
      <w:pPr>
        <w:spacing w:after="120"/>
        <w:ind w:left="360"/>
      </w:pPr>
      <w:r>
        <w:rPr>
          <w:b/>
          <w:bCs/>
          <w:sz w:val="21"/>
          <w:szCs w:val="21"/>
        </w:rPr>
        <w:t xml:space="preserve">RQ3 (Network). </w:t>
      </w:r>
      <w:r>
        <w:rPr>
          <w:i/>
          <w:iCs/>
          <w:sz w:val="21"/>
          <w:szCs w:val="21"/>
        </w:rPr>
        <w:t xml:space="preserve">Across the CoM, how do different segments of the cycling network contribute to its continuity and connectivity?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 data limitation reframes RQ2 up front (and turns it into an analytical decision). </w:t>
      </w:r>
      <w:r>
        <w:rPr>
          <w:sz w:val="21"/>
          <w:szCs w:val="21"/>
        </w:rPr>
        <w:t xml:space="preserve">Fixed cameras operate 24/7 and automated — their only date field is an annual calibration test — and mobile cameras carry only an audit month, so </w:t>
      </w:r>
      <w:r>
        <w:rPr>
          <w:i/>
          <w:iCs/>
          <w:sz w:val="21"/>
          <w:szCs w:val="21"/>
        </w:rPr>
        <w:t xml:space="preserve">enforcement timing is unobservable</w:t>
      </w:r>
      <w:r>
        <w:rPr>
          <w:sz w:val="21"/>
          <w:szCs w:val="21"/>
        </w:rPr>
        <w:t xml:space="preserve">. RQ2 is therefore answered on the activity side, with enforcement entering only through the question: do camera </w:t>
      </w:r>
      <w:r>
        <w:rPr>
          <w:i/>
          <w:iCs/>
          <w:sz w:val="21"/>
          <w:szCs w:val="21"/>
        </w:rPr>
        <w:t xml:space="preserve">locations</w:t>
      </w:r>
      <w:r>
        <w:rPr>
          <w:sz w:val="21"/>
          <w:szCs w:val="21"/>
        </w:rPr>
        <w:t xml:space="preserve"> coincide with the places that are hottest during the highest-risk activity windows? A fourth, synthesising question runs underneath all three — where do high exposure, low enforcement and weak or discontinuous protection coincide? — and the report builds toward it in its final figure.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2  Data Wrangling and Checking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3"/>
          <w:szCs w:val="23"/>
        </w:rPr>
        <w:t xml:space="preserve">2.1  Data sources and provenance</w:t>
      </w:r>
    </w:p>
    <w:p>
      <w:pPr>
        <w:spacing w:after="120" w:line="276"/>
      </w:pPr>
      <w:r>
        <w:rPr>
          <w:sz w:val="21"/>
          <w:szCs w:val="21"/>
        </w:rPr>
        <w:t xml:space="preserve">Five spatial layers from three open providers were integrated (Table 1); all are CC-BY 4.0 and re-downloadable, so the pipeline is reproducible. Dataset D (the municipal boundary) is not an analysis layer but the authoritative clip mask: every “in the CoM” figure below is defined by spatial intersection with this polygon, because suburb strings mis-scope split suburbs (e.g. South Yarra, Port Melbourne). Adding D lifts the integration to five layers spanning points, lines, a polygon and an 8.2-million-row time series.</w:t>
      </w:r>
    </w:p>
    <w:tbl>
      <w:tblPr>
        <w:tblW w:type="dxa" w:w="7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0"/>
        <w:gridCol w:w="1650"/>
        <w:gridCol w:w="2200"/>
        <w:gridCol w:w="1900"/>
        <w:gridCol w:w="1050"/>
      </w:tblGrid>
      <w:tr>
        <w:trPr>
          <w:tblHeader/>
        </w:trPr>
        <w:tc>
          <w:tcPr>
            <w:tcW w:type="dxa" w:w="56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Layer / grain</w:t>
            </w:r>
          </w:p>
        </w:tc>
        <w:tc>
          <w:tcPr>
            <w:tcW w:type="dxa" w:w="22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 (provider) &amp; URL</w:t>
            </w:r>
          </w:p>
        </w:tc>
        <w:tc>
          <w:tcPr>
            <w:tcW w:type="dxa" w:w="190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Attributes used</w:t>
            </w:r>
          </w:p>
        </w:tc>
        <w:tc>
          <w:tcPr>
            <w:tcW w:type="dxa" w:w="10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Serves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Transport Activity Counts 2026 · 5-min × countline; 8.2M rows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City of Melbourne Open Data — data.melbourne.vic.gov.au (TransportActivityCount_2026.zip)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countLocationId, lat/lon, from/to, class, count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RQ1–2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B1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Fixed cameras · 333×23 (statewide)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DJCS “Find a road safety camera” — vic.gov.au (Elasticsearch feed)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camera_id, site_type, lat/lon, test/expiry dates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RQ1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B2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Mobile cameras · 2,252×4 (statewide)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DJCS / DataVic — discover.data.vic.gov.au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location, suburb, reason code, audit month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RQ1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Bicycle routes · 274 MultiLineStrings; 198.4 km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City of Melbourne Open Data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Geo Shape, type, name, status, direction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RQ3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</w:t>
            </w:r>
          </w:p>
        </w:tc>
        <w:tc>
          <w:tcPr>
            <w:tcW w:type="dxa" w:w="1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Municipal boundary · 1 polygon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City of Melbourne Open Data</w:t>
            </w:r>
          </w:p>
        </w:tc>
        <w:tc>
          <w:tcPr>
            <w:tcW w:type="dxa" w:w="1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LGA geometry (clip mask)</w:t>
            </w:r>
          </w:p>
        </w:tc>
        <w:tc>
          <w:tcPr>
            <w:tcW w:type="dxa" w:w="10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frame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Table 1. Data provenance (full URLs in the Bibliography). Tools: R/Python throughout — data.table/pandas for the 8.2M-row I/O, sf/geopandas for spatial work, tidygeocoder/ArcGIS for geocoding, httr2 for the reproducible scrape, lubridate for time.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3"/>
          <w:szCs w:val="23"/>
        </w:rPr>
        <w:t xml:space="preserve">2.2  Wrangling — the steps that carried the complexity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Fixed cameras (B1) — a reproducible scrape.</w:t>
      </w:r>
      <w:r>
        <w:rPr>
          <w:sz w:val="21"/>
          <w:szCs w:val="21"/>
        </w:rPr>
        <w:t xml:space="preserve"> The “Find a road safety camera” tool renders client-side, so its records never appear in the page HTML. Inspecting the network traffic revealed the underlying Elasticsearch endpoint (POST …/api/tide/elasticsearch/…/_search); a single request with {“size”:1000,“query”:{“match_all”:{}}} returns all 333 records as a tidy CSV, and re-running it reproduced the supplied snapshot exactly (333 rows; identical site-type split Intersection 278 / Freeway 25 / Point-to-point 20 / Highway 10). Three columns (lga, commissioned_date, network) are 100% null and were dropped; four (camera_type, reason, link, status) are constant and were kept but flagged non-discriminating. Points were built in WGS84, projected to EPSG:7855 and clipped to the CoM polygon, dropping the statewide register from 333 to 29 in-CoM cameras (26 intersection, 3 highway).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Mobile cameras (B2) — the headline wrangling task.</w:t>
      </w:r>
      <w:r>
        <w:rPr>
          <w:sz w:val="21"/>
          <w:szCs w:val="21"/>
        </w:rPr>
        <w:t xml:space="preserve"> The real header sits under a title row (read with skip = 1). There are no coordinates, so the 28 sites in CoM suburbs were geocoded from location + suburb via the ArcGIS World Geocoder (100% candidate match) and then accuracy-checked against the boundary: 10 fell outside the CoM and were dropped, leaving 18 — including one clear geocoding error (“Chapel Street, South Yarra” resolved ~15 km north to lat −37.69) that the boundary check caught automatically. 588 of the 2,252 audit dates are the corrupt token “T” (6 within the CoM subset); these were set to NA and reported rather than parsed. The multi-label reason code (A/B/C/D combinations) was one-hot encoded rather than guessing the unpublished legend.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Transport Activity Counts (A) — the big-data step and a timezone discovery.</w:t>
      </w:r>
      <w:r>
        <w:rPr>
          <w:sz w:val="21"/>
          <w:szCs w:val="21"/>
        </w:rPr>
        <w:t xml:space="preserve"> The two quarterly CSVs (1.27 GB, 8,205,370 rows, 1 Jan–12 May 2026) were streamed in chunks and reduced to per-site hour×day-of-week profiles, a daily series and per-site totals. A crucial checking finding emerged here: the timestamps are labelled with a “Z” (UTC) suffix but are in fact Melbourne local wall-clock time. Treating them as UTC and converting displaced every temporal pattern by 10–11 hours — it placed the </w:t>
      </w:r>
      <w:r>
        <w:rPr>
          <w:i/>
          <w:iCs/>
          <w:sz w:val="21"/>
          <w:szCs w:val="21"/>
        </w:rPr>
        <w:t xml:space="preserve">cyclist “peak” at 3–4 a.m.</w:t>
      </w:r>
      <w:r>
        <w:rPr>
          <w:sz w:val="21"/>
          <w:szCs w:val="21"/>
        </w:rPr>
        <w:t xml:space="preserve">, a physical impossibility that flagged the error. Read as local time, cyclists show the correct 8 a.m. / 5–6 p.m. commuter double-peak. A second data-quality issue was that the coordinate and count columns carry the literal token “null” in 5,604 rows (from coordinate-less sensors); these were read as NA, coerced numeric, and the location-less rows dropped. A third, structural finding: the 159 countlines occupy only 35 distinct physical locations, so activity is measured at 35 sensor sites — the analytical unit for all activity figures. Modes were defined as VRU = pedestrian + cyclist (e-scooter kept separate); a per-site coverage measure preserves the missing ≠ zero distinction.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Bicycle routes (C).</w:t>
      </w:r>
      <w:r>
        <w:rPr>
          <w:sz w:val="21"/>
          <w:szCs w:val="21"/>
        </w:rPr>
        <w:t xml:space="preserve"> The Geo Shape GeoJSON was parsed to line geometry, made valid and projected. An ordinal </w:t>
      </w:r>
      <w:r>
        <w:rPr>
          <w:i/>
          <w:iCs/>
          <w:sz w:val="21"/>
          <w:szCs w:val="21"/>
        </w:rPr>
        <w:t xml:space="preserve">protection</w:t>
      </w:r>
      <w:r>
        <w:rPr>
          <w:sz w:val="21"/>
          <w:szCs w:val="21"/>
        </w:rPr>
        <w:t xml:space="preserve"> variable was derived — a modelling choice, not a given field — from route type and the treatment sub-types embedded in name (e.g. “Kerbside Separated”, “Capital City Trail”, “Part-Time”), ordered by physical separation from traffic: off-road/trail &gt; separated on-road &gt; painted on-road &gt; part-time &gt; informal &gt; strategic corridor. An existing/proposed flag came from status (235 existing / 39 proposed); segment lengths (metres, requiring the projected CRS) total 198.4 km.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3"/>
          <w:szCs w:val="23"/>
        </w:rPr>
        <w:t xml:space="preserve">2.3  Data checking, the error log, and the projection decision</w:t>
      </w:r>
    </w:p>
    <w:p>
      <w:pPr>
        <w:spacing w:after="120" w:line="276"/>
      </w:pPr>
      <w:r>
        <w:rPr>
          <w:sz w:val="21"/>
          <w:szCs w:val="21"/>
        </w:rPr>
        <w:t xml:space="preserve">Checking ran across six dimensions — completeness, validity, consistency, accuracy, uniqueness and scope/temporal. Table 2 is the error log; it is kept in the body because it is direct evidence of a checking process. Because the source layers are in geographic degrees (EPSG:4326), which are not a length unit, all distances, lengths, densities and areas are computed in GDA2020 / MGA Zone 55 (EPSG:7855, metres) — Melbourne’s official projected CRS, whose area distortion is negligible (&lt;0.1%) at city scale — and reprojected to 4326 only for display.</w:t>
      </w:r>
    </w:p>
    <w:tbl>
      <w:tblPr>
        <w:tblW w:type="dxa" w:w="6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380"/>
        <w:gridCol w:w="1120"/>
        <w:gridCol w:w="2450"/>
        <w:gridCol w:w="2410"/>
      </w:tblGrid>
      <w:tr>
        <w:trPr>
          <w:tblHeader/>
        </w:trPr>
        <w:tc>
          <w:tcPr>
            <w:tcW w:type="dxa" w:w="38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12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Dataset</w:t>
            </w:r>
          </w:p>
        </w:tc>
        <w:tc>
          <w:tcPr>
            <w:tcW w:type="dxa" w:w="245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Error found (detection)</w:t>
            </w:r>
          </w:p>
        </w:tc>
        <w:tc>
          <w:tcPr>
            <w:tcW w:type="dxa" w:w="2410"/>
            <w:shd w:fill="1F386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Correction &amp; justification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 · TAC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Timestamps labelled “Z”/UTC but actually Melbourne local (cyclist peak fell at 3–4 a.m.)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Parsed as local wall-clock — restores correct commuter peaks; avoids a 10–11 h displacement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 · TAC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Coordinate/count columns contain the token “null” (5,604 rows), which types the column as text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Declared as NA on read + coerced numeric; the coordinate-less rows dropped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 · TAC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159 countlines at only 35 physical coordinates (schema scan)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Aggregated to 35 sensor sites — the honest unit for point measurements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 · TAC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Missing ≠ zero (portal omits absent readings)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Per-site coverage measure; low-coverage sites annotated, never imputed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B1 · fixed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lga / commissioned_date / network 100% null; camera_type/reason/link/status constant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Nulls dropped; constants kept but flagged non-discriminating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B1 · fixed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Statewide extent (lat −38.4…−34.2), not CoM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Spatial clip to boundary polygon → 333 to 29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B2 · mobile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No coordinates (schema)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Geocoded location+suburb (ArcGIS), cached, boundary-checked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B2 · mobile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Geocode error — “Chapel St, South Yarra” ~15 km north (in-boundary test)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Dropped with 9 other out-of-CoM points; match rate reported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B2 · mobile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588 audit dates = corrupt “T” (value scan); title row above header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Set to NA and reported; read with skip = 1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C · bike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info 100% null; status 85.8% null; protection not a field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Dropped info; derived existing/proposed and the protection ordinal</w:t>
            </w:r>
          </w:p>
        </w:tc>
      </w:tr>
      <w:tr>
        <w:tc>
          <w:tcPr>
            <w:tcW w:type="dxa" w:w="38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type="dxa" w:w="112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all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Mixed CRS — degrees vs metres (st_crs audit)</w:t>
            </w:r>
          </w:p>
        </w:tc>
        <w:tc>
          <w:tcPr>
            <w:tcW w:type="dxa" w:w="241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Unified to EPSG:7855 for every metric computation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Table 2. Error log — errors found, how they were detected, and how they were corrected. A before/after row-count audit (raw → cleaned → in-study-area) accompanies it in the code.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3  Data Exploration</w:t>
      </w:r>
    </w:p>
    <w:p>
      <w:pPr>
        <w:spacing w:after="120" w:line="276"/>
      </w:pPr>
      <w:r>
        <w:rPr>
          <w:sz w:val="21"/>
          <w:szCs w:val="21"/>
        </w:rPr>
        <w:t xml:space="preserve">The exploration was designed, not fished: each research question was decomposed into sub-questions, each mapped to one figure and (where it helped) one statistical method. Every figure is read in three beats — </w:t>
      </w:r>
      <w:r>
        <w:rPr>
          <w:b/>
          <w:bCs/>
          <w:sz w:val="21"/>
          <w:szCs w:val="21"/>
        </w:rPr>
        <w:t xml:space="preserve">observation</w:t>
      </w:r>
      <w:r>
        <w:rPr>
          <w:sz w:val="21"/>
          <w:szCs w:val="21"/>
        </w:rPr>
        <w:t xml:space="preserve"> (what is visible), </w:t>
      </w:r>
      <w:r>
        <w:rPr>
          <w:b/>
          <w:bCs/>
          <w:sz w:val="21"/>
          <w:szCs w:val="21"/>
        </w:rPr>
        <w:t xml:space="preserve">interpretation</w:t>
      </w:r>
      <w:r>
        <w:rPr>
          <w:sz w:val="21"/>
          <w:szCs w:val="21"/>
        </w:rPr>
        <w:t xml:space="preserve"> (what it means for the question), and </w:t>
      </w:r>
      <w:r>
        <w:rPr>
          <w:b/>
          <w:bCs/>
          <w:sz w:val="21"/>
          <w:szCs w:val="21"/>
        </w:rPr>
        <w:t xml:space="preserve">limitation</w:t>
      </w:r>
      <w:r>
        <w:rPr>
          <w:sz w:val="21"/>
          <w:szCs w:val="21"/>
        </w:rPr>
        <w:t xml:space="preserve">. Visual encodings are held consistent across all figures — fixed cameras are always vermillion triangles and mobile cameras blue squares (Okabe–Ito, colour-blind-safe); a single sequential ColorBrewer YlGnBu ramp encodes ordered activity magnitude; class breaks and idioms are justified per figure.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3"/>
          <w:szCs w:val="23"/>
        </w:rPr>
        <w:t xml:space="preserve">3.1  RQ1 — Spatial: does enforcement sit where the activity is?</w:t>
      </w:r>
    </w:p>
    <w:p>
      <w:pPr>
        <w:spacing w:after="20" w:before="60"/>
        <w:jc w:val="center"/>
      </w:pPr>
      <w:r>
        <w:drawing>
          <wp:inline distT="0" distB="0" distL="0" distR="0">
            <wp:extent cx="36195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F1. </w:t>
      </w:r>
      <w:r>
        <w:rPr>
          <w:i/>
          <w:iCs/>
          <w:color w:val="595959"/>
          <w:sz w:val="18"/>
          <w:szCs w:val="18"/>
        </w:rPr>
        <w:t xml:space="preserve">Study-area overview — the CoM boundary, cycling network (green = existing, purple = proposed), 35 AIRS sensor sites and 47 cameras (29 fixed, 18 mobile). Sensors concentrate in the CBD/riverside core; cameras line the arterial edges.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F2 (signature figure) — the histogram–map linkage.</w:t>
      </w:r>
      <w:r>
        <w:rPr>
          <w:sz w:val="21"/>
          <w:szCs w:val="21"/>
        </w:rPr>
        <w:t xml:space="preserve"> Because activity is measured at 35 discrete sensor sites (not a continuous field), it is shown as classed proportional symbols rather than a choropleth that would pretend to fill unmeasured space — an honest idiom choice. Site VRU totals are classified with </w:t>
      </w:r>
      <w:r>
        <w:rPr>
          <w:i/>
          <w:iCs/>
          <w:sz w:val="21"/>
          <w:szCs w:val="21"/>
        </w:rPr>
        <w:t xml:space="preserve">Jenks natural breaks</w:t>
      </w:r>
      <w:r>
        <w:rPr>
          <w:sz w:val="21"/>
          <w:szCs w:val="21"/>
        </w:rPr>
        <w:t xml:space="preserve"> (5 classes), chosen because the distribution is heavily right-skewed: equal-interval breaks collapse 31 of 35 sites into the lowest class, whereas Jenks (breaks at ~0.66/1.78/3.13/4.55 M) exposes the real tiers. The same breaks are drawn on the histogram (F2a) so “how much” maps onto “where”.</w:t>
      </w:r>
    </w:p>
    <w:p>
      <w:pPr>
        <w:spacing w:after="20" w:before="60"/>
        <w:jc w:val="center"/>
      </w:pPr>
      <w:r>
        <w:drawing>
          <wp:inline distT="0" distB="0" distL="0" distR="0">
            <wp:extent cx="352425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F2. </w:t>
      </w:r>
      <w:r>
        <w:rPr>
          <w:i/>
          <w:iCs/>
          <w:color w:val="595959"/>
          <w:sz w:val="18"/>
          <w:szCs w:val="18"/>
        </w:rPr>
        <w:t xml:space="preserve">VRU activity at sensor sites (size ∝ √activity, colour = Jenks class) with the shared-break histogram above. The four darkest sites (Swanston St, Elizabeth St, Southbank &amp; Yarra promenades; 3.1–5.8 M each) form a compact CBD/riverside core; cameras sit around, not on, it.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Observation. </w:t>
      </w:r>
      <w:r>
        <w:rPr>
          <w:sz w:val="20"/>
          <w:szCs w:val="20"/>
        </w:rPr>
        <w:t xml:space="preserve">The top Jenks class holds only four riverside/CBD-spine sites (Swanston St 5.81 M, Elizabeth St 4.55 M, Swanston-road 4.19 M, Southbank Promenade 3.92 M); the camera markers cluster on the arterial ring and intersections, largely outside this core.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Interpretation (RQ1). </w:t>
      </w:r>
      <w:r>
        <w:rPr>
          <w:sz w:val="20"/>
          <w:szCs w:val="20"/>
        </w:rPr>
        <w:t xml:space="preserve">Enforcement and exposure are spatially decoupled — the busiest pedestrian/cyclist places are pedestrianised streets and off-road promenades that carry little or no fixed-camera enforcement, which is sited for vehicle-offence risk at road intersections.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Limitation. </w:t>
      </w:r>
      <w:r>
        <w:rPr>
          <w:sz w:val="20"/>
          <w:szCs w:val="20"/>
        </w:rPr>
        <w:t xml:space="preserve">Sensor coverage is densest in the core (Appendix A1), so some contrast reflects where measurement happens; unmeasured ≠ inactive.</w:t>
      </w:r>
    </w:p>
    <w:p>
      <w:pPr>
        <w:spacing w:after="20" w:before="60"/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F4. </w:t>
      </w:r>
      <w:r>
        <w:rPr>
          <w:i/>
          <w:iCs/>
          <w:color w:val="595959"/>
          <w:sz w:val="18"/>
          <w:szCs w:val="18"/>
        </w:rPr>
        <w:t xml:space="preserve">Cumulative share of VRU activity within distance d of the nearest camera. Only 23% of activity lies within 250 m of any camera and 49% within 500 m; the median site-to-camera distance is 526 m (max 1,180 m).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Interpretation (RQ1). </w:t>
      </w:r>
      <w:r>
        <w:rPr>
          <w:sz w:val="20"/>
          <w:szCs w:val="20"/>
        </w:rPr>
        <w:t xml:space="preserve">Converting the spatial question into one defensible number: barely a quarter of all measured VRU activity is within 250 m of an enforcement point. A Spearman test of site activity against distance-to-camera is weak and non-significant (ρ = −0.15, p = 0.39) — enforcement is neither systematically near nor far from activity, i.e. essentially unrelated to it. (The test is exploratory only: spatial autocorrelation violates independence.)</w:t>
      </w:r>
    </w:p>
    <w:p>
      <w:pPr>
        <w:spacing w:after="20" w:before="60"/>
        <w:jc w:val="center"/>
      </w:pPr>
      <w:r>
        <w:drawing>
          <wp:inline distT="0" distB="0" distL="0" distR="0">
            <wp:extent cx="2857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M1. </w:t>
      </w:r>
      <w:r>
        <w:rPr>
          <w:i/>
          <w:iCs/>
          <w:color w:val="595959"/>
          <w:sz w:val="18"/>
          <w:szCs w:val="18"/>
        </w:rPr>
        <w:t xml:space="preserve">Local Moran (LISA) clusters of log VRU activity (KNN-5 weights). Global Moran’s I = 0.364 (p = 0.001): activity is significantly spatially clustered, so “hotspot” is justified. Eight High-High sites form the CBD/Southbank core; five Low-Low sites sit on the periphery.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3"/>
          <w:szCs w:val="23"/>
        </w:rPr>
        <w:t xml:space="preserve">3.2  RQ2 — Temporal: when are VRUs active, and does enforcement sit where the peaks are?</w:t>
      </w:r>
    </w:p>
    <w:p>
      <w:pPr>
        <w:spacing w:after="120" w:line="276"/>
      </w:pPr>
      <w:r>
        <w:rPr>
          <w:sz w:val="21"/>
          <w:szCs w:val="21"/>
        </w:rPr>
        <w:t xml:space="preserve">Holding the reframing in mind (enforcement timing is unobservable), RQ2 is answered on the activity side. The activity clock (F5) uses a matrix heatmap — the right idiom for doubly-cyclic data (hour × weekday), where line charts let peaks collide — coloured by each mode’s share of its own weekly total (perceptually-uniform, CVD-safe magma).</w:t>
      </w:r>
    </w:p>
    <w:p>
      <w:pPr>
        <w:spacing w:after="20" w:before="60"/>
        <w:jc w:val="center"/>
      </w:pPr>
      <w:r>
        <w:drawing>
          <wp:inline distT="0" distB="0" distL="0" distR="0">
            <wp:extent cx="4953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F5. </w:t>
      </w:r>
      <w:r>
        <w:rPr>
          <w:i/>
          <w:iCs/>
          <w:color w:val="595959"/>
          <w:sz w:val="18"/>
          <w:szCs w:val="18"/>
        </w:rPr>
        <w:t xml:space="preserve">Activity clock — share of weekly activity by hour and weekday. Pedestrians (left) peak broadly midday–afternoon (12–17 h) across all seven days; cyclists (right) show a sharp weekday commuter double-peak at ~8 a.m. and ~5 p.m. that fades at weekends.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Interpretation (RQ2). </w:t>
      </w:r>
      <w:r>
        <w:rPr>
          <w:sz w:val="20"/>
          <w:szCs w:val="20"/>
        </w:rPr>
        <w:t xml:space="preserve">The two VRU modes have different rhythms: pedestrian exposure is a broad daytime plateau (retail/leisure), cyclist exposure is concentrated in weekday commute windows. The highest-risk window for cyclists is therefore the evening commute — precisely when enforcement placement matters most.</w:t>
      </w:r>
    </w:p>
    <w:p>
      <w:pPr>
        <w:spacing w:after="20" w:before="60"/>
        <w:jc w:val="center"/>
      </w:pPr>
      <w:r>
        <w:drawing>
          <wp:inline distT="0" distB="0" distL="0" distR="0">
            <wp:extent cx="3619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F6b. </w:t>
      </w:r>
      <w:r>
        <w:rPr>
          <w:i/>
          <w:iCs/>
          <w:color w:val="595959"/>
          <w:sz w:val="18"/>
          <w:szCs w:val="18"/>
        </w:rPr>
        <w:t xml:space="preserve">STL decomposition of daily pedestrian counts (weekly period, robust). The trend rises from ~222 k/day in January to a March peak before easing to ~298 k by May (late-summer→autumn decline); a strong, stable weekly cycle (amplitude ~113 k) separates weekdays from weekends.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F7 — temporal-behaviour clusters.</w:t>
      </w:r>
      <w:r>
        <w:rPr>
          <w:sz w:val="21"/>
          <w:szCs w:val="21"/>
        </w:rPr>
        <w:t xml:space="preserve"> Each site’s 48-value weekday+weekend hourly </w:t>
      </w:r>
      <w:r>
        <w:rPr>
          <w:i/>
          <w:iCs/>
          <w:sz w:val="21"/>
          <w:szCs w:val="21"/>
        </w:rPr>
        <w:t xml:space="preserve">shape</w:t>
      </w:r>
      <w:r>
        <w:rPr>
          <w:sz w:val="21"/>
          <w:szCs w:val="21"/>
        </w:rPr>
        <w:t xml:space="preserve"> profile was k-means clustered (features standardised; k chosen by average silhouette, which peaks at k = 2). The two groups are substantively clear: a </w:t>
      </w:r>
      <w:r>
        <w:rPr>
          <w:i/>
          <w:iCs/>
          <w:sz w:val="21"/>
          <w:szCs w:val="21"/>
        </w:rPr>
        <w:t xml:space="preserve">commuter/weekday</w:t>
      </w:r>
      <w:r>
        <w:rPr>
          <w:sz w:val="21"/>
          <w:szCs w:val="21"/>
        </w:rPr>
        <w:t xml:space="preserve"> type (23 sites; stronger 7–9 a.m. peak, weekend share only 25%) and a </w:t>
      </w:r>
      <w:r>
        <w:rPr>
          <w:i/>
          <w:iCs/>
          <w:sz w:val="21"/>
          <w:szCs w:val="21"/>
        </w:rPr>
        <w:t xml:space="preserve">recreational/weekend</w:t>
      </w:r>
      <w:r>
        <w:rPr>
          <w:sz w:val="21"/>
          <w:szCs w:val="21"/>
        </w:rPr>
        <w:t xml:space="preserve"> type (12 sites; flatter mornings, weekend share 32%). Finer k did not improve separation, itself a finding: the inner-city sensor network is temporally fairly homogeneous.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F7. </w:t>
      </w:r>
      <w:r>
        <w:rPr>
          <w:i/>
          <w:iCs/>
          <w:color w:val="595959"/>
          <w:sz w:val="18"/>
          <w:szCs w:val="18"/>
        </w:rPr>
        <w:t xml:space="preserve">Temporal clustering — silhouette chooser (k = 2), cluster mean profiles (solid = weekday, dashed = weekend), and their spatial distribution with cameras. Recreational/weekend sites concentrate along the river; commuter sites line the CBD grid and approaches.</w:t>
      </w:r>
    </w:p>
    <w:p>
      <w:pPr>
        <w:spacing w:after="20" w:before="60"/>
        <w:jc w:val="center"/>
      </w:pPr>
      <w:r>
        <w:drawing>
          <wp:inline distT="0" distB="0" distL="0" distR="0">
            <wp:extent cx="5524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F8. </w:t>
      </w:r>
      <w:r>
        <w:rPr>
          <w:i/>
          <w:iCs/>
          <w:color w:val="595959"/>
          <w:sz w:val="18"/>
          <w:szCs w:val="18"/>
        </w:rPr>
        <w:t xml:space="preserve">Time-sliced exposure (small multiples, one shared Jenks classification; × = camera). The high-exposure core stays in the CBD/riverside across AM-peak, midday and PM-peak; cameras (fixed ×) remain on the periphery in every window.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Interpretation (RQ2, reframed). </w:t>
      </w:r>
      <w:r>
        <w:rPr>
          <w:sz w:val="20"/>
          <w:szCs w:val="20"/>
        </w:rPr>
        <w:t xml:space="preserve">Because cameras are time-blind, the honest test is whether their locations coincide with the cells hottest in the high-risk windows — and F8 shows they do not: the exposure core barely moves between time slices, while enforcement stays on the arterial ring throughout. Location, not timing, is the binding constraint on enforcement–exposure alignment.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3"/>
          <w:szCs w:val="23"/>
        </w:rPr>
        <w:t xml:space="preserve">3.3  RQ3 — Network: is the cycling network one connected system?</w:t>
      </w:r>
    </w:p>
    <w:p>
      <w:pPr>
        <w:spacing w:after="20" w:before="60"/>
        <w:jc w:val="center"/>
      </w:pPr>
      <w:r>
        <w:drawing>
          <wp:inline distT="0" distB="0" distL="0" distR="0">
            <wp:extent cx="352425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F9. </w:t>
      </w:r>
      <w:r>
        <w:rPr>
          <w:i/>
          <w:iCs/>
          <w:color w:val="595959"/>
          <w:sz w:val="18"/>
          <w:szCs w:val="18"/>
        </w:rPr>
        <w:t xml:space="preserve">Cycling network by derived protection ordinal (dark = most separated) and status. Off-road trails (dark, 67.4 km) follow the river and parks; the on-street grid is dominated by painted lanes (cyan, 67.6 km). Only 8.2 km (4%) is physically separated on-road; 39 segments are proposed (dashed).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Observation. </w:t>
      </w:r>
      <w:r>
        <w:rPr>
          <w:sz w:val="20"/>
          <w:szCs w:val="20"/>
        </w:rPr>
        <w:t xml:space="preserve">Of 198.4 km, protection is thin: 67.6 km painted-only, 67.4 km off-road trail, 21.4 km informal/mixed-traffic, and just 8.2 km separated on-road. “Protection” is mostly paint or shared paths, not physical separation.</w:t>
      </w:r>
    </w:p>
    <w:p>
      <w:pPr>
        <w:spacing w:after="20" w:before="60"/>
        <w:jc w:val="center"/>
      </w:pPr>
      <w:r>
        <w:drawing>
          <wp:inline distT="0" distB="0" distL="0" distR="0">
            <wp:extent cx="35242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F10. </w:t>
      </w:r>
      <w:r>
        <w:rPr>
          <w:i/>
          <w:iCs/>
          <w:color w:val="595959"/>
          <w:sz w:val="18"/>
          <w:szCs w:val="18"/>
        </w:rPr>
        <w:t xml:space="preserve">Network structural importance — segments coloured by edge betweenness (√ scale). Built as a graph (10 m noding tolerance), the network resolves into 150 disconnected components; the largest holds only 4.3% of nodes and 76.8% of nodes are dangling (degree-1) ends. A few spine segments (river trail, key corridors) carry disproportionate betweenness.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Interpretation (RQ3). </w:t>
      </w:r>
      <w:r>
        <w:rPr>
          <w:sz w:val="20"/>
          <w:szCs w:val="20"/>
        </w:rPr>
        <w:t xml:space="preserve">The network is highly fragmented rather than one connected system: even at a generous 30 m noding tolerance it remains 110 components with 68% dangling ends, so the fragmentation is robust, not a digitising artifact. Continuity — not total length — is the network’s weakness, and every dangling end is a point where a rider is handed back into mixed traffic.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Limitation. </w:t>
      </w:r>
      <w:r>
        <w:rPr>
          <w:sz w:val="20"/>
          <w:szCs w:val="20"/>
        </w:rPr>
        <w:t xml:space="preserve">The network is a 2023 processing vintage compared against 2026 activity; some near-but-unnoded endpoints inflate the raw component count (hence the 10 m tolerance and the sensitivity test).</w:t>
      </w:r>
    </w:p>
    <w:p>
      <w:pPr>
        <w:pStyle w:val="Heading2"/>
        <w:spacing w:after="80" w:before="180"/>
      </w:pPr>
      <w:r>
        <w:rPr>
          <w:b/>
          <w:bCs/>
          <w:color w:val="1F3864"/>
          <w:sz w:val="23"/>
          <w:szCs w:val="23"/>
        </w:rPr>
        <w:t xml:space="preserve">3.4  Synthesis — where the three geometries disagree</w:t>
      </w:r>
    </w:p>
    <w:p>
      <w:pPr>
        <w:spacing w:after="20" w:before="60"/>
        <w:jc w:val="center"/>
      </w:pPr>
      <w:r>
        <w:drawing>
          <wp:inline distT="0" distB="0" distL="0" distR="0">
            <wp:extent cx="34290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F11. </w:t>
      </w:r>
      <w:r>
        <w:rPr>
          <w:i/>
          <w:iCs/>
          <w:color w:val="595959"/>
          <w:sz w:val="18"/>
          <w:szCs w:val="18"/>
        </w:rPr>
        <w:t xml:space="preserve">Priority zones where high activity (top tertile), an enforcement gap (top-tertile camera distance) and weak protection coincide. The strict triple-flag identifies 2 sites (Grattan St, Swanston St); the bivariate view (Appendix F3) shows 4 high-activity/low-enforcement sites, of which these 2 also lack nearby separated infrastructure.</w:t>
      </w:r>
    </w:p>
    <w:p>
      <w:pPr>
        <w:spacing w:after="100" w:line="264"/>
      </w:pPr>
      <w:r>
        <w:rPr>
          <w:b/>
          <w:bCs/>
          <w:color w:val="1F3864"/>
          <w:sz w:val="20"/>
          <w:szCs w:val="20"/>
        </w:rPr>
        <w:t xml:space="preserve">Interpretation (synthesis). </w:t>
      </w:r>
      <w:r>
        <w:rPr>
          <w:sz w:val="20"/>
          <w:szCs w:val="20"/>
        </w:rPr>
        <w:t xml:space="preserve">The clearest disagreement between the three geometries sits on the CBD–Parkville spine: high pedestrian/cyclist exposure, no nearby camera, and painted-only or fragmented bike infrastructure. This is offered as where to look, not a proven risk ranking — it stacks three uncertain layers.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4  Conclusion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RQ1 (spatial). </w:t>
      </w:r>
      <w:r>
        <w:rPr>
          <w:sz w:val="21"/>
          <w:szCs w:val="21"/>
        </w:rPr>
        <w:t xml:space="preserve">Enforcement and exposure are decoupled. VRU activity is significantly clustered (Moran’s I = 0.364, p = 0.001) in a compact CBD/riverside core, yet only 23% of that activity lies within 250 m of any camera (49% within 500 m; median 526 m), and activity shows no significant association with camera proximity (Spearman ρ = −0.15, p = 0.39). Cameras are sited for vehicle-offence risk at intersections, not for VRU exposure.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RQ2 (temporal). </w:t>
      </w:r>
      <w:r>
        <w:rPr>
          <w:sz w:val="21"/>
          <w:szCs w:val="21"/>
        </w:rPr>
        <w:t xml:space="preserve">Pedestrians peak across a broad midday–afternoon plateau; cyclists show a sharp weekday 8 a.m./5 p.m. commuter double-peak, and sites separate cleanly into commuter (25% weekend) vs recreational (32% weekend) types. Enforcement timing itself is unobservable, but camera locations do not coincide with the exposure core in any time slice, so the misalignment is spatial and persists through every high-risk window.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RQ3 (network). </w:t>
      </w:r>
      <w:r>
        <w:rPr>
          <w:sz w:val="21"/>
          <w:szCs w:val="21"/>
        </w:rPr>
        <w:t xml:space="preserve">The cycling network is fragmented, not a connected system: 150 components, largest holding 4.3% of nodes, 76.8% dangling ends, and only 8.2 km of physically separated on-road lane. Continuity is the binding weakness.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Synthesis. </w:t>
      </w:r>
      <w:r>
        <w:rPr>
          <w:sz w:val="21"/>
          <w:szCs w:val="21"/>
        </w:rPr>
        <w:t xml:space="preserve">Four sites combine high exposure with an enforcement gap; two (Grattan St, Swanston St) also lack nearby protection — the places where the three geometries most clearly disagree and where risk-responsive investment would concentrate. The exploration answered each question, and named where the data could not (enforcement timing).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5  Reflection</w:t>
      </w:r>
    </w:p>
    <w:p>
      <w:pPr>
        <w:spacing w:after="120" w:line="276"/>
      </w:pPr>
      <w:r>
        <w:rPr>
          <w:sz w:val="21"/>
          <w:szCs w:val="21"/>
        </w:rPr>
        <w:t xml:space="preserve">The strongest visualisation lesson was that classification is an argument, not a formatting step: the same activity data looks almost uniform under equal-interval breaks and sharply tiered under Jenks, so drawing the breaks onto the histogram beside the map (F2) was the single change that made the spatial contrast honest. A second lesson was to match the idiom to the data’s structure — a matrix heatmap for doubly-cyclic time (F5), small multiples with a shared scale for fair temporal comparison (F8), and proportional symbols rather than a choropleth once I discovered activity was measured at only 35 discrete sites. The third, and most humbling, was that data checking protects analysis: a timestamp labelled “Z” but holding local time would have inverted every temporal finding, and it was caught only because it placed the cyclist peak at 3 a.m. In hindsight I would test a second geocoder as a cross-check and treat the bike-network noding tolerance as an explicit parameter from the outset.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6  Limitations</w:t>
      </w:r>
    </w:p>
    <w:p>
      <w:pPr>
        <w:spacing w:after="120" w:line="276"/>
      </w:pPr>
      <w:r>
        <w:rPr>
          <w:sz w:val="21"/>
          <w:szCs w:val="21"/>
        </w:rPr>
        <w:t xml:space="preserve">Five limitations bound every claim above and are disclosed deliberately. Sensor sparsity and placement bias: activity is measured at 35 sites concentrated in the core, so coverage is uneven and absence of a sensor is not absence of activity (missing ≠ zero). Enforcement intent: camera presence is not enforcement intensity or effectiveness, and fixed-camera timing is unobservable — hence the RQ2 reframing. Geocoding uncertainty: the 18 mobile sites are geocoded to street centroids from text, with one error caught and dropped. Temporal and vintage mismatch: the part-year 2026 window supports weekly, not annual, seasonality, the DST change (5 Apr 2026) sits inside it, and the cycling network is a 2023 vintage against 2026 activity. MAUP and independence: tertile cut-points and the network noding tolerance are analytical choices (sensitivity-tested), and spatial autocorrelation violates the independence assumption of the correlation test — so every claim is associational, never causal.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Bibliography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City of Melbourne. (2026). Transport activity counts [Data set]. City of Melbourne Open Data. https://data.melbourne.vic.gov.au/explore/dataset/transport-activity-counts/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City of Melbourne. (2023). Bicycle routes, including informal, on-road and off-road routes [Data set]. City of Melbourne Open Data. https://data.melbourne.vic.gov.au/explore/dataset/bicycle-routes-including-informal-on-road-and-off-road-routes/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City of Melbourne. (2026). Municipal boundary [Data set]. City of Melbourne Open Data. https://data.melbourne.vic.gov.au/explore/dataset/municipal-boundary/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Department of Justice and Community Safety, Victoria. (2026). Find a road safety camera. https://www.vic.gov.au/find-road-safety-camera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Department of Justice and Community Safety, Victoria. (2026). Road safety camera network — Mobile camera locations [Data set]. DataVic. https://discover.data.vic.gov.au/dataset/road-safety-camera-network-mobile-camera-locations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Anselin, L. (1995). Local indicators of spatial association—LISA. Geographical Analysis, 27(2), 93–115.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Cleveland, W. S., &amp; McGill, R. (1984). Graphical perception: Theory, experimentation, and application to the development of graphical methods. Journal of the American Statistical Association, 79(387), 531–554.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Cleveland, R. B., Cleveland, W. S., McRae, J. E., &amp; Terpenning, I. (1990). STL: A seasonal-trend decomposition procedure based on loess. Journal of Official Statistics, 6(1), 3–73.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Harrower, M., &amp; Brewer, C. A. (2003). ColorBrewer.org: An online tool for selecting colour schemes for maps. The Cartographic Journal, 40(1), 27–37.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Jenks, G. F. (1967). The data model concept in statistical mapping. International Yearbook of Cartography, 7, 186–190.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Moran, P. A. P. (1950). Notes on continuous stochastic phenomena. Biometrika, 37(1/2), 17–23.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Munzner, T. (2014). Visualization analysis and design. CRC Press.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Okabe, M., &amp; Ito, K. (2008). Color universal design (CUD). https://jfly.uni-koeln.de/color/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Openshaw, S. (1984). The modifiable areal unit problem (CATMOG 38). Geo Books.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Tobler, W. R. (1970). A computer movie simulating urban growth in the Detroit region. Economic Geography, 46, 234–240.</w:t>
      </w:r>
    </w:p>
    <w:p>
      <w:pPr>
        <w:spacing w:after="80" w:line="252"/>
        <w:ind w:left="360" w:hanging="360"/>
      </w:pPr>
      <w:r>
        <w:rPr>
          <w:sz w:val="18"/>
          <w:szCs w:val="18"/>
        </w:rPr>
        <w:t xml:space="preserve">Software: R Core Team (2026) and Python; sf/geopandas (Pebesma, 2018), data.table, ggplot2, classInt/mapclassify, spdep/esda-libpysal, scikit-learn, statsmodels, sfnetworks/networkx, tidygeocoder / ArcGIS World Geocoder.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Declaration of AI Assistance</w:t>
      </w:r>
    </w:p>
    <w:p>
      <w:pPr>
        <w:spacing w:after="120" w:line="276"/>
      </w:pPr>
      <w:r>
        <w:rPr>
          <w:b/>
          <w:bCs/>
          <w:sz w:val="20"/>
          <w:szCs w:val="20"/>
        </w:rPr>
        <w:t xml:space="preserve">Tool. </w:t>
      </w:r>
      <w:r>
        <w:rPr>
          <w:sz w:val="20"/>
          <w:szCs w:val="20"/>
        </w:rPr>
        <w:t xml:space="preserve">Claude (Anthropic), September 2026. </w:t>
      </w:r>
      <w:r>
        <w:rPr>
          <w:b/>
          <w:bCs/>
          <w:sz w:val="20"/>
          <w:szCs w:val="20"/>
        </w:rPr>
        <w:t xml:space="preserve">Extent of use. </w:t>
      </w:r>
      <w:r>
        <w:rPr>
          <w:sz w:val="20"/>
          <w:szCs w:val="20"/>
        </w:rPr>
        <w:t xml:space="preserve">In accordance with the unit’s policy on declared use of generative AI for written and code content, AI was used to help plan the analysis pipeline; to write and run the mechanical code (the reproducible fixed-camera scrape, the 8.2M-row aggregation, cleaning, geocoding, checking, spatial integration, and the figure- and statistic-generating code); and to draft the prose and the first-pass reading of the results in this report. </w:t>
      </w:r>
      <w:r>
        <w:rPr>
          <w:b/>
          <w:bCs/>
          <w:sz w:val="20"/>
          <w:szCs w:val="20"/>
        </w:rPr>
        <w:t xml:space="preserve">Author responsibility. </w:t>
      </w:r>
      <w:r>
        <w:rPr>
          <w:sz w:val="20"/>
          <w:szCs w:val="20"/>
        </w:rPr>
        <w:t xml:space="preserve">I have reviewed and verified every figure and statistic against the underlying outputs, confirmed each numerical claim, and take responsibility for the analysis, interpretations and conclusions presented here; the runnable code is submitted alongside this report and every reported number is reproducible from it. Representative prompts and the full method are recorded in the accompanying code file.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F3864"/>
          <w:sz w:val="28"/>
          <w:szCs w:val="28"/>
        </w:rPr>
        <w:t xml:space="preserve">Appendix (unmarked)</w:t>
      </w:r>
    </w:p>
    <w:p>
      <w:pPr>
        <w:spacing w:after="120" w:line="276"/>
      </w:pPr>
      <w:r>
        <w:rPr>
          <w:sz w:val="21"/>
          <w:szCs w:val="21"/>
        </w:rPr>
        <w:t xml:space="preserve">A2 · Classification-scheme comparison (site VRU, 5 classes). Equal-interval breaks: 1.18/2.34/3.50/4.65 M — collapses 31/35 sites into class 1. Quantiles: 0.21/0.51/1.18/2.20 M. Jenks (used): 0.66/1.78/3.13/4.55 M — the scheme that exposes the skewed tiers. This comparison is the evidence behind the Jenks choice in F2.</w:t>
      </w:r>
    </w:p>
    <w:p>
      <w:pPr>
        <w:spacing w:after="20" w:before="60"/>
        <w:jc w:val="center"/>
      </w:pPr>
      <w:r>
        <w:drawing>
          <wp:inline distT="0" distB="0" distL="0" distR="0">
            <wp:extent cx="3619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F3. </w:t>
      </w:r>
      <w:r>
        <w:rPr>
          <w:i/>
          <w:iCs/>
          <w:color w:val="595959"/>
          <w:sz w:val="18"/>
          <w:szCs w:val="18"/>
        </w:rPr>
        <w:t xml:space="preserve">Bivariate map — VRU activity tertiles × camera-proximity tertiles. The dark-red corner (high activity, far from a camera) holds 4 sites; a matching 4 sit near cameras, confirming no systematic alignment.</w:t>
      </w:r>
    </w:p>
    <w:p>
      <w:pPr>
        <w:spacing w:after="20" w:before="60"/>
        <w:jc w:val="center"/>
      </w:pPr>
      <w:r>
        <w:drawing>
          <wp:inline distT="0" distB="0" distL="0" distR="0">
            <wp:extent cx="40005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F6. </w:t>
      </w:r>
      <w:r>
        <w:rPr>
          <w:i/>
          <w:iCs/>
          <w:color w:val="595959"/>
          <w:sz w:val="18"/>
          <w:szCs w:val="18"/>
        </w:rPr>
        <w:t xml:space="preserve">Daily pedestrian and cyclist counts with 7-day means (DST change marked). Pedestrian volumes (~10× cyclist) rise through February–March then ease into autumn.</w:t>
      </w:r>
    </w:p>
    <w:p>
      <w:pPr>
        <w:spacing w:after="20" w:before="60"/>
        <w:jc w:val="center"/>
      </w:pPr>
      <w:r>
        <w:drawing>
          <wp:inline distT="0" distB="0" distL="0" distR="0">
            <wp:extent cx="2857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M2. </w:t>
      </w:r>
      <w:r>
        <w:rPr>
          <w:i/>
          <w:iCs/>
          <w:color w:val="595959"/>
          <w:sz w:val="18"/>
          <w:szCs w:val="18"/>
        </w:rPr>
        <w:t xml:space="preserve">Kernel density of camera siting (Gaussian KDE) — enforcement intensity concentrates on the CBD’s eastern arterials, away from the riverside activity core.</w:t>
      </w:r>
    </w:p>
    <w:p>
      <w:pPr>
        <w:spacing w:after="20" w:before="60"/>
        <w:jc w:val="center"/>
      </w:pPr>
      <w:r>
        <w:drawing>
          <wp:inline distT="0" distB="0" distL="0" distR="0">
            <wp:extent cx="36195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bCs/>
          <w:color w:val="595959"/>
          <w:sz w:val="18"/>
          <w:szCs w:val="18"/>
        </w:rPr>
        <w:t xml:space="preserve">Figure A1. </w:t>
      </w:r>
      <w:r>
        <w:rPr>
          <w:i/>
          <w:iCs/>
          <w:color w:val="595959"/>
          <w:sz w:val="18"/>
          <w:szCs w:val="18"/>
        </w:rPr>
        <w:t xml:space="preserve">Per-site reporting completeness — most sites report &gt;90% of 5-minute slots; a handful below 0.8 (dashed) are annotated, evidencing the missing ≠ zero check.</w:t>
      </w:r>
    </w:p>
    <w:sectPr>
      <w:footerReference w:type="default" r:id="rId7"/>
      <w:pgSz w:w="11906" w:h="16838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— Vu 36071668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accd2ec0da9607c693d1cbb9b5abc98621b5349.png"/><Relationship Id="rId9" Type="http://schemas.openxmlformats.org/officeDocument/2006/relationships/image" Target="media/1844657d07df1e3cabbdb1b13ca43a565aac3468.png"/><Relationship Id="rId10" Type="http://schemas.openxmlformats.org/officeDocument/2006/relationships/image" Target="media/5647827d48d9eee46e6cfe91b6fd08ae9d30ab17.png"/><Relationship Id="rId11" Type="http://schemas.openxmlformats.org/officeDocument/2006/relationships/image" Target="media/90a5f0bdd16b5867d9e81d51a27ed292fe00b92c.png"/><Relationship Id="rId12" Type="http://schemas.openxmlformats.org/officeDocument/2006/relationships/image" Target="media/cc6fda2e4fa898951af246ce9e80d7a0126aaf16.png"/><Relationship Id="rId13" Type="http://schemas.openxmlformats.org/officeDocument/2006/relationships/image" Target="media/c03ac8a5fcdb91ed60ec418a3f0dd020bedd1041.png"/><Relationship Id="rId14" Type="http://schemas.openxmlformats.org/officeDocument/2006/relationships/image" Target="media/8b68b902c892275c4b8f60fa517a620d1c853074.png"/><Relationship Id="rId15" Type="http://schemas.openxmlformats.org/officeDocument/2006/relationships/image" Target="media/3a5e188a560877c522607d99e07dd1dafb522084.png"/><Relationship Id="rId16" Type="http://schemas.openxmlformats.org/officeDocument/2006/relationships/image" Target="media/214b98c97b982a6b8dca677cef1ff413e9b89145.png"/><Relationship Id="rId17" Type="http://schemas.openxmlformats.org/officeDocument/2006/relationships/image" Target="media/54dd8f1f3e5f731dde7c3fd9afb2e577f615379a.png"/><Relationship Id="rId18" Type="http://schemas.openxmlformats.org/officeDocument/2006/relationships/image" Target="media/2b0af6ec523a23923abcb1fd9fe918c7a1da923b.png"/><Relationship Id="rId19" Type="http://schemas.openxmlformats.org/officeDocument/2006/relationships/image" Target="media/e4a73cab983a8e41aded3ea18e8d520fb7b27583.png"/><Relationship Id="rId20" Type="http://schemas.openxmlformats.org/officeDocument/2006/relationships/image" Target="media/9fd6556112db190ab698ccc12a2896ab700da6b7.png"/><Relationship Id="rId21" Type="http://schemas.openxmlformats.org/officeDocument/2006/relationships/image" Target="media/e94d8dc73ad2b5f80e8422959866b52c1dd4fee0.png"/><Relationship Id="rId22" Type="http://schemas.openxmlformats.org/officeDocument/2006/relationships/image" Target="media/851649318b302c60cb33108f8c8fa6adb53a0905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 Part 2 — CoM enforcement vs VRU activity</dc:title>
  <dc:creator>Gia Linh (Sally) Vu</dc:creator>
  <cp:lastModifiedBy>Un-named</cp:lastModifiedBy>
  <cp:revision>1</cp:revision>
  <dcterms:created xsi:type="dcterms:W3CDTF">2026-09-12T13:49:18.956Z</dcterms:created>
  <dcterms:modified xsi:type="dcterms:W3CDTF">2026-09-12T13:49:18.965Z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