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word/header2.xml" ContentType="application/vnd.openxmlformats-officedocument.wordprocessingml.header+xml"/>
  <Override PartName="/word/footer3.xml" ContentType="application/vnd.openxmlformats-officedocument.wordprocessingml.footer+xml"/>
  <Default Extension="png" ContentType="image/png"/>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76" w:lineRule="auto"/>
      </w:pPr>
      <w:r>
        <w:rPr>
          <w:color w:val="183D60"/>
        </w:rPr>
        <w:t>FIT5196</w:t>
      </w:r>
      <w:r>
        <w:rPr>
          <w:color w:val="183D60"/>
          <w:spacing w:val="-17"/>
        </w:rPr>
        <w:t> </w:t>
      </w:r>
      <w:r>
        <w:rPr>
          <w:color w:val="183D60"/>
        </w:rPr>
        <w:t>Assessment</w:t>
      </w:r>
      <w:r>
        <w:rPr>
          <w:color w:val="183D60"/>
          <w:spacing w:val="-17"/>
        </w:rPr>
        <w:t> </w:t>
      </w:r>
      <w:r>
        <w:rPr>
          <w:color w:val="183D60"/>
        </w:rPr>
        <w:t>1 Group005 EDA report</w:t>
      </w:r>
    </w:p>
    <w:p>
      <w:pPr>
        <w:pStyle w:val="BodyText"/>
        <w:spacing w:line="182" w:lineRule="exact"/>
        <w:ind w:left="10"/>
      </w:pPr>
      <w:r>
        <w:rPr/>
        <w:t>Customer spending, review representation and delivery </w:t>
      </w:r>
      <w:r>
        <w:rPr>
          <w:spacing w:val="-2"/>
        </w:rPr>
        <w:t>performance</w:t>
      </w:r>
    </w:p>
    <w:p>
      <w:pPr>
        <w:pStyle w:val="BodyText"/>
        <w:rPr>
          <w:sz w:val="20"/>
        </w:rPr>
      </w:pPr>
    </w:p>
    <w:p>
      <w:pPr>
        <w:pStyle w:val="BodyText"/>
        <w:spacing w:before="89"/>
        <w:rPr>
          <w:sz w:val="20"/>
        </w:rPr>
      </w:pPr>
    </w:p>
    <w:tbl>
      <w:tblPr>
        <w:tblW w:w="0" w:type="auto"/>
        <w:jc w:val="left"/>
        <w:tblInd w:w="17" w:type="dxa"/>
        <w:tblBorders>
          <w:top w:val="single" w:sz="4" w:space="0" w:color="C6D1DB"/>
          <w:left w:val="single" w:sz="4" w:space="0" w:color="C6D1DB"/>
          <w:bottom w:val="single" w:sz="4" w:space="0" w:color="C6D1DB"/>
          <w:right w:val="single" w:sz="4" w:space="0" w:color="C6D1DB"/>
          <w:insideH w:val="single" w:sz="4" w:space="0" w:color="C6D1DB"/>
          <w:insideV w:val="single" w:sz="4" w:space="0" w:color="C6D1DB"/>
        </w:tblBorders>
        <w:tblLayout w:type="fixed"/>
        <w:tblCellMar>
          <w:top w:w="0" w:type="dxa"/>
          <w:left w:w="0" w:type="dxa"/>
          <w:bottom w:w="0" w:type="dxa"/>
          <w:right w:w="0" w:type="dxa"/>
        </w:tblCellMar>
        <w:tblLook w:val="01E0"/>
      </w:tblPr>
      <w:tblGrid>
        <w:gridCol w:w="2750"/>
        <w:gridCol w:w="7435"/>
      </w:tblGrid>
      <w:tr>
        <w:trPr>
          <w:trHeight w:val="350" w:hRule="atLeast"/>
        </w:trPr>
        <w:tc>
          <w:tcPr>
            <w:tcW w:w="2750" w:type="dxa"/>
            <w:shd w:val="clear" w:color="auto" w:fill="E8EFF4"/>
          </w:tcPr>
          <w:p>
            <w:pPr>
              <w:pStyle w:val="TableParagraph"/>
              <w:ind w:left="97"/>
              <w:rPr>
                <w:sz w:val="16"/>
              </w:rPr>
            </w:pPr>
            <w:r>
              <w:rPr>
                <w:sz w:val="16"/>
              </w:rPr>
              <w:t>Report</w:t>
            </w:r>
            <w:r>
              <w:rPr>
                <w:spacing w:val="4"/>
                <w:sz w:val="16"/>
              </w:rPr>
              <w:t> </w:t>
            </w:r>
            <w:r>
              <w:rPr>
                <w:spacing w:val="-2"/>
                <w:sz w:val="16"/>
              </w:rPr>
              <w:t>scope</w:t>
            </w:r>
          </w:p>
        </w:tc>
        <w:tc>
          <w:tcPr>
            <w:tcW w:w="7435" w:type="dxa"/>
            <w:shd w:val="clear" w:color="auto" w:fill="E8EFF4"/>
          </w:tcPr>
          <w:p>
            <w:pPr>
              <w:pStyle w:val="TableParagraph"/>
              <w:ind w:left="98"/>
              <w:rPr>
                <w:sz w:val="16"/>
              </w:rPr>
            </w:pPr>
            <w:r>
              <w:rPr>
                <w:spacing w:val="-2"/>
                <w:sz w:val="16"/>
              </w:rPr>
              <w:t>Content</w:t>
            </w:r>
          </w:p>
        </w:tc>
      </w:tr>
      <w:tr>
        <w:trPr>
          <w:trHeight w:val="350" w:hRule="atLeast"/>
        </w:trPr>
        <w:tc>
          <w:tcPr>
            <w:tcW w:w="2750" w:type="dxa"/>
          </w:tcPr>
          <w:p>
            <w:pPr>
              <w:pStyle w:val="TableParagraph"/>
              <w:ind w:left="97"/>
              <w:rPr>
                <w:sz w:val="16"/>
              </w:rPr>
            </w:pPr>
            <w:r>
              <w:rPr>
                <w:spacing w:val="-4"/>
                <w:sz w:val="16"/>
              </w:rPr>
              <w:t>Data</w:t>
            </w:r>
          </w:p>
        </w:tc>
        <w:tc>
          <w:tcPr>
            <w:tcW w:w="7435" w:type="dxa"/>
          </w:tcPr>
          <w:p>
            <w:pPr>
              <w:pStyle w:val="TableParagraph"/>
              <w:ind w:left="98"/>
              <w:rPr>
                <w:sz w:val="16"/>
              </w:rPr>
            </w:pPr>
            <w:r>
              <w:rPr>
                <w:sz w:val="16"/>
              </w:rPr>
              <w:t>5,000</w:t>
            </w:r>
            <w:r>
              <w:rPr>
                <w:spacing w:val="4"/>
                <w:sz w:val="16"/>
              </w:rPr>
              <w:t> </w:t>
            </w:r>
            <w:r>
              <w:rPr>
                <w:sz w:val="16"/>
              </w:rPr>
              <w:t>orders;</w:t>
            </w:r>
            <w:r>
              <w:rPr>
                <w:spacing w:val="5"/>
                <w:sz w:val="16"/>
              </w:rPr>
              <w:t> </w:t>
            </w:r>
            <w:r>
              <w:rPr>
                <w:sz w:val="16"/>
              </w:rPr>
              <w:t>15,739</w:t>
            </w:r>
            <w:r>
              <w:rPr>
                <w:spacing w:val="5"/>
                <w:sz w:val="16"/>
              </w:rPr>
              <w:t> </w:t>
            </w:r>
            <w:r>
              <w:rPr>
                <w:sz w:val="16"/>
              </w:rPr>
              <w:t>item</w:t>
            </w:r>
            <w:r>
              <w:rPr>
                <w:spacing w:val="4"/>
                <w:sz w:val="16"/>
              </w:rPr>
              <w:t> </w:t>
            </w:r>
            <w:r>
              <w:rPr>
                <w:sz w:val="16"/>
              </w:rPr>
              <w:t>lines;</w:t>
            </w:r>
            <w:r>
              <w:rPr>
                <w:spacing w:val="5"/>
                <w:sz w:val="16"/>
              </w:rPr>
              <w:t> </w:t>
            </w:r>
            <w:r>
              <w:rPr>
                <w:sz w:val="16"/>
              </w:rPr>
              <w:t>500</w:t>
            </w:r>
            <w:r>
              <w:rPr>
                <w:spacing w:val="5"/>
                <w:sz w:val="16"/>
              </w:rPr>
              <w:t> </w:t>
            </w:r>
            <w:r>
              <w:rPr>
                <w:sz w:val="16"/>
              </w:rPr>
              <w:t>customers;</w:t>
            </w:r>
            <w:r>
              <w:rPr>
                <w:spacing w:val="5"/>
                <w:sz w:val="16"/>
              </w:rPr>
              <w:t> </w:t>
            </w:r>
            <w:r>
              <w:rPr>
                <w:sz w:val="16"/>
              </w:rPr>
              <w:t>1,000</w:t>
            </w:r>
            <w:r>
              <w:rPr>
                <w:spacing w:val="4"/>
                <w:sz w:val="16"/>
              </w:rPr>
              <w:t> </w:t>
            </w:r>
            <w:r>
              <w:rPr>
                <w:sz w:val="16"/>
              </w:rPr>
              <w:t>products;</w:t>
            </w:r>
            <w:r>
              <w:rPr>
                <w:spacing w:val="5"/>
                <w:sz w:val="16"/>
              </w:rPr>
              <w:t> </w:t>
            </w:r>
            <w:r>
              <w:rPr>
                <w:sz w:val="16"/>
              </w:rPr>
              <w:t>5,000</w:t>
            </w:r>
            <w:r>
              <w:rPr>
                <w:spacing w:val="5"/>
                <w:sz w:val="16"/>
              </w:rPr>
              <w:t> </w:t>
            </w:r>
            <w:r>
              <w:rPr>
                <w:sz w:val="16"/>
              </w:rPr>
              <w:t>deliveries;</w:t>
            </w:r>
            <w:r>
              <w:rPr>
                <w:spacing w:val="5"/>
                <w:sz w:val="16"/>
              </w:rPr>
              <w:t> </w:t>
            </w:r>
            <w:r>
              <w:rPr>
                <w:sz w:val="16"/>
              </w:rPr>
              <w:t>7,000</w:t>
            </w:r>
            <w:r>
              <w:rPr>
                <w:spacing w:val="4"/>
                <w:sz w:val="16"/>
              </w:rPr>
              <w:t> </w:t>
            </w:r>
            <w:r>
              <w:rPr>
                <w:spacing w:val="-2"/>
                <w:sz w:val="16"/>
              </w:rPr>
              <w:t>reviews</w:t>
            </w:r>
          </w:p>
        </w:tc>
      </w:tr>
      <w:tr>
        <w:trPr>
          <w:trHeight w:val="350" w:hRule="atLeast"/>
        </w:trPr>
        <w:tc>
          <w:tcPr>
            <w:tcW w:w="2750" w:type="dxa"/>
          </w:tcPr>
          <w:p>
            <w:pPr>
              <w:pStyle w:val="TableParagraph"/>
              <w:ind w:left="97"/>
              <w:rPr>
                <w:sz w:val="16"/>
              </w:rPr>
            </w:pPr>
            <w:r>
              <w:rPr>
                <w:sz w:val="16"/>
              </w:rPr>
              <w:t>Assessed</w:t>
            </w:r>
            <w:r>
              <w:rPr>
                <w:spacing w:val="6"/>
                <w:sz w:val="16"/>
              </w:rPr>
              <w:t> </w:t>
            </w:r>
            <w:r>
              <w:rPr>
                <w:spacing w:val="-2"/>
                <w:sz w:val="16"/>
              </w:rPr>
              <w:t>figures</w:t>
            </w:r>
          </w:p>
        </w:tc>
        <w:tc>
          <w:tcPr>
            <w:tcW w:w="7435" w:type="dxa"/>
          </w:tcPr>
          <w:p>
            <w:pPr>
              <w:pStyle w:val="TableParagraph"/>
              <w:ind w:left="98"/>
              <w:rPr>
                <w:sz w:val="16"/>
              </w:rPr>
            </w:pPr>
            <w:r>
              <w:rPr>
                <w:sz w:val="16"/>
              </w:rPr>
              <w:t>Figures</w:t>
            </w:r>
            <w:r>
              <w:rPr>
                <w:spacing w:val="6"/>
                <w:sz w:val="16"/>
              </w:rPr>
              <w:t> </w:t>
            </w:r>
            <w:r>
              <w:rPr>
                <w:sz w:val="16"/>
              </w:rPr>
              <w:t>1-</w:t>
            </w:r>
            <w:r>
              <w:rPr>
                <w:spacing w:val="-10"/>
                <w:sz w:val="16"/>
              </w:rPr>
              <w:t>8</w:t>
            </w:r>
          </w:p>
        </w:tc>
      </w:tr>
      <w:tr>
        <w:trPr>
          <w:trHeight w:val="350" w:hRule="atLeast"/>
        </w:trPr>
        <w:tc>
          <w:tcPr>
            <w:tcW w:w="2750" w:type="dxa"/>
          </w:tcPr>
          <w:p>
            <w:pPr>
              <w:pStyle w:val="TableParagraph"/>
              <w:ind w:left="97"/>
              <w:rPr>
                <w:sz w:val="16"/>
              </w:rPr>
            </w:pPr>
            <w:r>
              <w:rPr>
                <w:sz w:val="16"/>
              </w:rPr>
              <w:t>Assessed</w:t>
            </w:r>
            <w:r>
              <w:rPr>
                <w:spacing w:val="6"/>
                <w:sz w:val="16"/>
              </w:rPr>
              <w:t> </w:t>
            </w:r>
            <w:r>
              <w:rPr>
                <w:spacing w:val="-2"/>
                <w:sz w:val="16"/>
              </w:rPr>
              <w:t>findings</w:t>
            </w:r>
          </w:p>
        </w:tc>
        <w:tc>
          <w:tcPr>
            <w:tcW w:w="7435" w:type="dxa"/>
          </w:tcPr>
          <w:p>
            <w:pPr>
              <w:pStyle w:val="TableParagraph"/>
              <w:ind w:left="98"/>
              <w:rPr>
                <w:sz w:val="16"/>
              </w:rPr>
            </w:pPr>
            <w:r>
              <w:rPr>
                <w:sz w:val="16"/>
              </w:rPr>
              <w:t>Exactly</w:t>
            </w:r>
            <w:r>
              <w:rPr>
                <w:spacing w:val="6"/>
                <w:sz w:val="16"/>
              </w:rPr>
              <w:t> </w:t>
            </w:r>
            <w:r>
              <w:rPr>
                <w:sz w:val="16"/>
              </w:rPr>
              <w:t>10</w:t>
            </w:r>
            <w:r>
              <w:rPr>
                <w:spacing w:val="6"/>
                <w:sz w:val="16"/>
              </w:rPr>
              <w:t> </w:t>
            </w:r>
            <w:r>
              <w:rPr>
                <w:sz w:val="16"/>
              </w:rPr>
              <w:t>numbered</w:t>
            </w:r>
            <w:r>
              <w:rPr>
                <w:spacing w:val="7"/>
                <w:sz w:val="16"/>
              </w:rPr>
              <w:t> </w:t>
            </w:r>
            <w:r>
              <w:rPr>
                <w:sz w:val="16"/>
              </w:rPr>
              <w:t>evidence-based</w:t>
            </w:r>
            <w:r>
              <w:rPr>
                <w:spacing w:val="6"/>
                <w:sz w:val="16"/>
              </w:rPr>
              <w:t> </w:t>
            </w:r>
            <w:r>
              <w:rPr>
                <w:spacing w:val="-2"/>
                <w:sz w:val="16"/>
              </w:rPr>
              <w:t>findings</w:t>
            </w:r>
          </w:p>
        </w:tc>
      </w:tr>
      <w:tr>
        <w:trPr>
          <w:trHeight w:val="350" w:hRule="atLeast"/>
        </w:trPr>
        <w:tc>
          <w:tcPr>
            <w:tcW w:w="2750" w:type="dxa"/>
          </w:tcPr>
          <w:p>
            <w:pPr>
              <w:pStyle w:val="TableParagraph"/>
              <w:ind w:left="97"/>
              <w:rPr>
                <w:sz w:val="16"/>
              </w:rPr>
            </w:pPr>
            <w:r>
              <w:rPr>
                <w:sz w:val="16"/>
              </w:rPr>
              <w:t>Future</w:t>
            </w:r>
            <w:r>
              <w:rPr>
                <w:spacing w:val="3"/>
                <w:sz w:val="16"/>
              </w:rPr>
              <w:t> </w:t>
            </w:r>
            <w:r>
              <w:rPr>
                <w:sz w:val="16"/>
              </w:rPr>
              <w:t>ML</w:t>
            </w:r>
            <w:r>
              <w:rPr>
                <w:spacing w:val="3"/>
                <w:sz w:val="16"/>
              </w:rPr>
              <w:t> </w:t>
            </w:r>
            <w:r>
              <w:rPr>
                <w:spacing w:val="-2"/>
                <w:sz w:val="16"/>
              </w:rPr>
              <w:t>questions</w:t>
            </w:r>
          </w:p>
        </w:tc>
        <w:tc>
          <w:tcPr>
            <w:tcW w:w="7435" w:type="dxa"/>
          </w:tcPr>
          <w:p>
            <w:pPr>
              <w:pStyle w:val="TableParagraph"/>
              <w:ind w:left="98"/>
              <w:rPr>
                <w:sz w:val="16"/>
              </w:rPr>
            </w:pPr>
            <w:r>
              <w:rPr>
                <w:sz w:val="16"/>
              </w:rPr>
              <w:t>Exactly</w:t>
            </w:r>
            <w:r>
              <w:rPr>
                <w:spacing w:val="4"/>
                <w:sz w:val="16"/>
              </w:rPr>
              <w:t> </w:t>
            </w:r>
            <w:r>
              <w:rPr>
                <w:sz w:val="16"/>
              </w:rPr>
              <w:t>5</w:t>
            </w:r>
            <w:r>
              <w:rPr>
                <w:spacing w:val="4"/>
                <w:sz w:val="16"/>
              </w:rPr>
              <w:t> </w:t>
            </w:r>
            <w:r>
              <w:rPr>
                <w:sz w:val="16"/>
              </w:rPr>
              <w:t>numbered</w:t>
            </w:r>
            <w:r>
              <w:rPr>
                <w:spacing w:val="5"/>
                <w:sz w:val="16"/>
              </w:rPr>
              <w:t> </w:t>
            </w:r>
            <w:r>
              <w:rPr>
                <w:spacing w:val="-2"/>
                <w:sz w:val="16"/>
              </w:rPr>
              <w:t>questions</w:t>
            </w:r>
          </w:p>
        </w:tc>
      </w:tr>
      <w:tr>
        <w:trPr>
          <w:trHeight w:val="349" w:hRule="atLeast"/>
        </w:trPr>
        <w:tc>
          <w:tcPr>
            <w:tcW w:w="2750" w:type="dxa"/>
          </w:tcPr>
          <w:p>
            <w:pPr>
              <w:pStyle w:val="TableParagraph"/>
              <w:ind w:left="97"/>
              <w:rPr>
                <w:sz w:val="16"/>
              </w:rPr>
            </w:pPr>
            <w:r>
              <w:rPr>
                <w:sz w:val="16"/>
              </w:rPr>
              <w:t>Page-limit</w:t>
            </w:r>
            <w:r>
              <w:rPr>
                <w:spacing w:val="7"/>
                <w:sz w:val="16"/>
              </w:rPr>
              <w:t> </w:t>
            </w:r>
            <w:r>
              <w:rPr>
                <w:spacing w:val="-2"/>
                <w:sz w:val="16"/>
              </w:rPr>
              <w:t>treatment</w:t>
            </w:r>
          </w:p>
        </w:tc>
        <w:tc>
          <w:tcPr>
            <w:tcW w:w="7435" w:type="dxa"/>
          </w:tcPr>
          <w:p>
            <w:pPr>
              <w:pStyle w:val="TableParagraph"/>
              <w:ind w:left="98"/>
              <w:rPr>
                <w:sz w:val="16"/>
              </w:rPr>
            </w:pPr>
            <w:r>
              <w:rPr>
                <w:sz w:val="16"/>
              </w:rPr>
              <w:t>10</w:t>
            </w:r>
            <w:r>
              <w:rPr>
                <w:spacing w:val="4"/>
                <w:sz w:val="16"/>
              </w:rPr>
              <w:t> </w:t>
            </w:r>
            <w:r>
              <w:rPr>
                <w:sz w:val="16"/>
              </w:rPr>
              <w:t>assessed</w:t>
            </w:r>
            <w:r>
              <w:rPr>
                <w:spacing w:val="4"/>
                <w:sz w:val="16"/>
              </w:rPr>
              <w:t> </w:t>
            </w:r>
            <w:r>
              <w:rPr>
                <w:sz w:val="16"/>
              </w:rPr>
              <w:t>pages</w:t>
            </w:r>
            <w:r>
              <w:rPr>
                <w:spacing w:val="5"/>
                <w:sz w:val="16"/>
              </w:rPr>
              <w:t> </w:t>
            </w:r>
            <w:r>
              <w:rPr>
                <w:sz w:val="16"/>
              </w:rPr>
              <w:t>(PDF</w:t>
            </w:r>
            <w:r>
              <w:rPr>
                <w:spacing w:val="4"/>
                <w:sz w:val="16"/>
              </w:rPr>
              <w:t> </w:t>
            </w:r>
            <w:r>
              <w:rPr>
                <w:sz w:val="16"/>
              </w:rPr>
              <w:t>pages</w:t>
            </w:r>
            <w:r>
              <w:rPr>
                <w:spacing w:val="5"/>
                <w:sz w:val="16"/>
              </w:rPr>
              <w:t> </w:t>
            </w:r>
            <w:r>
              <w:rPr>
                <w:sz w:val="16"/>
              </w:rPr>
              <w:t>3-12);</w:t>
            </w:r>
            <w:r>
              <w:rPr>
                <w:spacing w:val="4"/>
                <w:sz w:val="16"/>
              </w:rPr>
              <w:t> </w:t>
            </w:r>
            <w:r>
              <w:rPr>
                <w:sz w:val="16"/>
              </w:rPr>
              <w:t>cover,</w:t>
            </w:r>
            <w:r>
              <w:rPr>
                <w:spacing w:val="5"/>
                <w:sz w:val="16"/>
              </w:rPr>
              <w:t> </w:t>
            </w:r>
            <w:r>
              <w:rPr>
                <w:sz w:val="16"/>
              </w:rPr>
              <w:t>contents</w:t>
            </w:r>
            <w:r>
              <w:rPr>
                <w:spacing w:val="4"/>
                <w:sz w:val="16"/>
              </w:rPr>
              <w:t> </w:t>
            </w:r>
            <w:r>
              <w:rPr>
                <w:sz w:val="16"/>
              </w:rPr>
              <w:t>and</w:t>
            </w:r>
            <w:r>
              <w:rPr>
                <w:spacing w:val="5"/>
                <w:sz w:val="16"/>
              </w:rPr>
              <w:t> </w:t>
            </w:r>
            <w:r>
              <w:rPr>
                <w:sz w:val="16"/>
              </w:rPr>
              <w:t>references</w:t>
            </w:r>
            <w:r>
              <w:rPr>
                <w:spacing w:val="4"/>
                <w:sz w:val="16"/>
              </w:rPr>
              <w:t> </w:t>
            </w:r>
            <w:r>
              <w:rPr>
                <w:sz w:val="16"/>
              </w:rPr>
              <w:t>outside</w:t>
            </w:r>
            <w:r>
              <w:rPr>
                <w:spacing w:val="5"/>
                <w:sz w:val="16"/>
              </w:rPr>
              <w:t> </w:t>
            </w:r>
            <w:r>
              <w:rPr>
                <w:sz w:val="16"/>
              </w:rPr>
              <w:t>that</w:t>
            </w:r>
            <w:r>
              <w:rPr>
                <w:spacing w:val="4"/>
                <w:sz w:val="16"/>
              </w:rPr>
              <w:t> </w:t>
            </w:r>
            <w:r>
              <w:rPr>
                <w:spacing w:val="-2"/>
                <w:sz w:val="16"/>
              </w:rPr>
              <w:t>section</w:t>
            </w:r>
          </w:p>
        </w:tc>
      </w:tr>
    </w:tbl>
    <w:p>
      <w:pPr>
        <w:pStyle w:val="BodyText"/>
        <w:spacing w:before="78"/>
      </w:pPr>
    </w:p>
    <w:p>
      <w:pPr>
        <w:pStyle w:val="BodyText"/>
        <w:spacing w:line="266" w:lineRule="auto"/>
        <w:ind w:left="10" w:right="166"/>
      </w:pPr>
      <w:r>
        <w:rPr/>
        <w:t>Prepared</w:t>
      </w:r>
      <w:r>
        <w:rPr>
          <w:spacing w:val="-3"/>
        </w:rPr>
        <w:t> </w:t>
      </w:r>
      <w:r>
        <w:rPr/>
        <w:t>from</w:t>
      </w:r>
      <w:r>
        <w:rPr>
          <w:spacing w:val="-3"/>
        </w:rPr>
        <w:t> </w:t>
      </w:r>
      <w:r>
        <w:rPr/>
        <w:t>Group005_EDA_submitted.ipynb.</w:t>
      </w:r>
      <w:r>
        <w:rPr>
          <w:spacing w:val="-3"/>
        </w:rPr>
        <w:t> </w:t>
      </w:r>
      <w:r>
        <w:rPr/>
        <w:t>Figures</w:t>
      </w:r>
      <w:r>
        <w:rPr>
          <w:spacing w:val="-3"/>
        </w:rPr>
        <w:t> </w:t>
      </w:r>
      <w:r>
        <w:rPr/>
        <w:t>reproduce</w:t>
      </w:r>
      <w:r>
        <w:rPr>
          <w:spacing w:val="-3"/>
        </w:rPr>
        <w:t> </w:t>
      </w:r>
      <w:r>
        <w:rPr/>
        <w:t>its</w:t>
      </w:r>
      <w:r>
        <w:rPr>
          <w:spacing w:val="-3"/>
        </w:rPr>
        <w:t> </w:t>
      </w:r>
      <w:r>
        <w:rPr/>
        <w:t>saved</w:t>
      </w:r>
      <w:r>
        <w:rPr>
          <w:spacing w:val="-3"/>
        </w:rPr>
        <w:t> </w:t>
      </w:r>
      <w:r>
        <w:rPr/>
        <w:t>outputs;</w:t>
      </w:r>
      <w:r>
        <w:rPr>
          <w:spacing w:val="-3"/>
        </w:rPr>
        <w:t> </w:t>
      </w:r>
      <w:r>
        <w:rPr/>
        <w:t>the</w:t>
      </w:r>
      <w:r>
        <w:rPr>
          <w:spacing w:val="-3"/>
        </w:rPr>
        <w:t> </w:t>
      </w:r>
      <w:r>
        <w:rPr/>
        <w:t>notebook</w:t>
      </w:r>
      <w:r>
        <w:rPr>
          <w:spacing w:val="-3"/>
        </w:rPr>
        <w:t> </w:t>
      </w:r>
      <w:r>
        <w:rPr/>
        <w:t>and</w:t>
      </w:r>
      <w:r>
        <w:rPr>
          <w:spacing w:val="-3"/>
        </w:rPr>
        <w:t> </w:t>
      </w:r>
      <w:r>
        <w:rPr/>
        <w:t>solution</w:t>
      </w:r>
      <w:r>
        <w:rPr>
          <w:spacing w:val="-3"/>
        </w:rPr>
        <w:t> </w:t>
      </w:r>
      <w:r>
        <w:rPr/>
        <w:t>artifacts contain the complete executable record.</w:t>
      </w:r>
    </w:p>
    <w:p>
      <w:pPr>
        <w:pStyle w:val="BodyText"/>
        <w:spacing w:after="0" w:line="266" w:lineRule="auto"/>
        <w:sectPr>
          <w:footerReference w:type="default" r:id="rId5"/>
          <w:type w:val="continuous"/>
          <w:pgSz w:w="11910" w:h="16840"/>
          <w:pgMar w:header="0" w:footer="330" w:top="1920" w:bottom="520" w:left="850" w:right="850"/>
          <w:pgNumType w:start="1"/>
        </w:sectPr>
      </w:pPr>
    </w:p>
    <w:p>
      <w:pPr>
        <w:pStyle w:val="Heading1"/>
        <w:spacing w:before="61"/>
        <w:ind w:left="10"/>
      </w:pPr>
      <w:r>
        <w:rPr>
          <w:color w:val="183D60"/>
          <w:spacing w:val="-2"/>
        </w:rPr>
        <w:t>Contents</w:t>
      </w:r>
    </w:p>
    <w:p>
      <w:pPr>
        <w:pStyle w:val="BodyText"/>
        <w:spacing w:before="9"/>
        <w:rPr>
          <w:rFonts w:ascii="Arial"/>
          <w:b/>
          <w:sz w:val="16"/>
        </w:rPr>
      </w:pPr>
    </w:p>
    <w:tbl>
      <w:tblPr>
        <w:tblW w:w="0" w:type="auto"/>
        <w:jc w:val="left"/>
        <w:tblInd w:w="17" w:type="dxa"/>
        <w:tblBorders>
          <w:top w:val="single" w:sz="4" w:space="0" w:color="C6D1DB"/>
          <w:left w:val="single" w:sz="4" w:space="0" w:color="C6D1DB"/>
          <w:bottom w:val="single" w:sz="4" w:space="0" w:color="C6D1DB"/>
          <w:right w:val="single" w:sz="4" w:space="0" w:color="C6D1DB"/>
          <w:insideH w:val="single" w:sz="4" w:space="0" w:color="C6D1DB"/>
          <w:insideV w:val="single" w:sz="4" w:space="0" w:color="C6D1DB"/>
        </w:tblBorders>
        <w:tblLayout w:type="fixed"/>
        <w:tblCellMar>
          <w:top w:w="0" w:type="dxa"/>
          <w:left w:w="0" w:type="dxa"/>
          <w:bottom w:w="0" w:type="dxa"/>
          <w:right w:w="0" w:type="dxa"/>
        </w:tblCellMar>
        <w:tblLook w:val="01E0"/>
      </w:tblPr>
      <w:tblGrid>
        <w:gridCol w:w="2750"/>
        <w:gridCol w:w="7435"/>
      </w:tblGrid>
      <w:tr>
        <w:trPr>
          <w:trHeight w:val="350" w:hRule="atLeast"/>
        </w:trPr>
        <w:tc>
          <w:tcPr>
            <w:tcW w:w="2750" w:type="dxa"/>
            <w:shd w:val="clear" w:color="auto" w:fill="E8EFF4"/>
          </w:tcPr>
          <w:p>
            <w:pPr>
              <w:pStyle w:val="TableParagraph"/>
              <w:ind w:left="97"/>
              <w:rPr>
                <w:sz w:val="16"/>
              </w:rPr>
            </w:pPr>
            <w:r>
              <w:rPr>
                <w:spacing w:val="-2"/>
                <w:sz w:val="16"/>
              </w:rPr>
              <w:t>Section</w:t>
            </w:r>
          </w:p>
        </w:tc>
        <w:tc>
          <w:tcPr>
            <w:tcW w:w="7435" w:type="dxa"/>
            <w:shd w:val="clear" w:color="auto" w:fill="E8EFF4"/>
          </w:tcPr>
          <w:p>
            <w:pPr>
              <w:pStyle w:val="TableParagraph"/>
              <w:ind w:left="98"/>
              <w:rPr>
                <w:sz w:val="16"/>
              </w:rPr>
            </w:pPr>
            <w:r>
              <w:rPr>
                <w:sz w:val="16"/>
              </w:rPr>
              <w:t>PDF</w:t>
            </w:r>
            <w:r>
              <w:rPr>
                <w:spacing w:val="3"/>
                <w:sz w:val="16"/>
              </w:rPr>
              <w:t> </w:t>
            </w:r>
            <w:r>
              <w:rPr>
                <w:spacing w:val="-4"/>
                <w:sz w:val="16"/>
              </w:rPr>
              <w:t>page</w:t>
            </w:r>
          </w:p>
        </w:tc>
      </w:tr>
      <w:tr>
        <w:trPr>
          <w:trHeight w:val="550" w:hRule="atLeast"/>
        </w:trPr>
        <w:tc>
          <w:tcPr>
            <w:tcW w:w="2750" w:type="dxa"/>
          </w:tcPr>
          <w:p>
            <w:pPr>
              <w:pStyle w:val="TableParagraph"/>
              <w:spacing w:line="261" w:lineRule="auto"/>
              <w:ind w:left="97"/>
              <w:rPr>
                <w:sz w:val="16"/>
              </w:rPr>
            </w:pPr>
            <w:r>
              <w:rPr>
                <w:sz w:val="16"/>
              </w:rPr>
              <w:t>Context</w:t>
            </w:r>
            <w:r>
              <w:rPr>
                <w:spacing w:val="-6"/>
                <w:sz w:val="16"/>
              </w:rPr>
              <w:t> </w:t>
            </w:r>
            <w:r>
              <w:rPr>
                <w:sz w:val="16"/>
              </w:rPr>
              <w:t>and</w:t>
            </w:r>
            <w:r>
              <w:rPr>
                <w:spacing w:val="-6"/>
                <w:sz w:val="16"/>
              </w:rPr>
              <w:t> </w:t>
            </w:r>
            <w:r>
              <w:rPr>
                <w:sz w:val="16"/>
              </w:rPr>
              <w:t>data-</w:t>
            </w:r>
            <w:r>
              <w:rPr>
                <w:sz w:val="16"/>
              </w:rPr>
              <w:t>preparation </w:t>
            </w:r>
            <w:r>
              <w:rPr>
                <w:spacing w:val="-2"/>
                <w:sz w:val="16"/>
              </w:rPr>
              <w:t>assurance</w:t>
            </w:r>
          </w:p>
        </w:tc>
        <w:tc>
          <w:tcPr>
            <w:tcW w:w="7435" w:type="dxa"/>
          </w:tcPr>
          <w:p>
            <w:pPr>
              <w:pStyle w:val="TableParagraph"/>
              <w:ind w:left="98"/>
              <w:rPr>
                <w:sz w:val="16"/>
              </w:rPr>
            </w:pPr>
            <w:r>
              <w:rPr>
                <w:spacing w:val="-10"/>
                <w:sz w:val="16"/>
              </w:rPr>
              <w:t>3</w:t>
            </w:r>
          </w:p>
        </w:tc>
      </w:tr>
      <w:tr>
        <w:trPr>
          <w:trHeight w:val="350" w:hRule="atLeast"/>
        </w:trPr>
        <w:tc>
          <w:tcPr>
            <w:tcW w:w="2750" w:type="dxa"/>
          </w:tcPr>
          <w:p>
            <w:pPr>
              <w:pStyle w:val="TableParagraph"/>
              <w:ind w:left="97"/>
              <w:rPr>
                <w:sz w:val="16"/>
              </w:rPr>
            </w:pPr>
            <w:r>
              <w:rPr>
                <w:sz w:val="16"/>
              </w:rPr>
              <w:t>Figures</w:t>
            </w:r>
            <w:r>
              <w:rPr>
                <w:spacing w:val="5"/>
                <w:sz w:val="16"/>
              </w:rPr>
              <w:t> </w:t>
            </w:r>
            <w:r>
              <w:rPr>
                <w:sz w:val="16"/>
              </w:rPr>
              <w:t>1-2:</w:t>
            </w:r>
            <w:r>
              <w:rPr>
                <w:spacing w:val="5"/>
                <w:sz w:val="16"/>
              </w:rPr>
              <w:t> </w:t>
            </w:r>
            <w:r>
              <w:rPr>
                <w:sz w:val="16"/>
              </w:rPr>
              <w:t>transaction</w:t>
            </w:r>
            <w:r>
              <w:rPr>
                <w:spacing w:val="5"/>
                <w:sz w:val="16"/>
              </w:rPr>
              <w:t> </w:t>
            </w:r>
            <w:r>
              <w:rPr>
                <w:spacing w:val="-2"/>
                <w:sz w:val="16"/>
              </w:rPr>
              <w:t>structure</w:t>
            </w:r>
          </w:p>
        </w:tc>
        <w:tc>
          <w:tcPr>
            <w:tcW w:w="7435" w:type="dxa"/>
          </w:tcPr>
          <w:p>
            <w:pPr>
              <w:pStyle w:val="TableParagraph"/>
              <w:ind w:left="98"/>
              <w:rPr>
                <w:sz w:val="16"/>
              </w:rPr>
            </w:pPr>
            <w:r>
              <w:rPr>
                <w:spacing w:val="-10"/>
                <w:sz w:val="16"/>
              </w:rPr>
              <w:t>4</w:t>
            </w:r>
          </w:p>
        </w:tc>
      </w:tr>
      <w:tr>
        <w:trPr>
          <w:trHeight w:val="550" w:hRule="atLeast"/>
        </w:trPr>
        <w:tc>
          <w:tcPr>
            <w:tcW w:w="2750" w:type="dxa"/>
          </w:tcPr>
          <w:p>
            <w:pPr>
              <w:pStyle w:val="TableParagraph"/>
              <w:spacing w:line="261" w:lineRule="auto"/>
              <w:ind w:left="97"/>
              <w:rPr>
                <w:sz w:val="16"/>
              </w:rPr>
            </w:pPr>
            <w:r>
              <w:rPr>
                <w:sz w:val="16"/>
              </w:rPr>
              <w:t>Figures</w:t>
            </w:r>
            <w:r>
              <w:rPr>
                <w:spacing w:val="-2"/>
                <w:sz w:val="16"/>
              </w:rPr>
              <w:t> </w:t>
            </w:r>
            <w:r>
              <w:rPr>
                <w:sz w:val="16"/>
              </w:rPr>
              <w:t>3-4:</w:t>
            </w:r>
            <w:r>
              <w:rPr>
                <w:spacing w:val="-2"/>
                <w:sz w:val="16"/>
              </w:rPr>
              <w:t> </w:t>
            </w:r>
            <w:r>
              <w:rPr>
                <w:sz w:val="16"/>
              </w:rPr>
              <w:t>portfolio</w:t>
            </w:r>
            <w:r>
              <w:rPr>
                <w:spacing w:val="-2"/>
                <w:sz w:val="16"/>
              </w:rPr>
              <w:t> </w:t>
            </w:r>
            <w:r>
              <w:rPr>
                <w:sz w:val="16"/>
              </w:rPr>
              <w:t>and</w:t>
            </w:r>
            <w:r>
              <w:rPr>
                <w:spacing w:val="-2"/>
                <w:sz w:val="16"/>
              </w:rPr>
              <w:t> </w:t>
            </w:r>
            <w:r>
              <w:rPr>
                <w:sz w:val="16"/>
              </w:rPr>
              <w:t>review </w:t>
            </w:r>
            <w:r>
              <w:rPr>
                <w:spacing w:val="-2"/>
                <w:sz w:val="16"/>
              </w:rPr>
              <w:t>representation</w:t>
            </w:r>
          </w:p>
        </w:tc>
        <w:tc>
          <w:tcPr>
            <w:tcW w:w="7435" w:type="dxa"/>
          </w:tcPr>
          <w:p>
            <w:pPr>
              <w:pStyle w:val="TableParagraph"/>
              <w:ind w:left="98"/>
              <w:rPr>
                <w:sz w:val="16"/>
              </w:rPr>
            </w:pPr>
            <w:r>
              <w:rPr>
                <w:spacing w:val="-10"/>
                <w:sz w:val="16"/>
              </w:rPr>
              <w:t>5</w:t>
            </w:r>
          </w:p>
        </w:tc>
      </w:tr>
      <w:tr>
        <w:trPr>
          <w:trHeight w:val="550" w:hRule="atLeast"/>
        </w:trPr>
        <w:tc>
          <w:tcPr>
            <w:tcW w:w="2750" w:type="dxa"/>
          </w:tcPr>
          <w:p>
            <w:pPr>
              <w:pStyle w:val="TableParagraph"/>
              <w:spacing w:line="261" w:lineRule="auto"/>
              <w:ind w:left="97"/>
              <w:rPr>
                <w:sz w:val="16"/>
              </w:rPr>
            </w:pPr>
            <w:r>
              <w:rPr>
                <w:sz w:val="16"/>
              </w:rPr>
              <w:t>Figures</w:t>
            </w:r>
            <w:r>
              <w:rPr>
                <w:spacing w:val="-2"/>
                <w:sz w:val="16"/>
              </w:rPr>
              <w:t> </w:t>
            </w:r>
            <w:r>
              <w:rPr>
                <w:sz w:val="16"/>
              </w:rPr>
              <w:t>5-6:</w:t>
            </w:r>
            <w:r>
              <w:rPr>
                <w:spacing w:val="-2"/>
                <w:sz w:val="16"/>
              </w:rPr>
              <w:t> </w:t>
            </w:r>
            <w:r>
              <w:rPr>
                <w:sz w:val="16"/>
              </w:rPr>
              <w:t>review</w:t>
            </w:r>
            <w:r>
              <w:rPr>
                <w:spacing w:val="-2"/>
                <w:sz w:val="16"/>
              </w:rPr>
              <w:t> </w:t>
            </w:r>
            <w:r>
              <w:rPr>
                <w:sz w:val="16"/>
              </w:rPr>
              <w:t>experience</w:t>
            </w:r>
            <w:r>
              <w:rPr>
                <w:spacing w:val="-2"/>
                <w:sz w:val="16"/>
              </w:rPr>
              <w:t> </w:t>
            </w:r>
            <w:r>
              <w:rPr>
                <w:sz w:val="16"/>
              </w:rPr>
              <w:t>and calendar activity</w:t>
            </w:r>
          </w:p>
        </w:tc>
        <w:tc>
          <w:tcPr>
            <w:tcW w:w="7435" w:type="dxa"/>
          </w:tcPr>
          <w:p>
            <w:pPr>
              <w:pStyle w:val="TableParagraph"/>
              <w:ind w:left="98"/>
              <w:rPr>
                <w:sz w:val="16"/>
              </w:rPr>
            </w:pPr>
            <w:r>
              <w:rPr>
                <w:spacing w:val="-10"/>
                <w:sz w:val="16"/>
              </w:rPr>
              <w:t>6</w:t>
            </w:r>
          </w:p>
        </w:tc>
      </w:tr>
      <w:tr>
        <w:trPr>
          <w:trHeight w:val="350" w:hRule="atLeast"/>
        </w:trPr>
        <w:tc>
          <w:tcPr>
            <w:tcW w:w="2750" w:type="dxa"/>
          </w:tcPr>
          <w:p>
            <w:pPr>
              <w:pStyle w:val="TableParagraph"/>
              <w:ind w:left="97"/>
              <w:rPr>
                <w:sz w:val="16"/>
              </w:rPr>
            </w:pPr>
            <w:r>
              <w:rPr>
                <w:sz w:val="16"/>
              </w:rPr>
              <w:t>Figures</w:t>
            </w:r>
            <w:r>
              <w:rPr>
                <w:spacing w:val="4"/>
                <w:sz w:val="16"/>
              </w:rPr>
              <w:t> </w:t>
            </w:r>
            <w:r>
              <w:rPr>
                <w:sz w:val="16"/>
              </w:rPr>
              <w:t>7-8:</w:t>
            </w:r>
            <w:r>
              <w:rPr>
                <w:spacing w:val="5"/>
                <w:sz w:val="16"/>
              </w:rPr>
              <w:t> </w:t>
            </w:r>
            <w:r>
              <w:rPr>
                <w:sz w:val="16"/>
              </w:rPr>
              <w:t>delivery</w:t>
            </w:r>
            <w:r>
              <w:rPr>
                <w:spacing w:val="4"/>
                <w:sz w:val="16"/>
              </w:rPr>
              <w:t> </w:t>
            </w:r>
            <w:r>
              <w:rPr>
                <w:spacing w:val="-2"/>
                <w:sz w:val="16"/>
              </w:rPr>
              <w:t>operations</w:t>
            </w:r>
          </w:p>
        </w:tc>
        <w:tc>
          <w:tcPr>
            <w:tcW w:w="7435" w:type="dxa"/>
          </w:tcPr>
          <w:p>
            <w:pPr>
              <w:pStyle w:val="TableParagraph"/>
              <w:ind w:left="98"/>
              <w:rPr>
                <w:sz w:val="16"/>
              </w:rPr>
            </w:pPr>
            <w:r>
              <w:rPr>
                <w:spacing w:val="-10"/>
                <w:sz w:val="16"/>
              </w:rPr>
              <w:t>7</w:t>
            </w:r>
          </w:p>
        </w:tc>
      </w:tr>
      <w:tr>
        <w:trPr>
          <w:trHeight w:val="350" w:hRule="atLeast"/>
        </w:trPr>
        <w:tc>
          <w:tcPr>
            <w:tcW w:w="2750" w:type="dxa"/>
          </w:tcPr>
          <w:p>
            <w:pPr>
              <w:pStyle w:val="TableParagraph"/>
              <w:ind w:left="97"/>
              <w:rPr>
                <w:sz w:val="16"/>
              </w:rPr>
            </w:pPr>
            <w:r>
              <w:rPr>
                <w:sz w:val="16"/>
              </w:rPr>
              <w:t>Findings</w:t>
            </w:r>
            <w:r>
              <w:rPr>
                <w:spacing w:val="7"/>
                <w:sz w:val="16"/>
              </w:rPr>
              <w:t> </w:t>
            </w:r>
            <w:r>
              <w:rPr>
                <w:sz w:val="16"/>
              </w:rPr>
              <w:t>1-</w:t>
            </w:r>
            <w:r>
              <w:rPr>
                <w:spacing w:val="-10"/>
                <w:sz w:val="16"/>
              </w:rPr>
              <w:t>5</w:t>
            </w:r>
          </w:p>
        </w:tc>
        <w:tc>
          <w:tcPr>
            <w:tcW w:w="7435" w:type="dxa"/>
          </w:tcPr>
          <w:p>
            <w:pPr>
              <w:pStyle w:val="TableParagraph"/>
              <w:ind w:left="98"/>
              <w:rPr>
                <w:sz w:val="16"/>
              </w:rPr>
            </w:pPr>
            <w:r>
              <w:rPr>
                <w:spacing w:val="-10"/>
                <w:sz w:val="16"/>
              </w:rPr>
              <w:t>8</w:t>
            </w:r>
          </w:p>
        </w:tc>
      </w:tr>
      <w:tr>
        <w:trPr>
          <w:trHeight w:val="350" w:hRule="atLeast"/>
        </w:trPr>
        <w:tc>
          <w:tcPr>
            <w:tcW w:w="2750" w:type="dxa"/>
          </w:tcPr>
          <w:p>
            <w:pPr>
              <w:pStyle w:val="TableParagraph"/>
              <w:ind w:left="97"/>
              <w:rPr>
                <w:sz w:val="16"/>
              </w:rPr>
            </w:pPr>
            <w:r>
              <w:rPr>
                <w:sz w:val="16"/>
              </w:rPr>
              <w:t>Findings</w:t>
            </w:r>
            <w:r>
              <w:rPr>
                <w:spacing w:val="7"/>
                <w:sz w:val="16"/>
              </w:rPr>
              <w:t> </w:t>
            </w:r>
            <w:r>
              <w:rPr>
                <w:sz w:val="16"/>
              </w:rPr>
              <w:t>6-</w:t>
            </w:r>
            <w:r>
              <w:rPr>
                <w:spacing w:val="-5"/>
                <w:sz w:val="16"/>
              </w:rPr>
              <w:t>10</w:t>
            </w:r>
          </w:p>
        </w:tc>
        <w:tc>
          <w:tcPr>
            <w:tcW w:w="7435" w:type="dxa"/>
          </w:tcPr>
          <w:p>
            <w:pPr>
              <w:pStyle w:val="TableParagraph"/>
              <w:ind w:left="98"/>
              <w:rPr>
                <w:sz w:val="16"/>
              </w:rPr>
            </w:pPr>
            <w:r>
              <w:rPr>
                <w:spacing w:val="-10"/>
                <w:sz w:val="16"/>
              </w:rPr>
              <w:t>9</w:t>
            </w:r>
          </w:p>
        </w:tc>
      </w:tr>
      <w:tr>
        <w:trPr>
          <w:trHeight w:val="350" w:hRule="atLeast"/>
        </w:trPr>
        <w:tc>
          <w:tcPr>
            <w:tcW w:w="2750" w:type="dxa"/>
          </w:tcPr>
          <w:p>
            <w:pPr>
              <w:pStyle w:val="TableParagraph"/>
              <w:ind w:left="97"/>
              <w:rPr>
                <w:sz w:val="16"/>
              </w:rPr>
            </w:pPr>
            <w:r>
              <w:rPr>
                <w:sz w:val="16"/>
              </w:rPr>
              <w:t>ML</w:t>
            </w:r>
            <w:r>
              <w:rPr>
                <w:spacing w:val="5"/>
                <w:sz w:val="16"/>
              </w:rPr>
              <w:t> </w:t>
            </w:r>
            <w:r>
              <w:rPr>
                <w:sz w:val="16"/>
              </w:rPr>
              <w:t>questions</w:t>
            </w:r>
            <w:r>
              <w:rPr>
                <w:spacing w:val="5"/>
                <w:sz w:val="16"/>
              </w:rPr>
              <w:t> </w:t>
            </w:r>
            <w:r>
              <w:rPr>
                <w:sz w:val="16"/>
              </w:rPr>
              <w:t>1-</w:t>
            </w:r>
            <w:r>
              <w:rPr>
                <w:spacing w:val="-10"/>
                <w:sz w:val="16"/>
              </w:rPr>
              <w:t>3</w:t>
            </w:r>
          </w:p>
        </w:tc>
        <w:tc>
          <w:tcPr>
            <w:tcW w:w="7435" w:type="dxa"/>
          </w:tcPr>
          <w:p>
            <w:pPr>
              <w:pStyle w:val="TableParagraph"/>
              <w:ind w:left="98"/>
              <w:rPr>
                <w:sz w:val="16"/>
              </w:rPr>
            </w:pPr>
            <w:r>
              <w:rPr>
                <w:spacing w:val="-5"/>
                <w:sz w:val="16"/>
              </w:rPr>
              <w:t>10</w:t>
            </w:r>
          </w:p>
        </w:tc>
      </w:tr>
      <w:tr>
        <w:trPr>
          <w:trHeight w:val="350" w:hRule="atLeast"/>
        </w:trPr>
        <w:tc>
          <w:tcPr>
            <w:tcW w:w="2750" w:type="dxa"/>
          </w:tcPr>
          <w:p>
            <w:pPr>
              <w:pStyle w:val="TableParagraph"/>
              <w:ind w:left="97"/>
              <w:rPr>
                <w:sz w:val="16"/>
              </w:rPr>
            </w:pPr>
            <w:r>
              <w:rPr>
                <w:sz w:val="16"/>
              </w:rPr>
              <w:t>ML</w:t>
            </w:r>
            <w:r>
              <w:rPr>
                <w:spacing w:val="5"/>
                <w:sz w:val="16"/>
              </w:rPr>
              <w:t> </w:t>
            </w:r>
            <w:r>
              <w:rPr>
                <w:sz w:val="16"/>
              </w:rPr>
              <w:t>questions</w:t>
            </w:r>
            <w:r>
              <w:rPr>
                <w:spacing w:val="5"/>
                <w:sz w:val="16"/>
              </w:rPr>
              <w:t> </w:t>
            </w:r>
            <w:r>
              <w:rPr>
                <w:sz w:val="16"/>
              </w:rPr>
              <w:t>4-</w:t>
            </w:r>
            <w:r>
              <w:rPr>
                <w:spacing w:val="-10"/>
                <w:sz w:val="16"/>
              </w:rPr>
              <w:t>5</w:t>
            </w:r>
          </w:p>
        </w:tc>
        <w:tc>
          <w:tcPr>
            <w:tcW w:w="7435" w:type="dxa"/>
          </w:tcPr>
          <w:p>
            <w:pPr>
              <w:pStyle w:val="TableParagraph"/>
              <w:ind w:left="98"/>
              <w:rPr>
                <w:sz w:val="16"/>
              </w:rPr>
            </w:pPr>
            <w:r>
              <w:rPr>
                <w:spacing w:val="-5"/>
                <w:sz w:val="16"/>
              </w:rPr>
              <w:t>11</w:t>
            </w:r>
          </w:p>
        </w:tc>
      </w:tr>
      <w:tr>
        <w:trPr>
          <w:trHeight w:val="350" w:hRule="atLeast"/>
        </w:trPr>
        <w:tc>
          <w:tcPr>
            <w:tcW w:w="2750" w:type="dxa"/>
          </w:tcPr>
          <w:p>
            <w:pPr>
              <w:pStyle w:val="TableParagraph"/>
              <w:ind w:left="97"/>
              <w:rPr>
                <w:sz w:val="16"/>
              </w:rPr>
            </w:pPr>
            <w:r>
              <w:rPr>
                <w:spacing w:val="-2"/>
                <w:sz w:val="16"/>
              </w:rPr>
              <w:t>Limitations</w:t>
            </w:r>
          </w:p>
        </w:tc>
        <w:tc>
          <w:tcPr>
            <w:tcW w:w="7435" w:type="dxa"/>
          </w:tcPr>
          <w:p>
            <w:pPr>
              <w:pStyle w:val="TableParagraph"/>
              <w:ind w:left="98"/>
              <w:rPr>
                <w:sz w:val="16"/>
              </w:rPr>
            </w:pPr>
            <w:r>
              <w:rPr>
                <w:spacing w:val="-5"/>
                <w:sz w:val="16"/>
              </w:rPr>
              <w:t>12</w:t>
            </w:r>
          </w:p>
        </w:tc>
      </w:tr>
      <w:tr>
        <w:trPr>
          <w:trHeight w:val="350" w:hRule="atLeast"/>
        </w:trPr>
        <w:tc>
          <w:tcPr>
            <w:tcW w:w="2750" w:type="dxa"/>
          </w:tcPr>
          <w:p>
            <w:pPr>
              <w:pStyle w:val="TableParagraph"/>
              <w:ind w:left="97"/>
              <w:rPr>
                <w:sz w:val="16"/>
              </w:rPr>
            </w:pPr>
            <w:r>
              <w:rPr>
                <w:sz w:val="16"/>
              </w:rPr>
              <w:t>References</w:t>
            </w:r>
            <w:r>
              <w:rPr>
                <w:spacing w:val="5"/>
                <w:sz w:val="16"/>
              </w:rPr>
              <w:t> </w:t>
            </w:r>
            <w:r>
              <w:rPr>
                <w:sz w:val="16"/>
              </w:rPr>
              <w:t>and</w:t>
            </w:r>
            <w:r>
              <w:rPr>
                <w:spacing w:val="5"/>
                <w:sz w:val="16"/>
              </w:rPr>
              <w:t> </w:t>
            </w:r>
            <w:r>
              <w:rPr>
                <w:spacing w:val="-2"/>
                <w:sz w:val="16"/>
              </w:rPr>
              <w:t>reproducibility</w:t>
            </w:r>
          </w:p>
        </w:tc>
        <w:tc>
          <w:tcPr>
            <w:tcW w:w="7435" w:type="dxa"/>
          </w:tcPr>
          <w:p>
            <w:pPr>
              <w:pStyle w:val="TableParagraph"/>
              <w:ind w:left="98"/>
              <w:rPr>
                <w:sz w:val="16"/>
              </w:rPr>
            </w:pPr>
            <w:r>
              <w:rPr>
                <w:spacing w:val="-5"/>
                <w:sz w:val="16"/>
              </w:rPr>
              <w:t>13</w:t>
            </w:r>
          </w:p>
        </w:tc>
      </w:tr>
    </w:tbl>
    <w:p>
      <w:pPr>
        <w:pStyle w:val="BodyText"/>
        <w:spacing w:line="266" w:lineRule="auto" w:before="284"/>
        <w:ind w:left="10"/>
      </w:pPr>
      <w:r>
        <w:rPr/>
        <w:t>The</w:t>
      </w:r>
      <w:r>
        <w:rPr>
          <w:spacing w:val="-3"/>
        </w:rPr>
        <w:t> </w:t>
      </w:r>
      <w:r>
        <w:rPr/>
        <w:t>assessed</w:t>
      </w:r>
      <w:r>
        <w:rPr>
          <w:spacing w:val="-3"/>
        </w:rPr>
        <w:t> </w:t>
      </w:r>
      <w:r>
        <w:rPr/>
        <w:t>report</w:t>
      </w:r>
      <w:r>
        <w:rPr>
          <w:spacing w:val="-3"/>
        </w:rPr>
        <w:t> </w:t>
      </w:r>
      <w:r>
        <w:rPr/>
        <w:t>occupies</w:t>
      </w:r>
      <w:r>
        <w:rPr>
          <w:spacing w:val="-3"/>
        </w:rPr>
        <w:t> </w:t>
      </w:r>
      <w:r>
        <w:rPr/>
        <w:t>pages</w:t>
      </w:r>
      <w:r>
        <w:rPr>
          <w:spacing w:val="-3"/>
        </w:rPr>
        <w:t> </w:t>
      </w:r>
      <w:r>
        <w:rPr/>
        <w:t>3-12.</w:t>
      </w:r>
      <w:r>
        <w:rPr>
          <w:spacing w:val="-3"/>
        </w:rPr>
        <w:t> </w:t>
      </w:r>
      <w:r>
        <w:rPr/>
        <w:t>Code,</w:t>
      </w:r>
      <w:r>
        <w:rPr>
          <w:spacing w:val="-3"/>
        </w:rPr>
        <w:t> </w:t>
      </w:r>
      <w:r>
        <w:rPr/>
        <w:t>full</w:t>
      </w:r>
      <w:r>
        <w:rPr>
          <w:spacing w:val="-3"/>
        </w:rPr>
        <w:t> </w:t>
      </w:r>
      <w:r>
        <w:rPr/>
        <w:t>supporting</w:t>
      </w:r>
      <w:r>
        <w:rPr>
          <w:spacing w:val="-3"/>
        </w:rPr>
        <w:t> </w:t>
      </w:r>
      <w:r>
        <w:rPr/>
        <w:t>tables</w:t>
      </w:r>
      <w:r>
        <w:rPr>
          <w:spacing w:val="-3"/>
        </w:rPr>
        <w:t> </w:t>
      </w:r>
      <w:r>
        <w:rPr/>
        <w:t>and</w:t>
      </w:r>
      <w:r>
        <w:rPr>
          <w:spacing w:val="-3"/>
        </w:rPr>
        <w:t> </w:t>
      </w:r>
      <w:r>
        <w:rPr/>
        <w:t>supplementary</w:t>
      </w:r>
      <w:r>
        <w:rPr>
          <w:spacing w:val="-3"/>
        </w:rPr>
        <w:t> </w:t>
      </w:r>
      <w:r>
        <w:rPr/>
        <w:t>audits</w:t>
      </w:r>
      <w:r>
        <w:rPr>
          <w:spacing w:val="-3"/>
        </w:rPr>
        <w:t> </w:t>
      </w:r>
      <w:r>
        <w:rPr/>
        <w:t>remain</w:t>
      </w:r>
      <w:r>
        <w:rPr>
          <w:spacing w:val="-3"/>
        </w:rPr>
        <w:t> </w:t>
      </w:r>
      <w:r>
        <w:rPr/>
        <w:t>available</w:t>
      </w:r>
      <w:r>
        <w:rPr>
          <w:spacing w:val="-3"/>
        </w:rPr>
        <w:t> </w:t>
      </w:r>
      <w:r>
        <w:rPr/>
        <w:t>in</w:t>
      </w:r>
      <w:r>
        <w:rPr>
          <w:spacing w:val="-3"/>
        </w:rPr>
        <w:t> </w:t>
      </w:r>
      <w:r>
        <w:rPr/>
        <w:t>the submitted notebook. Figure categories, observation units and joins are stated with each visualisation.</w:t>
      </w:r>
    </w:p>
    <w:p>
      <w:pPr>
        <w:pStyle w:val="BodyText"/>
        <w:spacing w:after="0" w:line="266" w:lineRule="auto"/>
        <w:sectPr>
          <w:pgSz w:w="11910" w:h="16840"/>
          <w:pgMar w:header="0" w:footer="330" w:top="800" w:bottom="520" w:left="850" w:right="850"/>
        </w:sectPr>
      </w:pPr>
    </w:p>
    <w:p>
      <w:pPr>
        <w:pStyle w:val="Heading2"/>
        <w:numPr>
          <w:ilvl w:val="0"/>
          <w:numId w:val="1"/>
        </w:numPr>
        <w:tabs>
          <w:tab w:pos="337" w:val="left" w:leader="none"/>
        </w:tabs>
        <w:spacing w:line="240" w:lineRule="auto" w:before="65" w:after="0"/>
        <w:ind w:left="337" w:right="0" w:hanging="327"/>
        <w:jc w:val="left"/>
      </w:pPr>
      <w:r>
        <w:rPr>
          <w:color w:val="183D60"/>
        </w:rPr>
        <w:t>Context</w:t>
      </w:r>
      <w:r>
        <w:rPr>
          <w:color w:val="183D60"/>
          <w:spacing w:val="13"/>
        </w:rPr>
        <w:t> </w:t>
      </w:r>
      <w:r>
        <w:rPr>
          <w:color w:val="183D60"/>
        </w:rPr>
        <w:t>and</w:t>
      </w:r>
      <w:r>
        <w:rPr>
          <w:color w:val="183D60"/>
          <w:spacing w:val="14"/>
        </w:rPr>
        <w:t> </w:t>
      </w:r>
      <w:r>
        <w:rPr>
          <w:color w:val="183D60"/>
        </w:rPr>
        <w:t>data-preparation</w:t>
      </w:r>
      <w:r>
        <w:rPr>
          <w:color w:val="183D60"/>
          <w:spacing w:val="14"/>
        </w:rPr>
        <w:t> </w:t>
      </w:r>
      <w:r>
        <w:rPr>
          <w:color w:val="183D60"/>
          <w:spacing w:val="-2"/>
        </w:rPr>
        <w:t>assurance</w:t>
      </w:r>
    </w:p>
    <w:p>
      <w:pPr>
        <w:spacing w:line="256" w:lineRule="auto" w:before="203"/>
        <w:ind w:left="10" w:right="0" w:firstLine="0"/>
        <w:jc w:val="left"/>
        <w:rPr>
          <w:sz w:val="16"/>
        </w:rPr>
      </w:pPr>
      <w:r>
        <w:rPr>
          <w:rFonts w:ascii="Arial"/>
          <w:b/>
          <w:sz w:val="16"/>
        </w:rPr>
        <w:t>Business context and scope: </w:t>
      </w:r>
      <w:r>
        <w:rPr>
          <w:sz w:val="16"/>
        </w:rPr>
        <w:t>This EDA examines a Melbourne technology retailer's 2018 transactions, combining CommercePlatform JSON and</w:t>
      </w:r>
      <w:r>
        <w:rPr>
          <w:spacing w:val="-5"/>
          <w:sz w:val="16"/>
        </w:rPr>
        <w:t> </w:t>
      </w:r>
      <w:r>
        <w:rPr>
          <w:sz w:val="16"/>
        </w:rPr>
        <w:t>OperationsERP</w:t>
      </w:r>
      <w:r>
        <w:rPr>
          <w:spacing w:val="-5"/>
          <w:sz w:val="16"/>
        </w:rPr>
        <w:t> </w:t>
      </w:r>
      <w:r>
        <w:rPr>
          <w:sz w:val="16"/>
        </w:rPr>
        <w:t>XML</w:t>
      </w:r>
      <w:r>
        <w:rPr>
          <w:spacing w:val="-5"/>
          <w:sz w:val="16"/>
        </w:rPr>
        <w:t> </w:t>
      </w:r>
      <w:r>
        <w:rPr>
          <w:sz w:val="16"/>
        </w:rPr>
        <w:t>exports.</w:t>
      </w:r>
      <w:r>
        <w:rPr>
          <w:spacing w:val="-5"/>
          <w:sz w:val="16"/>
        </w:rPr>
        <w:t> </w:t>
      </w:r>
      <w:r>
        <w:rPr>
          <w:sz w:val="16"/>
        </w:rPr>
        <w:t>The</w:t>
      </w:r>
      <w:r>
        <w:rPr>
          <w:spacing w:val="-5"/>
          <w:sz w:val="16"/>
        </w:rPr>
        <w:t> </w:t>
      </w:r>
      <w:r>
        <w:rPr>
          <w:sz w:val="16"/>
        </w:rPr>
        <w:t>six</w:t>
      </w:r>
      <w:r>
        <w:rPr>
          <w:spacing w:val="-5"/>
          <w:sz w:val="16"/>
        </w:rPr>
        <w:t> </w:t>
      </w:r>
      <w:r>
        <w:rPr>
          <w:sz w:val="16"/>
        </w:rPr>
        <w:t>standardised</w:t>
      </w:r>
      <w:r>
        <w:rPr>
          <w:spacing w:val="-5"/>
          <w:sz w:val="16"/>
        </w:rPr>
        <w:t> </w:t>
      </w:r>
      <w:r>
        <w:rPr>
          <w:sz w:val="16"/>
        </w:rPr>
        <w:t>tables</w:t>
      </w:r>
      <w:r>
        <w:rPr>
          <w:spacing w:val="-5"/>
          <w:sz w:val="16"/>
        </w:rPr>
        <w:t> </w:t>
      </w:r>
      <w:r>
        <w:rPr>
          <w:sz w:val="16"/>
        </w:rPr>
        <w:t>contain</w:t>
      </w:r>
      <w:r>
        <w:rPr>
          <w:spacing w:val="-5"/>
          <w:sz w:val="16"/>
        </w:rPr>
        <w:t> </w:t>
      </w:r>
      <w:r>
        <w:rPr>
          <w:rFonts w:ascii="Arial"/>
          <w:b/>
          <w:sz w:val="16"/>
        </w:rPr>
        <w:t>5,000</w:t>
      </w:r>
      <w:r>
        <w:rPr>
          <w:rFonts w:ascii="Arial"/>
          <w:b/>
          <w:spacing w:val="-5"/>
          <w:sz w:val="16"/>
        </w:rPr>
        <w:t> </w:t>
      </w:r>
      <w:r>
        <w:rPr>
          <w:rFonts w:ascii="Arial"/>
          <w:b/>
          <w:sz w:val="16"/>
        </w:rPr>
        <w:t>orders,</w:t>
      </w:r>
      <w:r>
        <w:rPr>
          <w:rFonts w:ascii="Arial"/>
          <w:b/>
          <w:spacing w:val="-5"/>
          <w:sz w:val="16"/>
        </w:rPr>
        <w:t> </w:t>
      </w:r>
      <w:r>
        <w:rPr>
          <w:rFonts w:ascii="Arial"/>
          <w:b/>
          <w:sz w:val="16"/>
        </w:rPr>
        <w:t>15,739</w:t>
      </w:r>
      <w:r>
        <w:rPr>
          <w:rFonts w:ascii="Arial"/>
          <w:b/>
          <w:spacing w:val="-5"/>
          <w:sz w:val="16"/>
        </w:rPr>
        <w:t> </w:t>
      </w:r>
      <w:r>
        <w:rPr>
          <w:rFonts w:ascii="Arial"/>
          <w:b/>
          <w:sz w:val="16"/>
        </w:rPr>
        <w:t>item</w:t>
      </w:r>
      <w:r>
        <w:rPr>
          <w:rFonts w:ascii="Arial"/>
          <w:b/>
          <w:spacing w:val="-5"/>
          <w:sz w:val="16"/>
        </w:rPr>
        <w:t> </w:t>
      </w:r>
      <w:r>
        <w:rPr>
          <w:rFonts w:ascii="Arial"/>
          <w:b/>
          <w:sz w:val="16"/>
        </w:rPr>
        <w:t>lines,</w:t>
      </w:r>
      <w:r>
        <w:rPr>
          <w:rFonts w:ascii="Arial"/>
          <w:b/>
          <w:spacing w:val="-5"/>
          <w:sz w:val="16"/>
        </w:rPr>
        <w:t> </w:t>
      </w:r>
      <w:r>
        <w:rPr>
          <w:rFonts w:ascii="Arial"/>
          <w:b/>
          <w:sz w:val="16"/>
        </w:rPr>
        <w:t>500</w:t>
      </w:r>
      <w:r>
        <w:rPr>
          <w:rFonts w:ascii="Arial"/>
          <w:b/>
          <w:spacing w:val="-5"/>
          <w:sz w:val="16"/>
        </w:rPr>
        <w:t> </w:t>
      </w:r>
      <w:r>
        <w:rPr>
          <w:rFonts w:ascii="Arial"/>
          <w:b/>
          <w:sz w:val="16"/>
        </w:rPr>
        <w:t>customers,</w:t>
      </w:r>
      <w:r>
        <w:rPr>
          <w:rFonts w:ascii="Arial"/>
          <w:b/>
          <w:spacing w:val="-5"/>
          <w:sz w:val="16"/>
        </w:rPr>
        <w:t> </w:t>
      </w:r>
      <w:r>
        <w:rPr>
          <w:rFonts w:ascii="Arial"/>
          <w:b/>
          <w:sz w:val="16"/>
        </w:rPr>
        <w:t>1,000</w:t>
      </w:r>
      <w:r>
        <w:rPr>
          <w:rFonts w:ascii="Arial"/>
          <w:b/>
          <w:spacing w:val="-5"/>
          <w:sz w:val="16"/>
        </w:rPr>
        <w:t> </w:t>
      </w:r>
      <w:r>
        <w:rPr>
          <w:rFonts w:ascii="Arial"/>
          <w:b/>
          <w:sz w:val="16"/>
        </w:rPr>
        <w:t>products,</w:t>
      </w:r>
      <w:r>
        <w:rPr>
          <w:rFonts w:ascii="Arial"/>
          <w:b/>
          <w:spacing w:val="-5"/>
          <w:sz w:val="16"/>
        </w:rPr>
        <w:t> </w:t>
      </w:r>
      <w:r>
        <w:rPr>
          <w:rFonts w:ascii="Arial"/>
          <w:b/>
          <w:sz w:val="16"/>
        </w:rPr>
        <w:t>5,000 deliveries and 7,000 reviews</w:t>
      </w:r>
      <w:r>
        <w:rPr>
          <w:sz w:val="16"/>
        </w:rPr>
        <w:t>. Analysis distinguishes order, item, customer, product, delivery and review grain in which delivery assessment covers completed orders and review timestamps may extend beyond the 2018 order period.</w:t>
      </w:r>
    </w:p>
    <w:p>
      <w:pPr>
        <w:pStyle w:val="Heading4"/>
        <w:numPr>
          <w:ilvl w:val="1"/>
          <w:numId w:val="1"/>
        </w:numPr>
        <w:tabs>
          <w:tab w:pos="410" w:val="left" w:leader="none"/>
        </w:tabs>
        <w:spacing w:line="240" w:lineRule="auto" w:before="107" w:after="0"/>
        <w:ind w:left="410" w:right="0" w:hanging="400"/>
        <w:jc w:val="left"/>
      </w:pPr>
      <w:r>
        <w:rPr>
          <w:color w:val="183D60"/>
        </w:rPr>
        <w:t>Five</w:t>
      </w:r>
      <w:r>
        <w:rPr>
          <w:color w:val="183D60"/>
          <w:spacing w:val="26"/>
        </w:rPr>
        <w:t> </w:t>
      </w:r>
      <w:r>
        <w:rPr>
          <w:color w:val="183D60"/>
        </w:rPr>
        <w:t>material</w:t>
      </w:r>
      <w:r>
        <w:rPr>
          <w:color w:val="183D60"/>
          <w:spacing w:val="27"/>
        </w:rPr>
        <w:t> </w:t>
      </w:r>
      <w:r>
        <w:rPr>
          <w:color w:val="183D60"/>
        </w:rPr>
        <w:t>transformation</w:t>
      </w:r>
      <w:r>
        <w:rPr>
          <w:color w:val="183D60"/>
          <w:spacing w:val="27"/>
        </w:rPr>
        <w:t> </w:t>
      </w:r>
      <w:r>
        <w:rPr>
          <w:color w:val="183D60"/>
          <w:spacing w:val="-2"/>
        </w:rPr>
        <w:t>decisions</w:t>
      </w:r>
    </w:p>
    <w:p>
      <w:pPr>
        <w:pStyle w:val="BodyText"/>
        <w:spacing w:before="10"/>
        <w:rPr>
          <w:rFonts w:ascii="Arial"/>
          <w:b/>
          <w:sz w:val="8"/>
        </w:rPr>
      </w:pPr>
    </w:p>
    <w:tbl>
      <w:tblPr>
        <w:tblW w:w="0" w:type="auto"/>
        <w:jc w:val="left"/>
        <w:tblInd w:w="17" w:type="dxa"/>
        <w:tblBorders>
          <w:top w:val="single" w:sz="4" w:space="0" w:color="C6D1DB"/>
          <w:left w:val="single" w:sz="4" w:space="0" w:color="C6D1DB"/>
          <w:bottom w:val="single" w:sz="4" w:space="0" w:color="C6D1DB"/>
          <w:right w:val="single" w:sz="4" w:space="0" w:color="C6D1DB"/>
          <w:insideH w:val="single" w:sz="4" w:space="0" w:color="C6D1DB"/>
          <w:insideV w:val="single" w:sz="4" w:space="0" w:color="C6D1DB"/>
        </w:tblBorders>
        <w:tblLayout w:type="fixed"/>
        <w:tblCellMar>
          <w:top w:w="0" w:type="dxa"/>
          <w:left w:w="0" w:type="dxa"/>
          <w:bottom w:w="0" w:type="dxa"/>
          <w:right w:w="0" w:type="dxa"/>
        </w:tblCellMar>
        <w:tblLook w:val="01E0"/>
      </w:tblPr>
      <w:tblGrid>
        <w:gridCol w:w="4806"/>
        <w:gridCol w:w="5207"/>
      </w:tblGrid>
      <w:tr>
        <w:trPr>
          <w:trHeight w:val="343" w:hRule="atLeast"/>
        </w:trPr>
        <w:tc>
          <w:tcPr>
            <w:tcW w:w="4806" w:type="dxa"/>
            <w:shd w:val="clear" w:color="auto" w:fill="E8EFF4"/>
          </w:tcPr>
          <w:p>
            <w:pPr>
              <w:pStyle w:val="TableParagraph"/>
              <w:spacing w:before="83"/>
              <w:rPr>
                <w:sz w:val="16"/>
              </w:rPr>
            </w:pPr>
            <w:r>
              <w:rPr>
                <w:sz w:val="16"/>
              </w:rPr>
              <w:t>Decision</w:t>
            </w:r>
            <w:r>
              <w:rPr>
                <w:spacing w:val="-6"/>
                <w:sz w:val="16"/>
              </w:rPr>
              <w:t> </w:t>
            </w:r>
            <w:r>
              <w:rPr>
                <w:sz w:val="16"/>
              </w:rPr>
              <w:t>and</w:t>
            </w:r>
            <w:r>
              <w:rPr>
                <w:spacing w:val="-6"/>
                <w:sz w:val="16"/>
              </w:rPr>
              <w:t> </w:t>
            </w:r>
            <w:r>
              <w:rPr>
                <w:sz w:val="16"/>
              </w:rPr>
              <w:t>stable</w:t>
            </w:r>
            <w:r>
              <w:rPr>
                <w:spacing w:val="-6"/>
                <w:sz w:val="16"/>
              </w:rPr>
              <w:t> </w:t>
            </w:r>
            <w:r>
              <w:rPr>
                <w:sz w:val="16"/>
              </w:rPr>
              <w:t>mapping</w:t>
            </w:r>
            <w:r>
              <w:rPr>
                <w:spacing w:val="-6"/>
                <w:sz w:val="16"/>
              </w:rPr>
              <w:t> </w:t>
            </w:r>
            <w:r>
              <w:rPr>
                <w:spacing w:val="-2"/>
                <w:sz w:val="16"/>
              </w:rPr>
              <w:t>references</w:t>
            </w:r>
          </w:p>
        </w:tc>
        <w:tc>
          <w:tcPr>
            <w:tcW w:w="5207" w:type="dxa"/>
            <w:shd w:val="clear" w:color="auto" w:fill="E8EFF4"/>
          </w:tcPr>
          <w:p>
            <w:pPr>
              <w:pStyle w:val="TableParagraph"/>
              <w:spacing w:before="83"/>
              <w:rPr>
                <w:sz w:val="16"/>
              </w:rPr>
            </w:pPr>
            <w:r>
              <w:rPr>
                <w:sz w:val="16"/>
              </w:rPr>
              <w:t>Why</w:t>
            </w:r>
            <w:r>
              <w:rPr>
                <w:spacing w:val="-4"/>
                <w:sz w:val="16"/>
              </w:rPr>
              <w:t> </w:t>
            </w:r>
            <w:r>
              <w:rPr>
                <w:sz w:val="16"/>
              </w:rPr>
              <w:t>it</w:t>
            </w:r>
            <w:r>
              <w:rPr>
                <w:spacing w:val="-4"/>
                <w:sz w:val="16"/>
              </w:rPr>
              <w:t> </w:t>
            </w:r>
            <w:r>
              <w:rPr>
                <w:sz w:val="16"/>
              </w:rPr>
              <w:t>matters</w:t>
            </w:r>
            <w:r>
              <w:rPr>
                <w:spacing w:val="-4"/>
                <w:sz w:val="16"/>
              </w:rPr>
              <w:t> </w:t>
            </w:r>
            <w:r>
              <w:rPr>
                <w:sz w:val="16"/>
              </w:rPr>
              <w:t>for</w:t>
            </w:r>
            <w:r>
              <w:rPr>
                <w:spacing w:val="-3"/>
                <w:sz w:val="16"/>
              </w:rPr>
              <w:t> </w:t>
            </w:r>
            <w:r>
              <w:rPr>
                <w:sz w:val="16"/>
              </w:rPr>
              <w:t>this</w:t>
            </w:r>
            <w:r>
              <w:rPr>
                <w:spacing w:val="-4"/>
                <w:sz w:val="16"/>
              </w:rPr>
              <w:t> </w:t>
            </w:r>
            <w:r>
              <w:rPr>
                <w:spacing w:val="-5"/>
                <w:sz w:val="16"/>
              </w:rPr>
              <w:t>EDA</w:t>
            </w:r>
          </w:p>
        </w:tc>
      </w:tr>
      <w:tr>
        <w:trPr>
          <w:trHeight w:val="1130" w:hRule="atLeast"/>
        </w:trPr>
        <w:tc>
          <w:tcPr>
            <w:tcW w:w="4806" w:type="dxa"/>
          </w:tcPr>
          <w:p>
            <w:pPr>
              <w:pStyle w:val="TableParagraph"/>
              <w:spacing w:line="256" w:lineRule="auto" w:before="83"/>
              <w:ind w:right="237"/>
              <w:rPr>
                <w:sz w:val="16"/>
              </w:rPr>
            </w:pPr>
            <w:r>
              <w:rPr>
                <w:rFonts w:ascii="Arial"/>
                <w:b/>
                <w:sz w:val="16"/>
              </w:rPr>
              <w:t>Reconcile by business key after normalisation. </w:t>
            </w:r>
            <w:r>
              <w:rPr>
                <w:sz w:val="16"/>
              </w:rPr>
              <w:t>Coalesce agreeing JSON/XML values into one canonical record; log differing</w:t>
            </w:r>
            <w:r>
              <w:rPr>
                <w:spacing w:val="-9"/>
                <w:sz w:val="16"/>
              </w:rPr>
              <w:t> </w:t>
            </w:r>
            <w:r>
              <w:rPr>
                <w:sz w:val="16"/>
              </w:rPr>
              <w:t>non-missing</w:t>
            </w:r>
            <w:r>
              <w:rPr>
                <w:spacing w:val="-9"/>
                <w:sz w:val="16"/>
              </w:rPr>
              <w:t> </w:t>
            </w:r>
            <w:r>
              <w:rPr>
                <w:sz w:val="16"/>
              </w:rPr>
              <w:t>values</w:t>
            </w:r>
            <w:r>
              <w:rPr>
                <w:spacing w:val="-9"/>
                <w:sz w:val="16"/>
              </w:rPr>
              <w:t> </w:t>
            </w:r>
            <w:r>
              <w:rPr>
                <w:sz w:val="16"/>
              </w:rPr>
              <w:t>rather</w:t>
            </w:r>
            <w:r>
              <w:rPr>
                <w:spacing w:val="-9"/>
                <w:sz w:val="16"/>
              </w:rPr>
              <w:t> </w:t>
            </w:r>
            <w:r>
              <w:rPr>
                <w:sz w:val="16"/>
              </w:rPr>
              <w:t>than</w:t>
            </w:r>
            <w:r>
              <w:rPr>
                <w:spacing w:val="-9"/>
                <w:sz w:val="16"/>
              </w:rPr>
              <w:t> </w:t>
            </w:r>
            <w:r>
              <w:rPr>
                <w:sz w:val="16"/>
              </w:rPr>
              <w:t>impose</w:t>
            </w:r>
            <w:r>
              <w:rPr>
                <w:spacing w:val="-9"/>
                <w:sz w:val="16"/>
              </w:rPr>
              <w:t> </w:t>
            </w:r>
            <w:r>
              <w:rPr>
                <w:sz w:val="16"/>
              </w:rPr>
              <w:t>source</w:t>
            </w:r>
            <w:r>
              <w:rPr>
                <w:spacing w:val="-9"/>
                <w:sz w:val="16"/>
              </w:rPr>
              <w:t> </w:t>
            </w:r>
            <w:r>
              <w:rPr>
                <w:sz w:val="16"/>
              </w:rPr>
              <w:t>priority. Preserve order and item identities (MAP-orders-01,</w:t>
            </w:r>
          </w:p>
          <w:p>
            <w:pPr>
              <w:pStyle w:val="TableParagraph"/>
              <w:spacing w:line="183" w:lineRule="exact" w:before="0"/>
              <w:rPr>
                <w:sz w:val="16"/>
              </w:rPr>
            </w:pPr>
            <w:r>
              <w:rPr>
                <w:spacing w:val="-2"/>
                <w:sz w:val="16"/>
              </w:rPr>
              <w:t>MAP-order_items-01;</w:t>
            </w:r>
            <w:r>
              <w:rPr>
                <w:spacing w:val="17"/>
                <w:sz w:val="16"/>
              </w:rPr>
              <w:t> </w:t>
            </w:r>
            <w:r>
              <w:rPr>
                <w:spacing w:val="-2"/>
                <w:sz w:val="16"/>
              </w:rPr>
              <w:t>solution</w:t>
            </w:r>
            <w:r>
              <w:rPr>
                <w:spacing w:val="17"/>
                <w:sz w:val="16"/>
              </w:rPr>
              <w:t> </w:t>
            </w:r>
            <w:r>
              <w:rPr>
                <w:spacing w:val="-2"/>
                <w:sz w:val="16"/>
              </w:rPr>
              <w:t>T2-</w:t>
            </w:r>
            <w:r>
              <w:rPr>
                <w:spacing w:val="-4"/>
                <w:sz w:val="16"/>
              </w:rPr>
              <w:t>R1).</w:t>
            </w:r>
          </w:p>
        </w:tc>
        <w:tc>
          <w:tcPr>
            <w:tcW w:w="5207" w:type="dxa"/>
          </w:tcPr>
          <w:p>
            <w:pPr>
              <w:pStyle w:val="TableParagraph"/>
              <w:spacing w:line="256" w:lineRule="auto" w:before="83"/>
              <w:rPr>
                <w:sz w:val="16"/>
              </w:rPr>
            </w:pPr>
            <w:r>
              <w:rPr>
                <w:sz w:val="16"/>
              </w:rPr>
              <w:t>Prevents</w:t>
            </w:r>
            <w:r>
              <w:rPr>
                <w:spacing w:val="-9"/>
                <w:sz w:val="16"/>
              </w:rPr>
              <w:t> </w:t>
            </w:r>
            <w:r>
              <w:rPr>
                <w:sz w:val="16"/>
              </w:rPr>
              <w:t>repeated</w:t>
            </w:r>
            <w:r>
              <w:rPr>
                <w:spacing w:val="-9"/>
                <w:sz w:val="16"/>
              </w:rPr>
              <w:t> </w:t>
            </w:r>
            <w:r>
              <w:rPr>
                <w:sz w:val="16"/>
              </w:rPr>
              <w:t>exports</w:t>
            </w:r>
            <w:r>
              <w:rPr>
                <w:spacing w:val="-9"/>
                <w:sz w:val="16"/>
              </w:rPr>
              <w:t> </w:t>
            </w:r>
            <w:r>
              <w:rPr>
                <w:sz w:val="16"/>
              </w:rPr>
              <w:t>from</w:t>
            </w:r>
            <w:r>
              <w:rPr>
                <w:spacing w:val="-9"/>
                <w:sz w:val="16"/>
              </w:rPr>
              <w:t> </w:t>
            </w:r>
            <w:r>
              <w:rPr>
                <w:sz w:val="16"/>
              </w:rPr>
              <w:t>inflating</w:t>
            </w:r>
            <w:r>
              <w:rPr>
                <w:spacing w:val="-9"/>
                <w:sz w:val="16"/>
              </w:rPr>
              <w:t> </w:t>
            </w:r>
            <w:r>
              <w:rPr>
                <w:sz w:val="16"/>
              </w:rPr>
              <w:t>order</w:t>
            </w:r>
            <w:r>
              <w:rPr>
                <w:spacing w:val="-9"/>
                <w:sz w:val="16"/>
              </w:rPr>
              <w:t> </w:t>
            </w:r>
            <w:r>
              <w:rPr>
                <w:sz w:val="16"/>
              </w:rPr>
              <w:t>counts,</w:t>
            </w:r>
            <w:r>
              <w:rPr>
                <w:spacing w:val="-9"/>
                <w:sz w:val="16"/>
              </w:rPr>
              <w:t> </w:t>
            </w:r>
            <w:r>
              <w:rPr>
                <w:sz w:val="16"/>
              </w:rPr>
              <w:t>sales</w:t>
            </w:r>
            <w:r>
              <w:rPr>
                <w:spacing w:val="-9"/>
                <w:sz w:val="16"/>
              </w:rPr>
              <w:t> </w:t>
            </w:r>
            <w:r>
              <w:rPr>
                <w:sz w:val="16"/>
              </w:rPr>
              <w:t>and</w:t>
            </w:r>
            <w:r>
              <w:rPr>
                <w:spacing w:val="-9"/>
                <w:sz w:val="16"/>
              </w:rPr>
              <w:t> </w:t>
            </w:r>
            <w:r>
              <w:rPr>
                <w:sz w:val="16"/>
              </w:rPr>
              <w:t>review </w:t>
            </w:r>
            <w:r>
              <w:rPr>
                <w:spacing w:val="-2"/>
                <w:sz w:val="16"/>
              </w:rPr>
              <w:t>coverage.</w:t>
            </w:r>
          </w:p>
        </w:tc>
      </w:tr>
      <w:tr>
        <w:trPr>
          <w:trHeight w:val="1130" w:hRule="atLeast"/>
        </w:trPr>
        <w:tc>
          <w:tcPr>
            <w:tcW w:w="4806" w:type="dxa"/>
          </w:tcPr>
          <w:p>
            <w:pPr>
              <w:pStyle w:val="TableParagraph"/>
              <w:spacing w:line="256" w:lineRule="auto" w:before="83"/>
              <w:ind w:right="237"/>
              <w:rPr>
                <w:sz w:val="16"/>
              </w:rPr>
            </w:pPr>
            <w:r>
              <w:rPr>
                <w:rFonts w:ascii="Arial"/>
                <w:b/>
                <w:sz w:val="16"/>
              </w:rPr>
              <w:t>Standardise</w:t>
            </w:r>
            <w:r>
              <w:rPr>
                <w:rFonts w:ascii="Arial"/>
                <w:b/>
                <w:spacing w:val="-12"/>
                <w:sz w:val="16"/>
              </w:rPr>
              <w:t> </w:t>
            </w:r>
            <w:r>
              <w:rPr>
                <w:rFonts w:ascii="Arial"/>
                <w:b/>
                <w:sz w:val="16"/>
              </w:rPr>
              <w:t>structured</w:t>
            </w:r>
            <w:r>
              <w:rPr>
                <w:rFonts w:ascii="Arial"/>
                <w:b/>
                <w:spacing w:val="-11"/>
                <w:sz w:val="16"/>
              </w:rPr>
              <w:t> </w:t>
            </w:r>
            <w:r>
              <w:rPr>
                <w:rFonts w:ascii="Arial"/>
                <w:b/>
                <w:sz w:val="16"/>
              </w:rPr>
              <w:t>values</w:t>
            </w:r>
            <w:r>
              <w:rPr>
                <w:rFonts w:ascii="Arial"/>
                <w:b/>
                <w:spacing w:val="-11"/>
                <w:sz w:val="16"/>
              </w:rPr>
              <w:t> </w:t>
            </w:r>
            <w:r>
              <w:rPr>
                <w:rFonts w:ascii="Arial"/>
                <w:b/>
                <w:sz w:val="16"/>
              </w:rPr>
              <w:t>without</w:t>
            </w:r>
            <w:r>
              <w:rPr>
                <w:rFonts w:ascii="Arial"/>
                <w:b/>
                <w:spacing w:val="-11"/>
                <w:sz w:val="16"/>
              </w:rPr>
              <w:t> </w:t>
            </w:r>
            <w:r>
              <w:rPr>
                <w:rFonts w:ascii="Arial"/>
                <w:b/>
                <w:sz w:val="16"/>
              </w:rPr>
              <w:t>losing</w:t>
            </w:r>
            <w:r>
              <w:rPr>
                <w:rFonts w:ascii="Arial"/>
                <w:b/>
                <w:spacing w:val="-11"/>
                <w:sz w:val="16"/>
              </w:rPr>
              <w:t> </w:t>
            </w:r>
            <w:r>
              <w:rPr>
                <w:rFonts w:ascii="Arial"/>
                <w:b/>
                <w:sz w:val="16"/>
              </w:rPr>
              <w:t>missingness. </w:t>
            </w:r>
            <w:r>
              <w:rPr>
                <w:sz w:val="16"/>
              </w:rPr>
              <w:t>Parse order timestamps, normalise currency/discount representations</w:t>
            </w:r>
            <w:r>
              <w:rPr>
                <w:spacing w:val="-4"/>
                <w:sz w:val="16"/>
              </w:rPr>
              <w:t> </w:t>
            </w:r>
            <w:r>
              <w:rPr>
                <w:sz w:val="16"/>
              </w:rPr>
              <w:t>and</w:t>
            </w:r>
            <w:r>
              <w:rPr>
                <w:spacing w:val="-4"/>
                <w:sz w:val="16"/>
              </w:rPr>
              <w:t> </w:t>
            </w:r>
            <w:r>
              <w:rPr>
                <w:sz w:val="16"/>
              </w:rPr>
              <w:t>retain</w:t>
            </w:r>
            <w:r>
              <w:rPr>
                <w:spacing w:val="-4"/>
                <w:sz w:val="16"/>
              </w:rPr>
              <w:t> </w:t>
            </w:r>
            <w:r>
              <w:rPr>
                <w:sz w:val="16"/>
              </w:rPr>
              <w:t>literal</w:t>
            </w:r>
            <w:r>
              <w:rPr>
                <w:spacing w:val="-4"/>
                <w:sz w:val="16"/>
              </w:rPr>
              <w:t> </w:t>
            </w:r>
            <w:r>
              <w:rPr>
                <w:sz w:val="16"/>
              </w:rPr>
              <w:t>NaN</w:t>
            </w:r>
            <w:r>
              <w:rPr>
                <w:spacing w:val="-4"/>
                <w:sz w:val="16"/>
              </w:rPr>
              <w:t> </w:t>
            </w:r>
            <w:r>
              <w:rPr>
                <w:sz w:val="16"/>
              </w:rPr>
              <w:t>for</w:t>
            </w:r>
            <w:r>
              <w:rPr>
                <w:spacing w:val="-4"/>
                <w:sz w:val="16"/>
              </w:rPr>
              <w:t> </w:t>
            </w:r>
            <w:r>
              <w:rPr>
                <w:sz w:val="16"/>
              </w:rPr>
              <w:t>absent</w:t>
            </w:r>
            <w:r>
              <w:rPr>
                <w:spacing w:val="-4"/>
                <w:sz w:val="16"/>
              </w:rPr>
              <w:t> </w:t>
            </w:r>
            <w:r>
              <w:rPr>
                <w:sz w:val="16"/>
              </w:rPr>
              <w:t>coupon</w:t>
            </w:r>
            <w:r>
              <w:rPr>
                <w:spacing w:val="-4"/>
                <w:sz w:val="16"/>
              </w:rPr>
              <w:t> </w:t>
            </w:r>
            <w:r>
              <w:rPr>
                <w:sz w:val="16"/>
              </w:rPr>
              <w:t>codes (MAP-orders-04, MAP-orders-07, MAP-orders-12,</w:t>
            </w:r>
          </w:p>
          <w:p>
            <w:pPr>
              <w:pStyle w:val="TableParagraph"/>
              <w:spacing w:line="183" w:lineRule="exact" w:before="0"/>
              <w:rPr>
                <w:sz w:val="16"/>
              </w:rPr>
            </w:pPr>
            <w:r>
              <w:rPr>
                <w:spacing w:val="-2"/>
                <w:sz w:val="16"/>
              </w:rPr>
              <w:t>MAP-orders-</w:t>
            </w:r>
            <w:r>
              <w:rPr>
                <w:spacing w:val="-4"/>
                <w:sz w:val="16"/>
              </w:rPr>
              <w:t>13).</w:t>
            </w:r>
          </w:p>
        </w:tc>
        <w:tc>
          <w:tcPr>
            <w:tcW w:w="5207" w:type="dxa"/>
          </w:tcPr>
          <w:p>
            <w:pPr>
              <w:pStyle w:val="TableParagraph"/>
              <w:spacing w:line="256" w:lineRule="auto" w:before="83"/>
              <w:rPr>
                <w:sz w:val="16"/>
              </w:rPr>
            </w:pPr>
            <w:r>
              <w:rPr>
                <w:sz w:val="16"/>
              </w:rPr>
              <w:t>Makes</w:t>
            </w:r>
            <w:r>
              <w:rPr>
                <w:spacing w:val="-10"/>
                <w:sz w:val="16"/>
              </w:rPr>
              <w:t> </w:t>
            </w:r>
            <w:r>
              <w:rPr>
                <w:sz w:val="16"/>
              </w:rPr>
              <w:t>calendar</w:t>
            </w:r>
            <w:r>
              <w:rPr>
                <w:spacing w:val="-10"/>
                <w:sz w:val="16"/>
              </w:rPr>
              <w:t> </w:t>
            </w:r>
            <w:r>
              <w:rPr>
                <w:sz w:val="16"/>
              </w:rPr>
              <w:t>exposure</w:t>
            </w:r>
            <w:r>
              <w:rPr>
                <w:spacing w:val="-10"/>
                <w:sz w:val="16"/>
              </w:rPr>
              <w:t> </w:t>
            </w:r>
            <w:r>
              <w:rPr>
                <w:sz w:val="16"/>
              </w:rPr>
              <w:t>and</w:t>
            </w:r>
            <w:r>
              <w:rPr>
                <w:spacing w:val="-10"/>
                <w:sz w:val="16"/>
              </w:rPr>
              <w:t> </w:t>
            </w:r>
            <w:r>
              <w:rPr>
                <w:sz w:val="16"/>
              </w:rPr>
              <w:t>monetary</w:t>
            </w:r>
            <w:r>
              <w:rPr>
                <w:spacing w:val="-10"/>
                <w:sz w:val="16"/>
              </w:rPr>
              <w:t> </w:t>
            </w:r>
            <w:r>
              <w:rPr>
                <w:sz w:val="16"/>
              </w:rPr>
              <w:t>comparisons</w:t>
            </w:r>
            <w:r>
              <w:rPr>
                <w:spacing w:val="-10"/>
                <w:sz w:val="16"/>
              </w:rPr>
              <w:t> </w:t>
            </w:r>
            <w:r>
              <w:rPr>
                <w:sz w:val="16"/>
              </w:rPr>
              <w:t>consistent; preserves missing-code meaning.</w:t>
            </w:r>
          </w:p>
        </w:tc>
      </w:tr>
      <w:tr>
        <w:trPr>
          <w:trHeight w:val="1326" w:hRule="atLeast"/>
        </w:trPr>
        <w:tc>
          <w:tcPr>
            <w:tcW w:w="4806" w:type="dxa"/>
          </w:tcPr>
          <w:p>
            <w:pPr>
              <w:pStyle w:val="TableParagraph"/>
              <w:spacing w:line="256" w:lineRule="auto" w:before="83"/>
              <w:rPr>
                <w:sz w:val="16"/>
              </w:rPr>
            </w:pPr>
            <w:r>
              <w:rPr>
                <w:rFonts w:ascii="Arial" w:hAnsi="Arial"/>
                <w:b/>
                <w:sz w:val="16"/>
              </w:rPr>
              <w:t>Build monetary totals from canonical item lines. </w:t>
            </w:r>
            <w:r>
              <w:rPr>
                <w:sz w:val="16"/>
              </w:rPr>
              <w:t>Round quantity × unit price to cents, sum lines for gross order value, calculate</w:t>
            </w:r>
            <w:r>
              <w:rPr>
                <w:spacing w:val="-8"/>
                <w:sz w:val="16"/>
              </w:rPr>
              <w:t> </w:t>
            </w:r>
            <w:r>
              <w:rPr>
                <w:sz w:val="16"/>
              </w:rPr>
              <w:t>included</w:t>
            </w:r>
            <w:r>
              <w:rPr>
                <w:spacing w:val="-8"/>
                <w:sz w:val="16"/>
              </w:rPr>
              <w:t> </w:t>
            </w:r>
            <w:r>
              <w:rPr>
                <w:sz w:val="16"/>
              </w:rPr>
              <w:t>GST</w:t>
            </w:r>
            <w:r>
              <w:rPr>
                <w:spacing w:val="-8"/>
                <w:sz w:val="16"/>
              </w:rPr>
              <w:t> </w:t>
            </w:r>
            <w:r>
              <w:rPr>
                <w:sz w:val="16"/>
              </w:rPr>
              <w:t>as</w:t>
            </w:r>
            <w:r>
              <w:rPr>
                <w:spacing w:val="-8"/>
                <w:sz w:val="16"/>
              </w:rPr>
              <w:t> </w:t>
            </w:r>
            <w:r>
              <w:rPr>
                <w:sz w:val="16"/>
              </w:rPr>
              <w:t>gross/11,</w:t>
            </w:r>
            <w:r>
              <w:rPr>
                <w:spacing w:val="-8"/>
                <w:sz w:val="16"/>
              </w:rPr>
              <w:t> </w:t>
            </w:r>
            <w:r>
              <w:rPr>
                <w:sz w:val="16"/>
              </w:rPr>
              <w:t>then</w:t>
            </w:r>
            <w:r>
              <w:rPr>
                <w:spacing w:val="-8"/>
                <w:sz w:val="16"/>
              </w:rPr>
              <w:t> </w:t>
            </w:r>
            <w:r>
              <w:rPr>
                <w:sz w:val="16"/>
              </w:rPr>
              <w:t>apply</w:t>
            </w:r>
            <w:r>
              <w:rPr>
                <w:spacing w:val="-8"/>
                <w:sz w:val="16"/>
              </w:rPr>
              <w:t> </w:t>
            </w:r>
            <w:r>
              <w:rPr>
                <w:sz w:val="16"/>
              </w:rPr>
              <w:t>the</w:t>
            </w:r>
            <w:r>
              <w:rPr>
                <w:spacing w:val="-8"/>
                <w:sz w:val="16"/>
              </w:rPr>
              <w:t> </w:t>
            </w:r>
            <w:r>
              <w:rPr>
                <w:sz w:val="16"/>
              </w:rPr>
              <w:t>percentage discount and add delivery; do not add GST again</w:t>
            </w:r>
          </w:p>
          <w:p>
            <w:pPr>
              <w:pStyle w:val="TableParagraph"/>
              <w:spacing w:line="256" w:lineRule="auto" w:before="0"/>
              <w:ind w:right="795"/>
              <w:rPr>
                <w:sz w:val="16"/>
              </w:rPr>
            </w:pPr>
            <w:r>
              <w:rPr>
                <w:spacing w:val="-2"/>
                <w:sz w:val="16"/>
              </w:rPr>
              <w:t>(MAP-order_items-06, MAP-orders-10, MAP-orders-</w:t>
            </w:r>
            <w:r>
              <w:rPr>
                <w:spacing w:val="-2"/>
                <w:sz w:val="16"/>
              </w:rPr>
              <w:t>14, MAP-orders-15).</w:t>
            </w:r>
          </w:p>
        </w:tc>
        <w:tc>
          <w:tcPr>
            <w:tcW w:w="5207" w:type="dxa"/>
          </w:tcPr>
          <w:p>
            <w:pPr>
              <w:pStyle w:val="TableParagraph"/>
              <w:spacing w:line="256" w:lineRule="auto" w:before="83"/>
              <w:rPr>
                <w:sz w:val="16"/>
              </w:rPr>
            </w:pPr>
            <w:r>
              <w:rPr>
                <w:sz w:val="16"/>
              </w:rPr>
              <w:t>Separates gross merchandise value from customer-paid value and prevents</w:t>
            </w:r>
            <w:r>
              <w:rPr>
                <w:spacing w:val="-8"/>
                <w:sz w:val="16"/>
              </w:rPr>
              <w:t> </w:t>
            </w:r>
            <w:r>
              <w:rPr>
                <w:sz w:val="16"/>
              </w:rPr>
              <w:t>duplicate</w:t>
            </w:r>
            <w:r>
              <w:rPr>
                <w:spacing w:val="-8"/>
                <w:sz w:val="16"/>
              </w:rPr>
              <w:t> </w:t>
            </w:r>
            <w:r>
              <w:rPr>
                <w:sz w:val="16"/>
              </w:rPr>
              <w:t>items</w:t>
            </w:r>
            <w:r>
              <w:rPr>
                <w:spacing w:val="-8"/>
                <w:sz w:val="16"/>
              </w:rPr>
              <w:t> </w:t>
            </w:r>
            <w:r>
              <w:rPr>
                <w:sz w:val="16"/>
              </w:rPr>
              <w:t>or</w:t>
            </w:r>
            <w:r>
              <w:rPr>
                <w:spacing w:val="-8"/>
                <w:sz w:val="16"/>
              </w:rPr>
              <w:t> </w:t>
            </w:r>
            <w:r>
              <w:rPr>
                <w:sz w:val="16"/>
              </w:rPr>
              <w:t>tax</w:t>
            </w:r>
            <w:r>
              <w:rPr>
                <w:spacing w:val="-8"/>
                <w:sz w:val="16"/>
              </w:rPr>
              <w:t> </w:t>
            </w:r>
            <w:r>
              <w:rPr>
                <w:sz w:val="16"/>
              </w:rPr>
              <w:t>double-counting</w:t>
            </w:r>
            <w:r>
              <w:rPr>
                <w:spacing w:val="-8"/>
                <w:sz w:val="16"/>
              </w:rPr>
              <w:t> </w:t>
            </w:r>
            <w:r>
              <w:rPr>
                <w:sz w:val="16"/>
              </w:rPr>
              <w:t>from</w:t>
            </w:r>
            <w:r>
              <w:rPr>
                <w:spacing w:val="-8"/>
                <w:sz w:val="16"/>
              </w:rPr>
              <w:t> </w:t>
            </w:r>
            <w:r>
              <w:rPr>
                <w:sz w:val="16"/>
              </w:rPr>
              <w:t>distorting</w:t>
            </w:r>
            <w:r>
              <w:rPr>
                <w:spacing w:val="-8"/>
                <w:sz w:val="16"/>
              </w:rPr>
              <w:t> </w:t>
            </w:r>
            <w:r>
              <w:rPr>
                <w:sz w:val="16"/>
              </w:rPr>
              <w:t>F1–</w:t>
            </w:r>
            <w:r>
              <w:rPr>
                <w:sz w:val="16"/>
              </w:rPr>
              <w:t>F3.</w:t>
            </w:r>
          </w:p>
        </w:tc>
      </w:tr>
      <w:tr>
        <w:trPr>
          <w:trHeight w:val="1523" w:hRule="atLeast"/>
        </w:trPr>
        <w:tc>
          <w:tcPr>
            <w:tcW w:w="4806" w:type="dxa"/>
          </w:tcPr>
          <w:p>
            <w:pPr>
              <w:pStyle w:val="TableParagraph"/>
              <w:spacing w:line="256" w:lineRule="auto" w:before="83"/>
              <w:ind w:right="237"/>
              <w:rPr>
                <w:sz w:val="16"/>
              </w:rPr>
            </w:pPr>
            <w:r>
              <w:rPr>
                <w:rFonts w:ascii="Arial"/>
                <w:b/>
                <w:sz w:val="16"/>
              </w:rPr>
              <w:t>Keep</w:t>
            </w:r>
            <w:r>
              <w:rPr>
                <w:rFonts w:ascii="Arial"/>
                <w:b/>
                <w:spacing w:val="-10"/>
                <w:sz w:val="16"/>
              </w:rPr>
              <w:t> </w:t>
            </w:r>
            <w:r>
              <w:rPr>
                <w:rFonts w:ascii="Arial"/>
                <w:b/>
                <w:sz w:val="16"/>
              </w:rPr>
              <w:t>extraction</w:t>
            </w:r>
            <w:r>
              <w:rPr>
                <w:rFonts w:ascii="Arial"/>
                <w:b/>
                <w:spacing w:val="-10"/>
                <w:sz w:val="16"/>
              </w:rPr>
              <w:t> </w:t>
            </w:r>
            <w:r>
              <w:rPr>
                <w:rFonts w:ascii="Arial"/>
                <w:b/>
                <w:sz w:val="16"/>
              </w:rPr>
              <w:t>and</w:t>
            </w:r>
            <w:r>
              <w:rPr>
                <w:rFonts w:ascii="Arial"/>
                <w:b/>
                <w:spacing w:val="-10"/>
                <w:sz w:val="16"/>
              </w:rPr>
              <w:t> </w:t>
            </w:r>
            <w:r>
              <w:rPr>
                <w:rFonts w:ascii="Arial"/>
                <w:b/>
                <w:sz w:val="16"/>
              </w:rPr>
              <w:t>text</w:t>
            </w:r>
            <w:r>
              <w:rPr>
                <w:rFonts w:ascii="Arial"/>
                <w:b/>
                <w:spacing w:val="-10"/>
                <w:sz w:val="16"/>
              </w:rPr>
              <w:t> </w:t>
            </w:r>
            <w:r>
              <w:rPr>
                <w:rFonts w:ascii="Arial"/>
                <w:b/>
                <w:sz w:val="16"/>
              </w:rPr>
              <w:t>representations</w:t>
            </w:r>
            <w:r>
              <w:rPr>
                <w:rFonts w:ascii="Arial"/>
                <w:b/>
                <w:spacing w:val="-10"/>
                <w:sz w:val="16"/>
              </w:rPr>
              <w:t> </w:t>
            </w:r>
            <w:r>
              <w:rPr>
                <w:rFonts w:ascii="Arial"/>
                <w:b/>
                <w:sz w:val="16"/>
              </w:rPr>
              <w:t>distinct.</w:t>
            </w:r>
            <w:r>
              <w:rPr>
                <w:rFonts w:ascii="Arial"/>
                <w:b/>
                <w:spacing w:val="-10"/>
                <w:sz w:val="16"/>
              </w:rPr>
              <w:t> </w:t>
            </w:r>
            <w:r>
              <w:rPr>
                <w:sz w:val="16"/>
              </w:rPr>
              <w:t>Extract references from parser-obtained raw text before cleaning; preserve multilingual cleaned text, derive a separate</w:t>
            </w:r>
          </w:p>
          <w:p>
            <w:pPr>
              <w:pStyle w:val="TableParagraph"/>
              <w:spacing w:line="256" w:lineRule="auto" w:before="0"/>
              <w:ind w:right="988"/>
              <w:rPr>
                <w:sz w:val="16"/>
              </w:rPr>
            </w:pPr>
            <w:r>
              <w:rPr>
                <w:sz w:val="16"/>
              </w:rPr>
              <w:t>Latin-analysis</w:t>
            </w:r>
            <w:r>
              <w:rPr>
                <w:spacing w:val="-10"/>
                <w:sz w:val="16"/>
              </w:rPr>
              <w:t> </w:t>
            </w:r>
            <w:r>
              <w:rPr>
                <w:sz w:val="16"/>
              </w:rPr>
              <w:t>field,</w:t>
            </w:r>
            <w:r>
              <w:rPr>
                <w:spacing w:val="-10"/>
                <w:sz w:val="16"/>
              </w:rPr>
              <w:t> </w:t>
            </w:r>
            <w:r>
              <w:rPr>
                <w:sz w:val="16"/>
              </w:rPr>
              <w:t>and</w:t>
            </w:r>
            <w:r>
              <w:rPr>
                <w:spacing w:val="-10"/>
                <w:sz w:val="16"/>
              </w:rPr>
              <w:t> </w:t>
            </w:r>
            <w:r>
              <w:rPr>
                <w:sz w:val="16"/>
              </w:rPr>
              <w:t>calculate</w:t>
            </w:r>
            <w:r>
              <w:rPr>
                <w:spacing w:val="-10"/>
                <w:sz w:val="16"/>
              </w:rPr>
              <w:t> </w:t>
            </w:r>
            <w:r>
              <w:rPr>
                <w:sz w:val="16"/>
              </w:rPr>
              <w:t>text</w:t>
            </w:r>
            <w:r>
              <w:rPr>
                <w:spacing w:val="-10"/>
                <w:sz w:val="16"/>
              </w:rPr>
              <w:t> </w:t>
            </w:r>
            <w:r>
              <w:rPr>
                <w:sz w:val="16"/>
              </w:rPr>
              <w:t>measures</w:t>
            </w:r>
            <w:r>
              <w:rPr>
                <w:spacing w:val="-10"/>
                <w:sz w:val="16"/>
              </w:rPr>
              <w:t> </w:t>
            </w:r>
            <w:r>
              <w:rPr>
                <w:sz w:val="16"/>
              </w:rPr>
              <w:t>with sentinel-aware rules (MAP-product_reviews-10, </w:t>
            </w:r>
            <w:r>
              <w:rPr>
                <w:spacing w:val="-2"/>
                <w:sz w:val="16"/>
              </w:rPr>
              <w:t>MAP-product_reviews-11,</w:t>
            </w:r>
          </w:p>
          <w:p>
            <w:pPr>
              <w:pStyle w:val="TableParagraph"/>
              <w:spacing w:line="183" w:lineRule="exact" w:before="0"/>
              <w:rPr>
                <w:sz w:val="16"/>
              </w:rPr>
            </w:pPr>
            <w:r>
              <w:rPr>
                <w:spacing w:val="-2"/>
                <w:sz w:val="16"/>
              </w:rPr>
              <w:t>MAP-product_reviews-14–MAP-product_reviews-</w:t>
            </w:r>
            <w:r>
              <w:rPr>
                <w:spacing w:val="-4"/>
                <w:sz w:val="16"/>
              </w:rPr>
              <w:t>18).</w:t>
            </w:r>
          </w:p>
        </w:tc>
        <w:tc>
          <w:tcPr>
            <w:tcW w:w="5207" w:type="dxa"/>
          </w:tcPr>
          <w:p>
            <w:pPr>
              <w:pStyle w:val="TableParagraph"/>
              <w:spacing w:line="256" w:lineRule="auto" w:before="83"/>
              <w:ind w:right="991"/>
              <w:rPr>
                <w:sz w:val="16"/>
              </w:rPr>
            </w:pPr>
            <w:r>
              <w:rPr>
                <w:sz w:val="16"/>
              </w:rPr>
              <w:t>Protects</w:t>
            </w:r>
            <w:r>
              <w:rPr>
                <w:spacing w:val="-12"/>
                <w:sz w:val="16"/>
              </w:rPr>
              <w:t> </w:t>
            </w:r>
            <w:r>
              <w:rPr>
                <w:sz w:val="16"/>
              </w:rPr>
              <w:t>reference</w:t>
            </w:r>
            <w:r>
              <w:rPr>
                <w:spacing w:val="-11"/>
                <w:sz w:val="16"/>
              </w:rPr>
              <w:t> </w:t>
            </w:r>
            <w:r>
              <w:rPr>
                <w:sz w:val="16"/>
              </w:rPr>
              <w:t>linkage,</w:t>
            </w:r>
            <w:r>
              <w:rPr>
                <w:spacing w:val="-11"/>
                <w:sz w:val="16"/>
              </w:rPr>
              <w:t> </w:t>
            </w:r>
            <w:r>
              <w:rPr>
                <w:sz w:val="16"/>
              </w:rPr>
              <w:t>multilingual</w:t>
            </w:r>
            <w:r>
              <w:rPr>
                <w:spacing w:val="-11"/>
                <w:sz w:val="16"/>
              </w:rPr>
              <w:t> </w:t>
            </w:r>
            <w:r>
              <w:rPr>
                <w:sz w:val="16"/>
              </w:rPr>
              <w:t>representation</w:t>
            </w:r>
            <w:r>
              <w:rPr>
                <w:spacing w:val="-11"/>
                <w:sz w:val="16"/>
              </w:rPr>
              <w:t> </w:t>
            </w:r>
            <w:r>
              <w:rPr>
                <w:sz w:val="16"/>
              </w:rPr>
              <w:t>and sentinel-aware text measures.</w:t>
            </w:r>
          </w:p>
        </w:tc>
      </w:tr>
      <w:tr>
        <w:trPr>
          <w:trHeight w:val="737" w:hRule="atLeast"/>
        </w:trPr>
        <w:tc>
          <w:tcPr>
            <w:tcW w:w="4806" w:type="dxa"/>
          </w:tcPr>
          <w:p>
            <w:pPr>
              <w:pStyle w:val="TableParagraph"/>
              <w:spacing w:line="256" w:lineRule="auto" w:before="83"/>
              <w:ind w:right="600"/>
              <w:rPr>
                <w:sz w:val="16"/>
              </w:rPr>
            </w:pPr>
            <w:r>
              <w:rPr>
                <w:rFonts w:ascii="Arial"/>
                <w:b/>
                <w:sz w:val="16"/>
              </w:rPr>
              <w:t>Retain</w:t>
            </w:r>
            <w:r>
              <w:rPr>
                <w:rFonts w:ascii="Arial"/>
                <w:b/>
                <w:spacing w:val="-10"/>
                <w:sz w:val="16"/>
              </w:rPr>
              <w:t> </w:t>
            </w:r>
            <w:r>
              <w:rPr>
                <w:rFonts w:ascii="Arial"/>
                <w:b/>
                <w:sz w:val="16"/>
              </w:rPr>
              <w:t>the</w:t>
            </w:r>
            <w:r>
              <w:rPr>
                <w:rFonts w:ascii="Arial"/>
                <w:b/>
                <w:spacing w:val="-10"/>
                <w:sz w:val="16"/>
              </w:rPr>
              <w:t> </w:t>
            </w:r>
            <w:r>
              <w:rPr>
                <w:rFonts w:ascii="Arial"/>
                <w:b/>
                <w:sz w:val="16"/>
              </w:rPr>
              <w:t>delivery</w:t>
            </w:r>
            <w:r>
              <w:rPr>
                <w:rFonts w:ascii="Arial"/>
                <w:b/>
                <w:spacing w:val="-10"/>
                <w:sz w:val="16"/>
              </w:rPr>
              <w:t> </w:t>
            </w:r>
            <w:r>
              <w:rPr>
                <w:rFonts w:ascii="Arial"/>
                <w:b/>
                <w:sz w:val="16"/>
              </w:rPr>
              <w:t>eligibility</w:t>
            </w:r>
            <w:r>
              <w:rPr>
                <w:rFonts w:ascii="Arial"/>
                <w:b/>
                <w:spacing w:val="-10"/>
                <w:sz w:val="16"/>
              </w:rPr>
              <w:t> </w:t>
            </w:r>
            <w:r>
              <w:rPr>
                <w:rFonts w:ascii="Arial"/>
                <w:b/>
                <w:sz w:val="16"/>
              </w:rPr>
              <w:t>boundary.</w:t>
            </w:r>
            <w:r>
              <w:rPr>
                <w:rFonts w:ascii="Arial"/>
                <w:b/>
                <w:spacing w:val="-10"/>
                <w:sz w:val="16"/>
              </w:rPr>
              <w:t> </w:t>
            </w:r>
            <w:r>
              <w:rPr>
                <w:sz w:val="16"/>
              </w:rPr>
              <w:t>Keep</w:t>
            </w:r>
            <w:r>
              <w:rPr>
                <w:spacing w:val="-10"/>
                <w:sz w:val="16"/>
              </w:rPr>
              <w:t> </w:t>
            </w:r>
            <w:r>
              <w:rPr>
                <w:sz w:val="16"/>
              </w:rPr>
              <w:t>canonical deliveries linked to completed orders (MAP-orders-09, MAP-deliveries-02; solution T2-B3).</w:t>
            </w:r>
          </w:p>
        </w:tc>
        <w:tc>
          <w:tcPr>
            <w:tcW w:w="5207" w:type="dxa"/>
          </w:tcPr>
          <w:p>
            <w:pPr>
              <w:pStyle w:val="TableParagraph"/>
              <w:spacing w:line="256" w:lineRule="auto" w:before="83"/>
              <w:rPr>
                <w:sz w:val="16"/>
              </w:rPr>
            </w:pPr>
            <w:r>
              <w:rPr>
                <w:sz w:val="16"/>
              </w:rPr>
              <w:t>Defines</w:t>
            </w:r>
            <w:r>
              <w:rPr>
                <w:spacing w:val="-9"/>
                <w:sz w:val="16"/>
              </w:rPr>
              <w:t> </w:t>
            </w:r>
            <w:r>
              <w:rPr>
                <w:sz w:val="16"/>
              </w:rPr>
              <w:t>the</w:t>
            </w:r>
            <w:r>
              <w:rPr>
                <w:spacing w:val="-9"/>
                <w:sz w:val="16"/>
              </w:rPr>
              <w:t> </w:t>
            </w:r>
            <w:r>
              <w:rPr>
                <w:sz w:val="16"/>
              </w:rPr>
              <w:t>denominator</w:t>
            </w:r>
            <w:r>
              <w:rPr>
                <w:spacing w:val="-9"/>
                <w:sz w:val="16"/>
              </w:rPr>
              <w:t> </w:t>
            </w:r>
            <w:r>
              <w:rPr>
                <w:sz w:val="16"/>
              </w:rPr>
              <w:t>for</w:t>
            </w:r>
            <w:r>
              <w:rPr>
                <w:spacing w:val="-9"/>
                <w:sz w:val="16"/>
              </w:rPr>
              <w:t> </w:t>
            </w:r>
            <w:r>
              <w:rPr>
                <w:sz w:val="16"/>
              </w:rPr>
              <w:t>F7–F8;</w:t>
            </w:r>
            <w:r>
              <w:rPr>
                <w:spacing w:val="-9"/>
                <w:sz w:val="16"/>
              </w:rPr>
              <w:t> </w:t>
            </w:r>
            <w:r>
              <w:rPr>
                <w:sz w:val="16"/>
              </w:rPr>
              <w:t>delivery</w:t>
            </w:r>
            <w:r>
              <w:rPr>
                <w:spacing w:val="-9"/>
                <w:sz w:val="16"/>
              </w:rPr>
              <w:t> </w:t>
            </w:r>
            <w:r>
              <w:rPr>
                <w:sz w:val="16"/>
              </w:rPr>
              <w:t>performance</w:t>
            </w:r>
            <w:r>
              <w:rPr>
                <w:spacing w:val="-9"/>
                <w:sz w:val="16"/>
              </w:rPr>
              <w:t> </w:t>
            </w:r>
            <w:r>
              <w:rPr>
                <w:sz w:val="16"/>
              </w:rPr>
              <w:t>cannot describe cancellations, lost sales or orders outside this eligible </w:t>
            </w:r>
            <w:r>
              <w:rPr>
                <w:spacing w:val="-2"/>
                <w:sz w:val="16"/>
              </w:rPr>
              <w:t>population.</w:t>
            </w:r>
          </w:p>
        </w:tc>
      </w:tr>
    </w:tbl>
    <w:p>
      <w:pPr>
        <w:pStyle w:val="Heading4"/>
        <w:numPr>
          <w:ilvl w:val="1"/>
          <w:numId w:val="1"/>
        </w:numPr>
        <w:tabs>
          <w:tab w:pos="410" w:val="left" w:leader="none"/>
        </w:tabs>
        <w:spacing w:line="240" w:lineRule="auto" w:before="211" w:after="0"/>
        <w:ind w:left="410" w:right="0" w:hanging="400"/>
        <w:jc w:val="left"/>
      </w:pPr>
      <w:r>
        <w:rPr>
          <w:color w:val="183D60"/>
        </w:rPr>
        <w:t>Six</w:t>
      </w:r>
      <w:r>
        <w:rPr>
          <w:color w:val="183D60"/>
          <w:spacing w:val="21"/>
        </w:rPr>
        <w:t> </w:t>
      </w:r>
      <w:r>
        <w:rPr>
          <w:color w:val="183D60"/>
        </w:rPr>
        <w:t>material</w:t>
      </w:r>
      <w:r>
        <w:rPr>
          <w:color w:val="183D60"/>
          <w:spacing w:val="21"/>
        </w:rPr>
        <w:t> </w:t>
      </w:r>
      <w:r>
        <w:rPr>
          <w:color w:val="183D60"/>
        </w:rPr>
        <w:t>validation</w:t>
      </w:r>
      <w:r>
        <w:rPr>
          <w:color w:val="183D60"/>
          <w:spacing w:val="21"/>
        </w:rPr>
        <w:t> </w:t>
      </w:r>
      <w:r>
        <w:rPr>
          <w:color w:val="183D60"/>
          <w:spacing w:val="-2"/>
        </w:rPr>
        <w:t>results</w:t>
      </w:r>
    </w:p>
    <w:p>
      <w:pPr>
        <w:spacing w:line="256" w:lineRule="auto" w:before="114"/>
        <w:ind w:left="10" w:right="166" w:firstLine="0"/>
        <w:jc w:val="left"/>
        <w:rPr>
          <w:sz w:val="16"/>
        </w:rPr>
      </w:pPr>
      <w:r>
        <w:rPr>
          <w:sz w:val="16"/>
        </w:rPr>
        <w:t>Evidence:</w:t>
      </w:r>
      <w:r>
        <w:rPr>
          <w:spacing w:val="-5"/>
          <w:sz w:val="16"/>
        </w:rPr>
        <w:t> </w:t>
      </w:r>
      <w:r>
        <w:rPr>
          <w:rFonts w:ascii="Arial"/>
          <w:b/>
          <w:sz w:val="16"/>
        </w:rPr>
        <w:t>saved</w:t>
      </w:r>
      <w:r>
        <w:rPr>
          <w:rFonts w:ascii="Arial"/>
          <w:b/>
          <w:spacing w:val="-5"/>
          <w:sz w:val="16"/>
        </w:rPr>
        <w:t> </w:t>
      </w:r>
      <w:r>
        <w:rPr>
          <w:rFonts w:ascii="Arial"/>
          <w:b/>
          <w:sz w:val="16"/>
        </w:rPr>
        <w:t>PASS</w:t>
      </w:r>
      <w:r>
        <w:rPr>
          <w:rFonts w:ascii="Arial"/>
          <w:b/>
          <w:spacing w:val="-5"/>
          <w:sz w:val="16"/>
        </w:rPr>
        <w:t> </w:t>
      </w:r>
      <w:r>
        <w:rPr>
          <w:rFonts w:ascii="Arial"/>
          <w:b/>
          <w:sz w:val="16"/>
        </w:rPr>
        <w:t>results</w:t>
      </w:r>
      <w:r>
        <w:rPr>
          <w:rFonts w:ascii="Arial"/>
          <w:b/>
          <w:spacing w:val="-5"/>
          <w:sz w:val="16"/>
        </w:rPr>
        <w:t> </w:t>
      </w:r>
      <w:r>
        <w:rPr>
          <w:rFonts w:ascii="Arial"/>
          <w:b/>
          <w:sz w:val="16"/>
        </w:rPr>
        <w:t>in</w:t>
      </w:r>
      <w:r>
        <w:rPr>
          <w:rFonts w:ascii="Arial"/>
          <w:b/>
          <w:spacing w:val="-5"/>
          <w:sz w:val="16"/>
        </w:rPr>
        <w:t> </w:t>
      </w:r>
      <w:r>
        <w:rPr>
          <w:sz w:val="16"/>
        </w:rPr>
        <w:t>Group005_solution.ipynb;</w:t>
      </w:r>
      <w:r>
        <w:rPr>
          <w:spacing w:val="-5"/>
          <w:sz w:val="16"/>
        </w:rPr>
        <w:t> </w:t>
      </w:r>
      <w:r>
        <w:rPr>
          <w:sz w:val="16"/>
        </w:rPr>
        <w:t>mapping</w:t>
      </w:r>
      <w:r>
        <w:rPr>
          <w:spacing w:val="-5"/>
          <w:sz w:val="16"/>
        </w:rPr>
        <w:t> </w:t>
      </w:r>
      <w:r>
        <w:rPr>
          <w:sz w:val="16"/>
        </w:rPr>
        <w:t>IDs</w:t>
      </w:r>
      <w:r>
        <w:rPr>
          <w:spacing w:val="-5"/>
          <w:sz w:val="16"/>
        </w:rPr>
        <w:t> </w:t>
      </w:r>
      <w:r>
        <w:rPr>
          <w:sz w:val="16"/>
        </w:rPr>
        <w:t>follow</w:t>
      </w:r>
      <w:r>
        <w:rPr>
          <w:spacing w:val="-5"/>
          <w:sz w:val="16"/>
        </w:rPr>
        <w:t> </w:t>
      </w:r>
      <w:r>
        <w:rPr>
          <w:sz w:val="16"/>
        </w:rPr>
        <w:t>its</w:t>
      </w:r>
      <w:r>
        <w:rPr>
          <w:spacing w:val="-5"/>
          <w:sz w:val="16"/>
        </w:rPr>
        <w:t> </w:t>
      </w:r>
      <w:r>
        <w:rPr>
          <w:sz w:val="16"/>
        </w:rPr>
        <w:t>successful</w:t>
      </w:r>
      <w:r>
        <w:rPr>
          <w:spacing w:val="-5"/>
          <w:sz w:val="16"/>
        </w:rPr>
        <w:t> </w:t>
      </w:r>
      <w:r>
        <w:rPr>
          <w:sz w:val="16"/>
        </w:rPr>
        <w:t>T1-M1</w:t>
      </w:r>
      <w:r>
        <w:rPr>
          <w:spacing w:val="-5"/>
          <w:sz w:val="16"/>
        </w:rPr>
        <w:t> </w:t>
      </w:r>
      <w:r>
        <w:rPr>
          <w:sz w:val="16"/>
        </w:rPr>
        <w:t>audit.</w:t>
      </w:r>
      <w:r>
        <w:rPr>
          <w:spacing w:val="-5"/>
          <w:sz w:val="16"/>
        </w:rPr>
        <w:t> </w:t>
      </w:r>
      <w:r>
        <w:rPr>
          <w:sz w:val="16"/>
        </w:rPr>
        <w:t>The</w:t>
      </w:r>
      <w:r>
        <w:rPr>
          <w:spacing w:val="-5"/>
          <w:sz w:val="16"/>
        </w:rPr>
        <w:t> </w:t>
      </w:r>
      <w:r>
        <w:rPr>
          <w:sz w:val="16"/>
        </w:rPr>
        <w:t>full</w:t>
      </w:r>
      <w:r>
        <w:rPr>
          <w:spacing w:val="-5"/>
          <w:sz w:val="16"/>
        </w:rPr>
        <w:t> </w:t>
      </w:r>
      <w:r>
        <w:rPr>
          <w:sz w:val="16"/>
        </w:rPr>
        <w:t>pipeline</w:t>
      </w:r>
      <w:r>
        <w:rPr>
          <w:spacing w:val="-5"/>
          <w:sz w:val="16"/>
        </w:rPr>
        <w:t> </w:t>
      </w:r>
      <w:r>
        <w:rPr>
          <w:sz w:val="16"/>
        </w:rPr>
        <w:t>was</w:t>
      </w:r>
      <w:r>
        <w:rPr>
          <w:spacing w:val="-5"/>
          <w:sz w:val="16"/>
        </w:rPr>
        <w:t> </w:t>
      </w:r>
      <w:r>
        <w:rPr>
          <w:sz w:val="16"/>
        </w:rPr>
        <w:t>not</w:t>
      </w:r>
      <w:r>
        <w:rPr>
          <w:spacing w:val="-5"/>
          <w:sz w:val="16"/>
        </w:rPr>
        <w:t> </w:t>
      </w:r>
      <w:r>
        <w:rPr>
          <w:sz w:val="16"/>
        </w:rPr>
        <w:t>rerun</w:t>
      </w:r>
      <w:r>
        <w:rPr>
          <w:spacing w:val="-5"/>
          <w:sz w:val="16"/>
        </w:rPr>
        <w:t> </w:t>
      </w:r>
      <w:r>
        <w:rPr>
          <w:sz w:val="16"/>
        </w:rPr>
        <w:t>for this summary.</w:t>
      </w:r>
    </w:p>
    <w:p>
      <w:pPr>
        <w:pStyle w:val="BodyText"/>
        <w:spacing w:before="9"/>
        <w:rPr>
          <w:sz w:val="5"/>
        </w:rPr>
      </w:pPr>
    </w:p>
    <w:tbl>
      <w:tblPr>
        <w:tblW w:w="0" w:type="auto"/>
        <w:jc w:val="left"/>
        <w:tblInd w:w="17" w:type="dxa"/>
        <w:tblBorders>
          <w:top w:val="single" w:sz="4" w:space="0" w:color="C6D1DB"/>
          <w:left w:val="single" w:sz="4" w:space="0" w:color="C6D1DB"/>
          <w:bottom w:val="single" w:sz="4" w:space="0" w:color="C6D1DB"/>
          <w:right w:val="single" w:sz="4" w:space="0" w:color="C6D1DB"/>
          <w:insideH w:val="single" w:sz="4" w:space="0" w:color="C6D1DB"/>
          <w:insideV w:val="single" w:sz="4" w:space="0" w:color="C6D1DB"/>
        </w:tblBorders>
        <w:tblLayout w:type="fixed"/>
        <w:tblCellMar>
          <w:top w:w="0" w:type="dxa"/>
          <w:left w:w="0" w:type="dxa"/>
          <w:bottom w:w="0" w:type="dxa"/>
          <w:right w:w="0" w:type="dxa"/>
        </w:tblCellMar>
        <w:tblLook w:val="01E0"/>
      </w:tblPr>
      <w:tblGrid>
        <w:gridCol w:w="4806"/>
        <w:gridCol w:w="5207"/>
      </w:tblGrid>
      <w:tr>
        <w:trPr>
          <w:trHeight w:val="343" w:hRule="atLeast"/>
        </w:trPr>
        <w:tc>
          <w:tcPr>
            <w:tcW w:w="4806" w:type="dxa"/>
            <w:shd w:val="clear" w:color="auto" w:fill="E8EFF4"/>
          </w:tcPr>
          <w:p>
            <w:pPr>
              <w:pStyle w:val="TableParagraph"/>
              <w:spacing w:before="83"/>
              <w:rPr>
                <w:sz w:val="16"/>
              </w:rPr>
            </w:pPr>
            <w:r>
              <w:rPr>
                <w:sz w:val="16"/>
              </w:rPr>
              <w:t>Validation</w:t>
            </w:r>
            <w:r>
              <w:rPr>
                <w:spacing w:val="-6"/>
                <w:sz w:val="16"/>
              </w:rPr>
              <w:t> </w:t>
            </w:r>
            <w:r>
              <w:rPr>
                <w:sz w:val="16"/>
              </w:rPr>
              <w:t>evidence</w:t>
            </w:r>
            <w:r>
              <w:rPr>
                <w:spacing w:val="-6"/>
                <w:sz w:val="16"/>
              </w:rPr>
              <w:t> </w:t>
            </w:r>
            <w:r>
              <w:rPr>
                <w:sz w:val="16"/>
              </w:rPr>
              <w:t>/</w:t>
            </w:r>
            <w:r>
              <w:rPr>
                <w:spacing w:val="-5"/>
                <w:sz w:val="16"/>
              </w:rPr>
              <w:t> </w:t>
            </w:r>
            <w:r>
              <w:rPr>
                <w:sz w:val="16"/>
              </w:rPr>
              <w:t>stable</w:t>
            </w:r>
            <w:r>
              <w:rPr>
                <w:spacing w:val="-6"/>
                <w:sz w:val="16"/>
              </w:rPr>
              <w:t> </w:t>
            </w:r>
            <w:r>
              <w:rPr>
                <w:spacing w:val="-5"/>
                <w:sz w:val="16"/>
              </w:rPr>
              <w:t>IDs</w:t>
            </w:r>
          </w:p>
        </w:tc>
        <w:tc>
          <w:tcPr>
            <w:tcW w:w="5207" w:type="dxa"/>
            <w:shd w:val="clear" w:color="auto" w:fill="E8EFF4"/>
          </w:tcPr>
          <w:p>
            <w:pPr>
              <w:pStyle w:val="TableParagraph"/>
              <w:spacing w:before="83"/>
              <w:rPr>
                <w:sz w:val="16"/>
              </w:rPr>
            </w:pPr>
            <w:r>
              <w:rPr>
                <w:sz w:val="16"/>
              </w:rPr>
              <w:t>Observed</w:t>
            </w:r>
            <w:r>
              <w:rPr>
                <w:spacing w:val="-7"/>
                <w:sz w:val="16"/>
              </w:rPr>
              <w:t> </w:t>
            </w:r>
            <w:r>
              <w:rPr>
                <w:sz w:val="16"/>
              </w:rPr>
              <w:t>result</w:t>
            </w:r>
            <w:r>
              <w:rPr>
                <w:spacing w:val="-6"/>
                <w:sz w:val="16"/>
              </w:rPr>
              <w:t> </w:t>
            </w:r>
            <w:r>
              <w:rPr>
                <w:sz w:val="16"/>
              </w:rPr>
              <w:t>and</w:t>
            </w:r>
            <w:r>
              <w:rPr>
                <w:spacing w:val="-6"/>
                <w:sz w:val="16"/>
              </w:rPr>
              <w:t> </w:t>
            </w:r>
            <w:r>
              <w:rPr>
                <w:sz w:val="16"/>
              </w:rPr>
              <w:t>analytical</w:t>
            </w:r>
            <w:r>
              <w:rPr>
                <w:spacing w:val="-6"/>
                <w:sz w:val="16"/>
              </w:rPr>
              <w:t> </w:t>
            </w:r>
            <w:r>
              <w:rPr>
                <w:spacing w:val="-2"/>
                <w:sz w:val="16"/>
              </w:rPr>
              <w:t>consequence</w:t>
            </w:r>
          </w:p>
        </w:tc>
      </w:tr>
      <w:tr>
        <w:trPr>
          <w:trHeight w:val="933" w:hRule="atLeast"/>
        </w:trPr>
        <w:tc>
          <w:tcPr>
            <w:tcW w:w="4806" w:type="dxa"/>
          </w:tcPr>
          <w:p>
            <w:pPr>
              <w:pStyle w:val="TableParagraph"/>
              <w:spacing w:line="256" w:lineRule="auto" w:before="83"/>
              <w:ind w:right="1016"/>
              <w:rPr>
                <w:sz w:val="16"/>
              </w:rPr>
            </w:pPr>
            <w:r>
              <w:rPr>
                <w:rFonts w:ascii="Arial"/>
                <w:b/>
                <w:sz w:val="16"/>
              </w:rPr>
              <w:t>Entity and relationship integrity: </w:t>
            </w:r>
            <w:r>
              <w:rPr>
                <w:sz w:val="16"/>
              </w:rPr>
              <w:t>VAL-PK-orders, </w:t>
            </w:r>
            <w:r>
              <w:rPr>
                <w:spacing w:val="-2"/>
                <w:sz w:val="16"/>
              </w:rPr>
              <w:t>VAL-PK-order_items,</w:t>
            </w:r>
            <w:r>
              <w:rPr>
                <w:spacing w:val="44"/>
                <w:sz w:val="16"/>
              </w:rPr>
              <w:t> </w:t>
            </w:r>
            <w:r>
              <w:rPr>
                <w:spacing w:val="-2"/>
                <w:sz w:val="16"/>
              </w:rPr>
              <w:t>VAL-FK-order_items-</w:t>
            </w:r>
            <w:r>
              <w:rPr>
                <w:spacing w:val="-2"/>
                <w:sz w:val="16"/>
              </w:rPr>
              <w:t>order_id,</w:t>
            </w:r>
          </w:p>
          <w:p>
            <w:pPr>
              <w:pStyle w:val="TableParagraph"/>
              <w:spacing w:line="256" w:lineRule="auto" w:before="0"/>
              <w:ind w:right="237"/>
              <w:rPr>
                <w:sz w:val="16"/>
              </w:rPr>
            </w:pPr>
            <w:r>
              <w:rPr>
                <w:spacing w:val="-2"/>
                <w:sz w:val="16"/>
              </w:rPr>
              <w:t>VAL-FK-product_reviews-order_item_id (representative </w:t>
            </w:r>
            <w:r>
              <w:rPr>
                <w:spacing w:val="-2"/>
                <w:sz w:val="16"/>
              </w:rPr>
              <w:t>checks </w:t>
            </w:r>
            <w:r>
              <w:rPr>
                <w:sz w:val="16"/>
              </w:rPr>
              <w:t>from the six PK/eight FK checks).</w:t>
            </w:r>
          </w:p>
        </w:tc>
        <w:tc>
          <w:tcPr>
            <w:tcW w:w="5207" w:type="dxa"/>
          </w:tcPr>
          <w:p>
            <w:pPr>
              <w:pStyle w:val="TableParagraph"/>
              <w:spacing w:line="256" w:lineRule="auto" w:before="83"/>
              <w:rPr>
                <w:sz w:val="16"/>
              </w:rPr>
            </w:pPr>
            <w:r>
              <w:rPr>
                <w:sz w:val="16"/>
              </w:rPr>
              <w:t>All six primary keys are complete and unique; all eight required FK checks</w:t>
            </w:r>
            <w:r>
              <w:rPr>
                <w:spacing w:val="-7"/>
                <w:sz w:val="16"/>
              </w:rPr>
              <w:t> </w:t>
            </w:r>
            <w:r>
              <w:rPr>
                <w:sz w:val="16"/>
              </w:rPr>
              <w:t>report</w:t>
            </w:r>
            <w:r>
              <w:rPr>
                <w:spacing w:val="-7"/>
                <w:sz w:val="16"/>
              </w:rPr>
              <w:t> </w:t>
            </w:r>
            <w:r>
              <w:rPr>
                <w:sz w:val="16"/>
              </w:rPr>
              <w:t>zero</w:t>
            </w:r>
            <w:r>
              <w:rPr>
                <w:spacing w:val="-7"/>
                <w:sz w:val="16"/>
              </w:rPr>
              <w:t> </w:t>
            </w:r>
            <w:r>
              <w:rPr>
                <w:sz w:val="16"/>
              </w:rPr>
              <w:t>missing</w:t>
            </w:r>
            <w:r>
              <w:rPr>
                <w:spacing w:val="-7"/>
                <w:sz w:val="16"/>
              </w:rPr>
              <w:t> </w:t>
            </w:r>
            <w:r>
              <w:rPr>
                <w:sz w:val="16"/>
              </w:rPr>
              <w:t>or</w:t>
            </w:r>
            <w:r>
              <w:rPr>
                <w:spacing w:val="-7"/>
                <w:sz w:val="16"/>
              </w:rPr>
              <w:t> </w:t>
            </w:r>
            <w:r>
              <w:rPr>
                <w:sz w:val="16"/>
              </w:rPr>
              <w:t>unmatched</w:t>
            </w:r>
            <w:r>
              <w:rPr>
                <w:spacing w:val="-7"/>
                <w:sz w:val="16"/>
              </w:rPr>
              <w:t> </w:t>
            </w:r>
            <w:r>
              <w:rPr>
                <w:sz w:val="16"/>
              </w:rPr>
              <w:t>keys.</w:t>
            </w:r>
            <w:r>
              <w:rPr>
                <w:spacing w:val="-7"/>
                <w:sz w:val="16"/>
              </w:rPr>
              <w:t> </w:t>
            </w:r>
            <w:r>
              <w:rPr>
                <w:sz w:val="16"/>
              </w:rPr>
              <w:t>Parent</w:t>
            </w:r>
            <w:r>
              <w:rPr>
                <w:spacing w:val="-7"/>
                <w:sz w:val="16"/>
              </w:rPr>
              <w:t> </w:t>
            </w:r>
            <w:r>
              <w:rPr>
                <w:sz w:val="16"/>
              </w:rPr>
              <w:t>linkage</w:t>
            </w:r>
            <w:r>
              <w:rPr>
                <w:spacing w:val="-7"/>
                <w:sz w:val="16"/>
              </w:rPr>
              <w:t> </w:t>
            </w:r>
            <w:r>
              <w:rPr>
                <w:sz w:val="16"/>
              </w:rPr>
              <w:t>is</w:t>
            </w:r>
            <w:r>
              <w:rPr>
                <w:spacing w:val="-7"/>
                <w:sz w:val="16"/>
              </w:rPr>
              <w:t> </w:t>
            </w:r>
            <w:r>
              <w:rPr>
                <w:sz w:val="16"/>
              </w:rPr>
              <w:t>valid; join cardinality remains a separate check.</w:t>
            </w:r>
          </w:p>
        </w:tc>
      </w:tr>
      <w:tr>
        <w:trPr>
          <w:trHeight w:val="933" w:hRule="atLeast"/>
        </w:trPr>
        <w:tc>
          <w:tcPr>
            <w:tcW w:w="4806" w:type="dxa"/>
          </w:tcPr>
          <w:p>
            <w:pPr>
              <w:pStyle w:val="TableParagraph"/>
              <w:spacing w:line="256" w:lineRule="auto" w:before="83"/>
              <w:ind w:right="1476"/>
              <w:rPr>
                <w:sz w:val="16"/>
              </w:rPr>
            </w:pPr>
            <w:r>
              <w:rPr>
                <w:rFonts w:ascii="Arial"/>
                <w:b/>
                <w:sz w:val="16"/>
              </w:rPr>
              <w:t>Source reconciliation: </w:t>
            </w:r>
            <w:r>
              <w:rPr>
                <w:sz w:val="16"/>
              </w:rPr>
              <w:t>VAL-FLOW-orders, </w:t>
            </w:r>
            <w:r>
              <w:rPr>
                <w:spacing w:val="-2"/>
                <w:sz w:val="16"/>
              </w:rPr>
              <w:t>VAL-FLOW-order_items, VAL-CONFLICT-</w:t>
            </w:r>
            <w:r>
              <w:rPr>
                <w:spacing w:val="-2"/>
                <w:sz w:val="16"/>
              </w:rPr>
              <w:t>01.</w:t>
            </w:r>
          </w:p>
        </w:tc>
        <w:tc>
          <w:tcPr>
            <w:tcW w:w="5207" w:type="dxa"/>
          </w:tcPr>
          <w:p>
            <w:pPr>
              <w:pStyle w:val="TableParagraph"/>
              <w:spacing w:before="83"/>
              <w:rPr>
                <w:sz w:val="16"/>
              </w:rPr>
            </w:pPr>
            <w:r>
              <w:rPr>
                <w:sz w:val="16"/>
              </w:rPr>
              <w:t>Orders:</w:t>
            </w:r>
            <w:r>
              <w:rPr>
                <w:spacing w:val="-9"/>
                <w:sz w:val="16"/>
              </w:rPr>
              <w:t> </w:t>
            </w:r>
            <w:r>
              <w:rPr>
                <w:sz w:val="16"/>
              </w:rPr>
              <w:t>2,750</w:t>
            </w:r>
            <w:r>
              <w:rPr>
                <w:spacing w:val="-10"/>
                <w:sz w:val="16"/>
              </w:rPr>
              <w:t> </w:t>
            </w:r>
            <w:r>
              <w:rPr>
                <w:sz w:val="16"/>
              </w:rPr>
              <w:t>JSON</w:t>
            </w:r>
            <w:r>
              <w:rPr>
                <w:spacing w:val="-9"/>
                <w:sz w:val="16"/>
              </w:rPr>
              <w:t> </w:t>
            </w:r>
            <w:r>
              <w:rPr>
                <w:sz w:val="16"/>
              </w:rPr>
              <w:t>keys</w:t>
            </w:r>
            <w:r>
              <w:rPr>
                <w:spacing w:val="-9"/>
                <w:sz w:val="16"/>
              </w:rPr>
              <w:t> </w:t>
            </w:r>
            <w:r>
              <w:rPr>
                <w:sz w:val="16"/>
              </w:rPr>
              <w:t>+</w:t>
            </w:r>
            <w:r>
              <w:rPr>
                <w:spacing w:val="-9"/>
                <w:sz w:val="16"/>
              </w:rPr>
              <w:t> </w:t>
            </w:r>
            <w:r>
              <w:rPr>
                <w:sz w:val="16"/>
              </w:rPr>
              <w:t>2,750</w:t>
            </w:r>
            <w:r>
              <w:rPr>
                <w:spacing w:val="-9"/>
                <w:sz w:val="16"/>
              </w:rPr>
              <w:t> </w:t>
            </w:r>
            <w:r>
              <w:rPr>
                <w:sz w:val="16"/>
              </w:rPr>
              <w:t>XML</w:t>
            </w:r>
            <w:r>
              <w:rPr>
                <w:spacing w:val="-9"/>
                <w:sz w:val="16"/>
              </w:rPr>
              <w:t> </w:t>
            </w:r>
            <w:r>
              <w:rPr>
                <w:sz w:val="16"/>
              </w:rPr>
              <w:t>keys</w:t>
            </w:r>
            <w:r>
              <w:rPr>
                <w:spacing w:val="-9"/>
                <w:sz w:val="16"/>
              </w:rPr>
              <w:t> </w:t>
            </w:r>
            <w:r>
              <w:rPr>
                <w:w w:val="95"/>
                <w:sz w:val="16"/>
              </w:rPr>
              <w:t>−</w:t>
            </w:r>
            <w:r>
              <w:rPr>
                <w:spacing w:val="-6"/>
                <w:w w:val="95"/>
                <w:sz w:val="16"/>
              </w:rPr>
              <w:t> </w:t>
            </w:r>
            <w:r>
              <w:rPr>
                <w:sz w:val="16"/>
              </w:rPr>
              <w:t>500</w:t>
            </w:r>
            <w:r>
              <w:rPr>
                <w:spacing w:val="-9"/>
                <w:sz w:val="16"/>
              </w:rPr>
              <w:t> </w:t>
            </w:r>
            <w:r>
              <w:rPr>
                <w:sz w:val="16"/>
              </w:rPr>
              <w:t>shared</w:t>
            </w:r>
            <w:r>
              <w:rPr>
                <w:spacing w:val="-9"/>
                <w:sz w:val="16"/>
              </w:rPr>
              <w:t> </w:t>
            </w:r>
            <w:r>
              <w:rPr>
                <w:sz w:val="16"/>
              </w:rPr>
              <w:t>=</w:t>
            </w:r>
            <w:r>
              <w:rPr>
                <w:spacing w:val="-9"/>
                <w:sz w:val="16"/>
              </w:rPr>
              <w:t> </w:t>
            </w:r>
            <w:r>
              <w:rPr>
                <w:rFonts w:ascii="Arial" w:hAnsi="Arial"/>
                <w:b/>
                <w:spacing w:val="-2"/>
                <w:sz w:val="16"/>
              </w:rPr>
              <w:t>5,000</w:t>
            </w:r>
            <w:r>
              <w:rPr>
                <w:spacing w:val="-2"/>
                <w:sz w:val="16"/>
              </w:rPr>
              <w:t>.</w:t>
            </w:r>
          </w:p>
          <w:p>
            <w:pPr>
              <w:pStyle w:val="TableParagraph"/>
              <w:spacing w:line="256" w:lineRule="auto" w:before="12"/>
              <w:ind w:right="159"/>
              <w:rPr>
                <w:sz w:val="16"/>
              </w:rPr>
            </w:pPr>
            <w:r>
              <w:rPr>
                <w:sz w:val="16"/>
              </w:rPr>
              <w:t>Items:</w:t>
            </w:r>
            <w:r>
              <w:rPr>
                <w:spacing w:val="-11"/>
                <w:sz w:val="16"/>
              </w:rPr>
              <w:t> </w:t>
            </w:r>
            <w:r>
              <w:rPr>
                <w:sz w:val="16"/>
              </w:rPr>
              <w:t>8,723</w:t>
            </w:r>
            <w:r>
              <w:rPr>
                <w:spacing w:val="-11"/>
                <w:sz w:val="16"/>
              </w:rPr>
              <w:t> </w:t>
            </w:r>
            <w:r>
              <w:rPr>
                <w:sz w:val="16"/>
              </w:rPr>
              <w:t>+</w:t>
            </w:r>
            <w:r>
              <w:rPr>
                <w:spacing w:val="-11"/>
                <w:sz w:val="16"/>
              </w:rPr>
              <w:t> </w:t>
            </w:r>
            <w:r>
              <w:rPr>
                <w:sz w:val="16"/>
              </w:rPr>
              <w:t>8,618</w:t>
            </w:r>
            <w:r>
              <w:rPr>
                <w:spacing w:val="-11"/>
                <w:sz w:val="16"/>
              </w:rPr>
              <w:t> </w:t>
            </w:r>
            <w:r>
              <w:rPr>
                <w:w w:val="95"/>
                <w:sz w:val="16"/>
              </w:rPr>
              <w:t>−</w:t>
            </w:r>
            <w:r>
              <w:rPr>
                <w:spacing w:val="-9"/>
                <w:w w:val="95"/>
                <w:sz w:val="16"/>
              </w:rPr>
              <w:t> </w:t>
            </w:r>
            <w:r>
              <w:rPr>
                <w:sz w:val="16"/>
              </w:rPr>
              <w:t>1,602</w:t>
            </w:r>
            <w:r>
              <w:rPr>
                <w:spacing w:val="-11"/>
                <w:sz w:val="16"/>
              </w:rPr>
              <w:t> </w:t>
            </w:r>
            <w:r>
              <w:rPr>
                <w:sz w:val="16"/>
              </w:rPr>
              <w:t>=</w:t>
            </w:r>
            <w:r>
              <w:rPr>
                <w:spacing w:val="-11"/>
                <w:sz w:val="16"/>
              </w:rPr>
              <w:t> </w:t>
            </w:r>
            <w:r>
              <w:rPr>
                <w:rFonts w:ascii="Arial" w:hAnsi="Arial"/>
                <w:b/>
                <w:sz w:val="16"/>
              </w:rPr>
              <w:t>15,739</w:t>
            </w:r>
            <w:r>
              <w:rPr>
                <w:sz w:val="16"/>
              </w:rPr>
              <w:t>.</w:t>
            </w:r>
            <w:r>
              <w:rPr>
                <w:spacing w:val="-11"/>
                <w:sz w:val="16"/>
              </w:rPr>
              <w:t> </w:t>
            </w:r>
            <w:r>
              <w:rPr>
                <w:rFonts w:ascii="Arial" w:hAnsi="Arial"/>
                <w:b/>
                <w:sz w:val="16"/>
              </w:rPr>
              <w:t>Zero</w:t>
            </w:r>
            <w:r>
              <w:rPr>
                <w:rFonts w:ascii="Arial" w:hAnsi="Arial"/>
                <w:b/>
                <w:spacing w:val="-11"/>
                <w:sz w:val="16"/>
              </w:rPr>
              <w:t> </w:t>
            </w:r>
            <w:r>
              <w:rPr>
                <w:rFonts w:ascii="Arial" w:hAnsi="Arial"/>
                <w:b/>
                <w:sz w:val="16"/>
              </w:rPr>
              <w:t>field</w:t>
            </w:r>
            <w:r>
              <w:rPr>
                <w:rFonts w:ascii="Arial" w:hAnsi="Arial"/>
                <w:b/>
                <w:spacing w:val="-11"/>
                <w:sz w:val="16"/>
              </w:rPr>
              <w:t> </w:t>
            </w:r>
            <w:r>
              <w:rPr>
                <w:rFonts w:ascii="Arial" w:hAnsi="Arial"/>
                <w:b/>
                <w:sz w:val="16"/>
              </w:rPr>
              <w:t>conflicts</w:t>
            </w:r>
            <w:r>
              <w:rPr>
                <w:rFonts w:ascii="Arial" w:hAnsi="Arial"/>
                <w:b/>
                <w:spacing w:val="-11"/>
                <w:sz w:val="16"/>
              </w:rPr>
              <w:t> </w:t>
            </w:r>
            <w:r>
              <w:rPr>
                <w:sz w:val="16"/>
              </w:rPr>
              <w:t>after normalisation; observed source keys survive without duplicate </w:t>
            </w:r>
            <w:r>
              <w:rPr>
                <w:spacing w:val="-2"/>
                <w:sz w:val="16"/>
              </w:rPr>
              <w:t>counting.</w:t>
            </w:r>
          </w:p>
        </w:tc>
      </w:tr>
      <w:tr>
        <w:trPr>
          <w:trHeight w:val="933" w:hRule="atLeast"/>
        </w:trPr>
        <w:tc>
          <w:tcPr>
            <w:tcW w:w="4806" w:type="dxa"/>
          </w:tcPr>
          <w:p>
            <w:pPr>
              <w:pStyle w:val="TableParagraph"/>
              <w:spacing w:before="83"/>
              <w:rPr>
                <w:sz w:val="16"/>
              </w:rPr>
            </w:pPr>
            <w:r>
              <w:rPr>
                <w:rFonts w:ascii="Arial" w:hAnsi="Arial"/>
                <w:b/>
                <w:spacing w:val="-2"/>
                <w:sz w:val="16"/>
              </w:rPr>
              <w:t>Monetary</w:t>
            </w:r>
            <w:r>
              <w:rPr>
                <w:rFonts w:ascii="Arial" w:hAnsi="Arial"/>
                <w:b/>
                <w:spacing w:val="25"/>
                <w:sz w:val="16"/>
              </w:rPr>
              <w:t> </w:t>
            </w:r>
            <w:r>
              <w:rPr>
                <w:rFonts w:ascii="Arial" w:hAnsi="Arial"/>
                <w:b/>
                <w:spacing w:val="-2"/>
                <w:sz w:val="16"/>
              </w:rPr>
              <w:t>reconstruction:</w:t>
            </w:r>
            <w:r>
              <w:rPr>
                <w:rFonts w:ascii="Arial" w:hAnsi="Arial"/>
                <w:b/>
                <w:spacing w:val="25"/>
                <w:sz w:val="16"/>
              </w:rPr>
              <w:t> </w:t>
            </w:r>
            <w:r>
              <w:rPr>
                <w:spacing w:val="-2"/>
                <w:sz w:val="16"/>
              </w:rPr>
              <w:t>VAL-ARITH-01–VAL-ARITH-</w:t>
            </w:r>
            <w:r>
              <w:rPr>
                <w:spacing w:val="-5"/>
                <w:sz w:val="16"/>
              </w:rPr>
              <w:t>05.</w:t>
            </w:r>
          </w:p>
        </w:tc>
        <w:tc>
          <w:tcPr>
            <w:tcW w:w="5207" w:type="dxa"/>
          </w:tcPr>
          <w:p>
            <w:pPr>
              <w:pStyle w:val="TableParagraph"/>
              <w:spacing w:line="256" w:lineRule="auto" w:before="83"/>
              <w:ind w:right="159"/>
              <w:rPr>
                <w:sz w:val="16"/>
              </w:rPr>
            </w:pPr>
            <w:r>
              <w:rPr>
                <w:sz w:val="16"/>
              </w:rPr>
              <w:t>Line, gross-order, included-tax and paid-total checks report </w:t>
            </w:r>
            <w:r>
              <w:rPr>
                <w:rFonts w:ascii="Arial"/>
                <w:b/>
                <w:sz w:val="16"/>
              </w:rPr>
              <w:t>zero maximum absolute difference </w:t>
            </w:r>
            <w:r>
              <w:rPr>
                <w:sz w:val="16"/>
              </w:rPr>
              <w:t>at AUD 0.01 tolerance; all 5,000 orders</w:t>
            </w:r>
            <w:r>
              <w:rPr>
                <w:spacing w:val="-9"/>
                <w:sz w:val="16"/>
              </w:rPr>
              <w:t> </w:t>
            </w:r>
            <w:r>
              <w:rPr>
                <w:sz w:val="16"/>
              </w:rPr>
              <w:t>reconcile,</w:t>
            </w:r>
            <w:r>
              <w:rPr>
                <w:spacing w:val="-9"/>
                <w:sz w:val="16"/>
              </w:rPr>
              <w:t> </w:t>
            </w:r>
            <w:r>
              <w:rPr>
                <w:sz w:val="16"/>
              </w:rPr>
              <w:t>and</w:t>
            </w:r>
            <w:r>
              <w:rPr>
                <w:spacing w:val="-9"/>
                <w:sz w:val="16"/>
              </w:rPr>
              <w:t> </w:t>
            </w:r>
            <w:r>
              <w:rPr>
                <w:sz w:val="16"/>
              </w:rPr>
              <w:t>none</w:t>
            </w:r>
            <w:r>
              <w:rPr>
                <w:spacing w:val="-9"/>
                <w:sz w:val="16"/>
              </w:rPr>
              <w:t> </w:t>
            </w:r>
            <w:r>
              <w:rPr>
                <w:sz w:val="16"/>
              </w:rPr>
              <w:t>matches</w:t>
            </w:r>
            <w:r>
              <w:rPr>
                <w:spacing w:val="-9"/>
                <w:sz w:val="16"/>
              </w:rPr>
              <w:t> </w:t>
            </w:r>
            <w:r>
              <w:rPr>
                <w:sz w:val="16"/>
              </w:rPr>
              <w:t>the</w:t>
            </w:r>
            <w:r>
              <w:rPr>
                <w:spacing w:val="-9"/>
                <w:sz w:val="16"/>
              </w:rPr>
              <w:t> </w:t>
            </w:r>
            <w:r>
              <w:rPr>
                <w:sz w:val="16"/>
              </w:rPr>
              <w:t>incorrect</w:t>
            </w:r>
            <w:r>
              <w:rPr>
                <w:spacing w:val="-9"/>
                <w:sz w:val="16"/>
              </w:rPr>
              <w:t> </w:t>
            </w:r>
            <w:r>
              <w:rPr>
                <w:sz w:val="16"/>
              </w:rPr>
              <w:t>tax-added-</w:t>
            </w:r>
            <w:r>
              <w:rPr>
                <w:sz w:val="16"/>
              </w:rPr>
              <w:t>again formula.</w:t>
            </w:r>
            <w:r>
              <w:rPr>
                <w:spacing w:val="-7"/>
                <w:sz w:val="16"/>
              </w:rPr>
              <w:t> </w:t>
            </w:r>
            <w:r>
              <w:rPr>
                <w:sz w:val="16"/>
              </w:rPr>
              <w:t>Monetary</w:t>
            </w:r>
            <w:r>
              <w:rPr>
                <w:spacing w:val="-6"/>
                <w:sz w:val="16"/>
              </w:rPr>
              <w:t> </w:t>
            </w:r>
            <w:r>
              <w:rPr>
                <w:sz w:val="16"/>
              </w:rPr>
              <w:t>identities</w:t>
            </w:r>
            <w:r>
              <w:rPr>
                <w:spacing w:val="-6"/>
                <w:sz w:val="16"/>
              </w:rPr>
              <w:t> </w:t>
            </w:r>
            <w:r>
              <w:rPr>
                <w:sz w:val="16"/>
              </w:rPr>
              <w:t>pass;</w:t>
            </w:r>
            <w:r>
              <w:rPr>
                <w:spacing w:val="-6"/>
                <w:sz w:val="16"/>
              </w:rPr>
              <w:t> </w:t>
            </w:r>
            <w:r>
              <w:rPr>
                <w:sz w:val="16"/>
              </w:rPr>
              <w:t>cost</w:t>
            </w:r>
            <w:r>
              <w:rPr>
                <w:spacing w:val="-7"/>
                <w:sz w:val="16"/>
              </w:rPr>
              <w:t> </w:t>
            </w:r>
            <w:r>
              <w:rPr>
                <w:sz w:val="16"/>
              </w:rPr>
              <w:t>completeness</w:t>
            </w:r>
            <w:r>
              <w:rPr>
                <w:spacing w:val="-6"/>
                <w:sz w:val="16"/>
              </w:rPr>
              <w:t> </w:t>
            </w:r>
            <w:r>
              <w:rPr>
                <w:sz w:val="16"/>
              </w:rPr>
              <w:t>is</w:t>
            </w:r>
            <w:r>
              <w:rPr>
                <w:spacing w:val="-6"/>
                <w:sz w:val="16"/>
              </w:rPr>
              <w:t> </w:t>
            </w:r>
            <w:r>
              <w:rPr>
                <w:spacing w:val="-2"/>
                <w:sz w:val="16"/>
              </w:rPr>
              <w:t>untested.</w:t>
            </w:r>
          </w:p>
        </w:tc>
      </w:tr>
      <w:tr>
        <w:trPr>
          <w:trHeight w:val="737" w:hRule="atLeast"/>
        </w:trPr>
        <w:tc>
          <w:tcPr>
            <w:tcW w:w="4806" w:type="dxa"/>
          </w:tcPr>
          <w:p>
            <w:pPr>
              <w:pStyle w:val="TableParagraph"/>
              <w:spacing w:before="83"/>
              <w:rPr>
                <w:sz w:val="16"/>
              </w:rPr>
            </w:pPr>
            <w:r>
              <w:rPr>
                <w:rFonts w:ascii="Arial"/>
                <w:b/>
                <w:spacing w:val="-2"/>
                <w:sz w:val="16"/>
              </w:rPr>
              <w:t>Chronology:</w:t>
            </w:r>
            <w:r>
              <w:rPr>
                <w:rFonts w:ascii="Arial"/>
                <w:b/>
                <w:spacing w:val="29"/>
                <w:sz w:val="16"/>
              </w:rPr>
              <w:t> </w:t>
            </w:r>
            <w:r>
              <w:rPr>
                <w:spacing w:val="-2"/>
                <w:sz w:val="16"/>
              </w:rPr>
              <w:t>VAL-TIME-order-dispatch,</w:t>
            </w:r>
          </w:p>
          <w:p>
            <w:pPr>
              <w:pStyle w:val="TableParagraph"/>
              <w:spacing w:line="256" w:lineRule="auto" w:before="12"/>
              <w:ind w:right="396"/>
              <w:rPr>
                <w:sz w:val="16"/>
              </w:rPr>
            </w:pPr>
            <w:r>
              <w:rPr>
                <w:spacing w:val="-2"/>
                <w:sz w:val="16"/>
              </w:rPr>
              <w:t>VAL-TIME-dispatch-promised, VAL-TIME-dispatch-</w:t>
            </w:r>
            <w:r>
              <w:rPr>
                <w:spacing w:val="-2"/>
                <w:sz w:val="16"/>
              </w:rPr>
              <w:t>delivered, VAL-TIME-delivery-review.</w:t>
            </w:r>
          </w:p>
        </w:tc>
        <w:tc>
          <w:tcPr>
            <w:tcW w:w="5207" w:type="dxa"/>
          </w:tcPr>
          <w:p>
            <w:pPr>
              <w:pStyle w:val="TableParagraph"/>
              <w:spacing w:line="256" w:lineRule="auto" w:before="83"/>
              <w:ind w:right="159"/>
              <w:rPr>
                <w:sz w:val="16"/>
              </w:rPr>
            </w:pPr>
            <w:r>
              <w:rPr>
                <w:rFonts w:ascii="Arial"/>
                <w:b/>
                <w:sz w:val="16"/>
              </w:rPr>
              <w:t>Zero violations </w:t>
            </w:r>
            <w:r>
              <w:rPr>
                <w:sz w:val="16"/>
              </w:rPr>
              <w:t>across the 5,000 delivery comparisons and 7,000 review</w:t>
            </w:r>
            <w:r>
              <w:rPr>
                <w:spacing w:val="-8"/>
                <w:sz w:val="16"/>
              </w:rPr>
              <w:t> </w:t>
            </w:r>
            <w:r>
              <w:rPr>
                <w:sz w:val="16"/>
              </w:rPr>
              <w:t>comparisons.</w:t>
            </w:r>
            <w:r>
              <w:rPr>
                <w:spacing w:val="-8"/>
                <w:sz w:val="16"/>
              </w:rPr>
              <w:t> </w:t>
            </w:r>
            <w:r>
              <w:rPr>
                <w:sz w:val="16"/>
              </w:rPr>
              <w:t>Valid</w:t>
            </w:r>
            <w:r>
              <w:rPr>
                <w:spacing w:val="-8"/>
                <w:sz w:val="16"/>
              </w:rPr>
              <w:t> </w:t>
            </w:r>
            <w:r>
              <w:rPr>
                <w:sz w:val="16"/>
              </w:rPr>
              <w:t>chronology</w:t>
            </w:r>
            <w:r>
              <w:rPr>
                <w:spacing w:val="-8"/>
                <w:sz w:val="16"/>
              </w:rPr>
              <w:t> </w:t>
            </w:r>
            <w:r>
              <w:rPr>
                <w:sz w:val="16"/>
              </w:rPr>
              <w:t>does</w:t>
            </w:r>
            <w:r>
              <w:rPr>
                <w:spacing w:val="-8"/>
                <w:sz w:val="16"/>
              </w:rPr>
              <w:t> </w:t>
            </w:r>
            <w:r>
              <w:rPr>
                <w:sz w:val="16"/>
              </w:rPr>
              <w:t>not</w:t>
            </w:r>
            <w:r>
              <w:rPr>
                <w:spacing w:val="-8"/>
                <w:sz w:val="16"/>
              </w:rPr>
              <w:t> </w:t>
            </w:r>
            <w:r>
              <w:rPr>
                <w:sz w:val="16"/>
              </w:rPr>
              <w:t>establish</w:t>
            </w:r>
            <w:r>
              <w:rPr>
                <w:spacing w:val="-8"/>
                <w:sz w:val="16"/>
              </w:rPr>
              <w:t> </w:t>
            </w:r>
            <w:r>
              <w:rPr>
                <w:sz w:val="16"/>
              </w:rPr>
              <w:t>equal</w:t>
            </w:r>
            <w:r>
              <w:rPr>
                <w:spacing w:val="-8"/>
                <w:sz w:val="16"/>
              </w:rPr>
              <w:t> </w:t>
            </w:r>
            <w:r>
              <w:rPr>
                <w:sz w:val="16"/>
              </w:rPr>
              <w:t>review </w:t>
            </w:r>
            <w:r>
              <w:rPr>
                <w:spacing w:val="-2"/>
                <w:sz w:val="16"/>
              </w:rPr>
              <w:t>follow-up.</w:t>
            </w:r>
          </w:p>
        </w:tc>
      </w:tr>
      <w:tr>
        <w:trPr>
          <w:trHeight w:val="933" w:hRule="atLeast"/>
        </w:trPr>
        <w:tc>
          <w:tcPr>
            <w:tcW w:w="4806" w:type="dxa"/>
          </w:tcPr>
          <w:p>
            <w:pPr>
              <w:pStyle w:val="TableParagraph"/>
              <w:spacing w:line="256" w:lineRule="auto" w:before="83"/>
              <w:ind w:right="432"/>
              <w:rPr>
                <w:sz w:val="16"/>
              </w:rPr>
            </w:pPr>
            <w:r>
              <w:rPr>
                <w:rFonts w:ascii="Arial"/>
                <w:b/>
                <w:sz w:val="16"/>
              </w:rPr>
              <w:t>Review</w:t>
            </w:r>
            <w:r>
              <w:rPr>
                <w:rFonts w:ascii="Arial"/>
                <w:b/>
                <w:spacing w:val="-12"/>
                <w:sz w:val="16"/>
              </w:rPr>
              <w:t> </w:t>
            </w:r>
            <w:r>
              <w:rPr>
                <w:rFonts w:ascii="Arial"/>
                <w:b/>
                <w:sz w:val="16"/>
              </w:rPr>
              <w:t>measurement</w:t>
            </w:r>
            <w:r>
              <w:rPr>
                <w:rFonts w:ascii="Arial"/>
                <w:b/>
                <w:spacing w:val="-11"/>
                <w:sz w:val="16"/>
              </w:rPr>
              <w:t> </w:t>
            </w:r>
            <w:r>
              <w:rPr>
                <w:rFonts w:ascii="Arial"/>
                <w:b/>
                <w:sz w:val="16"/>
              </w:rPr>
              <w:t>and</w:t>
            </w:r>
            <w:r>
              <w:rPr>
                <w:rFonts w:ascii="Arial"/>
                <w:b/>
                <w:spacing w:val="-11"/>
                <w:sz w:val="16"/>
              </w:rPr>
              <w:t> </w:t>
            </w:r>
            <w:r>
              <w:rPr>
                <w:rFonts w:ascii="Arial"/>
                <w:b/>
                <w:sz w:val="16"/>
              </w:rPr>
              <w:t>linkage:</w:t>
            </w:r>
            <w:r>
              <w:rPr>
                <w:rFonts w:ascii="Arial"/>
                <w:b/>
                <w:spacing w:val="-11"/>
                <w:sz w:val="16"/>
              </w:rPr>
              <w:t> </w:t>
            </w:r>
            <w:r>
              <w:rPr>
                <w:sz w:val="16"/>
              </w:rPr>
              <w:t>VAL-TEXT-review-</w:t>
            </w:r>
            <w:r>
              <w:rPr>
                <w:sz w:val="16"/>
              </w:rPr>
              <w:t>sku, VAL-TEXT-review-order, VAL-TEXT-review-measures,</w:t>
            </w:r>
          </w:p>
          <w:p>
            <w:pPr>
              <w:pStyle w:val="TableParagraph"/>
              <w:spacing w:line="183" w:lineRule="exact" w:before="0"/>
              <w:rPr>
                <w:sz w:val="16"/>
              </w:rPr>
            </w:pPr>
            <w:r>
              <w:rPr>
                <w:spacing w:val="-2"/>
                <w:sz w:val="16"/>
              </w:rPr>
              <w:t>VAL-TEXT-multilingual.</w:t>
            </w:r>
          </w:p>
        </w:tc>
        <w:tc>
          <w:tcPr>
            <w:tcW w:w="5207" w:type="dxa"/>
          </w:tcPr>
          <w:p>
            <w:pPr>
              <w:pStyle w:val="TableParagraph"/>
              <w:spacing w:line="256" w:lineRule="auto" w:before="83"/>
              <w:ind w:right="42"/>
              <w:rPr>
                <w:sz w:val="16"/>
              </w:rPr>
            </w:pPr>
            <w:r>
              <w:rPr>
                <w:sz w:val="16"/>
              </w:rPr>
              <w:t>References agree for </w:t>
            </w:r>
            <w:r>
              <w:rPr>
                <w:rFonts w:ascii="Arial"/>
                <w:b/>
                <w:sz w:val="16"/>
              </w:rPr>
              <w:t>7,000 reviews</w:t>
            </w:r>
            <w:r>
              <w:rPr>
                <w:sz w:val="16"/>
              </w:rPr>
              <w:t>, and derived length/word measures pass. </w:t>
            </w:r>
            <w:r>
              <w:rPr>
                <w:rFonts w:ascii="Arial"/>
                <w:b/>
                <w:sz w:val="16"/>
              </w:rPr>
              <w:t>276 </w:t>
            </w:r>
            <w:r>
              <w:rPr>
                <w:sz w:val="16"/>
              </w:rPr>
              <w:t>cleaned reviews retain non-Latin script, with 276 matching</w:t>
            </w:r>
            <w:r>
              <w:rPr>
                <w:spacing w:val="-7"/>
                <w:sz w:val="16"/>
              </w:rPr>
              <w:t> </w:t>
            </w:r>
            <w:r>
              <w:rPr>
                <w:sz w:val="16"/>
              </w:rPr>
              <w:t>flags</w:t>
            </w:r>
            <w:r>
              <w:rPr>
                <w:spacing w:val="-7"/>
                <w:sz w:val="16"/>
              </w:rPr>
              <w:t> </w:t>
            </w:r>
            <w:r>
              <w:rPr>
                <w:sz w:val="16"/>
              </w:rPr>
              <w:t>and</w:t>
            </w:r>
            <w:r>
              <w:rPr>
                <w:spacing w:val="-7"/>
                <w:sz w:val="16"/>
              </w:rPr>
              <w:t> </w:t>
            </w:r>
            <w:r>
              <w:rPr>
                <w:sz w:val="16"/>
              </w:rPr>
              <w:t>zero</w:t>
            </w:r>
            <w:r>
              <w:rPr>
                <w:spacing w:val="-7"/>
                <w:sz w:val="16"/>
              </w:rPr>
              <w:t> </w:t>
            </w:r>
            <w:r>
              <w:rPr>
                <w:sz w:val="16"/>
              </w:rPr>
              <w:t>non-Latin</w:t>
            </w:r>
            <w:r>
              <w:rPr>
                <w:spacing w:val="-7"/>
                <w:sz w:val="16"/>
              </w:rPr>
              <w:t> </w:t>
            </w:r>
            <w:r>
              <w:rPr>
                <w:sz w:val="16"/>
              </w:rPr>
              <w:t>residue</w:t>
            </w:r>
            <w:r>
              <w:rPr>
                <w:spacing w:val="-7"/>
                <w:sz w:val="16"/>
              </w:rPr>
              <w:t> </w:t>
            </w:r>
            <w:r>
              <w:rPr>
                <w:sz w:val="16"/>
              </w:rPr>
              <w:t>in</w:t>
            </w:r>
            <w:r>
              <w:rPr>
                <w:spacing w:val="-7"/>
                <w:sz w:val="16"/>
              </w:rPr>
              <w:t> </w:t>
            </w:r>
            <w:r>
              <w:rPr>
                <w:sz w:val="16"/>
              </w:rPr>
              <w:t>the</w:t>
            </w:r>
            <w:r>
              <w:rPr>
                <w:spacing w:val="-7"/>
                <w:sz w:val="16"/>
              </w:rPr>
              <w:t> </w:t>
            </w:r>
            <w:r>
              <w:rPr>
                <w:sz w:val="16"/>
              </w:rPr>
              <w:t>separate</w:t>
            </w:r>
            <w:r>
              <w:rPr>
                <w:spacing w:val="-7"/>
                <w:sz w:val="16"/>
              </w:rPr>
              <w:t> </w:t>
            </w:r>
            <w:r>
              <w:rPr>
                <w:sz w:val="16"/>
              </w:rPr>
              <w:t>Latin</w:t>
            </w:r>
            <w:r>
              <w:rPr>
                <w:spacing w:val="-7"/>
                <w:sz w:val="16"/>
              </w:rPr>
              <w:t> </w:t>
            </w:r>
            <w:r>
              <w:rPr>
                <w:sz w:val="16"/>
              </w:rPr>
              <w:t>output. Measurement checks do not validate text semantics.</w:t>
            </w:r>
          </w:p>
        </w:tc>
      </w:tr>
      <w:tr>
        <w:trPr>
          <w:trHeight w:val="737" w:hRule="atLeast"/>
        </w:trPr>
        <w:tc>
          <w:tcPr>
            <w:tcW w:w="4806" w:type="dxa"/>
          </w:tcPr>
          <w:p>
            <w:pPr>
              <w:pStyle w:val="TableParagraph"/>
              <w:spacing w:line="256" w:lineRule="auto" w:before="83"/>
              <w:ind w:right="725"/>
              <w:rPr>
                <w:sz w:val="16"/>
              </w:rPr>
            </w:pPr>
            <w:r>
              <w:rPr>
                <w:rFonts w:ascii="Arial"/>
                <w:b/>
                <w:spacing w:val="-2"/>
                <w:sz w:val="16"/>
              </w:rPr>
              <w:t>Missing-code contract: </w:t>
            </w:r>
            <w:r>
              <w:rPr>
                <w:spacing w:val="-2"/>
                <w:sz w:val="16"/>
              </w:rPr>
              <w:t>VAL-SENTINEL-</w:t>
            </w:r>
            <w:r>
              <w:rPr>
                <w:spacing w:val="-2"/>
                <w:sz w:val="16"/>
              </w:rPr>
              <w:t>coupon_code, VAL-SENTINEL-promo_code.</w:t>
            </w:r>
          </w:p>
        </w:tc>
        <w:tc>
          <w:tcPr>
            <w:tcW w:w="5207" w:type="dxa"/>
          </w:tcPr>
          <w:p>
            <w:pPr>
              <w:pStyle w:val="TableParagraph"/>
              <w:spacing w:line="256" w:lineRule="auto" w:before="83"/>
              <w:rPr>
                <w:sz w:val="16"/>
              </w:rPr>
            </w:pPr>
            <w:r>
              <w:rPr>
                <w:sz w:val="16"/>
              </w:rPr>
              <w:t>Each field contains </w:t>
            </w:r>
            <w:r>
              <w:rPr>
                <w:rFonts w:ascii="Arial"/>
                <w:b/>
                <w:sz w:val="16"/>
              </w:rPr>
              <w:t>3,133 literal </w:t>
            </w:r>
            <w:r>
              <w:rPr>
                <w:sz w:val="16"/>
              </w:rPr>
              <w:t>NaN </w:t>
            </w:r>
            <w:r>
              <w:rPr>
                <w:rFonts w:ascii="Arial"/>
                <w:b/>
                <w:sz w:val="16"/>
              </w:rPr>
              <w:t>values</w:t>
            </w:r>
            <w:r>
              <w:rPr>
                <w:sz w:val="16"/>
              </w:rPr>
              <w:t>, with </w:t>
            </w:r>
            <w:r>
              <w:rPr>
                <w:rFonts w:ascii="Arial"/>
                <w:b/>
                <w:sz w:val="16"/>
              </w:rPr>
              <w:t>zero blanks or malformed</w:t>
            </w:r>
            <w:r>
              <w:rPr>
                <w:rFonts w:ascii="Arial"/>
                <w:b/>
                <w:spacing w:val="-8"/>
                <w:sz w:val="16"/>
              </w:rPr>
              <w:t> </w:t>
            </w:r>
            <w:r>
              <w:rPr>
                <w:rFonts w:ascii="Arial"/>
                <w:b/>
                <w:sz w:val="16"/>
              </w:rPr>
              <w:t>codes</w:t>
            </w:r>
            <w:r>
              <w:rPr>
                <w:sz w:val="16"/>
              </w:rPr>
              <w:t>.</w:t>
            </w:r>
            <w:r>
              <w:rPr>
                <w:spacing w:val="-8"/>
                <w:sz w:val="16"/>
              </w:rPr>
              <w:t> </w:t>
            </w:r>
            <w:r>
              <w:rPr>
                <w:sz w:val="16"/>
              </w:rPr>
              <w:t>Absence</w:t>
            </w:r>
            <w:r>
              <w:rPr>
                <w:spacing w:val="-8"/>
                <w:sz w:val="16"/>
              </w:rPr>
              <w:t> </w:t>
            </w:r>
            <w:r>
              <w:rPr>
                <w:sz w:val="16"/>
              </w:rPr>
              <w:t>remains</w:t>
            </w:r>
            <w:r>
              <w:rPr>
                <w:spacing w:val="-8"/>
                <w:sz w:val="16"/>
              </w:rPr>
              <w:t> </w:t>
            </w:r>
            <w:r>
              <w:rPr>
                <w:sz w:val="16"/>
              </w:rPr>
              <w:t>explicit</w:t>
            </w:r>
            <w:r>
              <w:rPr>
                <w:spacing w:val="-8"/>
                <w:sz w:val="16"/>
              </w:rPr>
              <w:t> </w:t>
            </w:r>
            <w:r>
              <w:rPr>
                <w:sz w:val="16"/>
              </w:rPr>
              <w:t>rather</w:t>
            </w:r>
            <w:r>
              <w:rPr>
                <w:spacing w:val="-8"/>
                <w:sz w:val="16"/>
              </w:rPr>
              <w:t> </w:t>
            </w:r>
            <w:r>
              <w:rPr>
                <w:sz w:val="16"/>
              </w:rPr>
              <w:t>than</w:t>
            </w:r>
            <w:r>
              <w:rPr>
                <w:spacing w:val="-8"/>
                <w:sz w:val="16"/>
              </w:rPr>
              <w:t> </w:t>
            </w:r>
            <w:r>
              <w:rPr>
                <w:sz w:val="16"/>
              </w:rPr>
              <w:t>becoming</w:t>
            </w:r>
            <w:r>
              <w:rPr>
                <w:spacing w:val="-8"/>
                <w:sz w:val="16"/>
              </w:rPr>
              <w:t> </w:t>
            </w:r>
            <w:r>
              <w:rPr>
                <w:sz w:val="16"/>
              </w:rPr>
              <w:t>an apparent promotion.</w:t>
            </w:r>
          </w:p>
        </w:tc>
      </w:tr>
    </w:tbl>
    <w:p>
      <w:pPr>
        <w:spacing w:line="256" w:lineRule="auto" w:before="104"/>
        <w:ind w:left="10" w:right="1" w:firstLine="0"/>
        <w:jc w:val="left"/>
        <w:rPr>
          <w:sz w:val="16"/>
        </w:rPr>
      </w:pPr>
      <w:r>
        <w:rPr>
          <w:rFonts w:ascii="Arial"/>
          <w:b/>
          <w:sz w:val="16"/>
        </w:rPr>
        <w:t>Boundary:</w:t>
      </w:r>
      <w:r>
        <w:rPr>
          <w:rFonts w:ascii="Arial"/>
          <w:b/>
          <w:spacing w:val="-6"/>
          <w:sz w:val="16"/>
        </w:rPr>
        <w:t> </w:t>
      </w:r>
      <w:r>
        <w:rPr>
          <w:sz w:val="16"/>
        </w:rPr>
        <w:t>valid</w:t>
      </w:r>
      <w:r>
        <w:rPr>
          <w:spacing w:val="-6"/>
          <w:sz w:val="16"/>
        </w:rPr>
        <w:t> </w:t>
      </w:r>
      <w:r>
        <w:rPr>
          <w:sz w:val="16"/>
        </w:rPr>
        <w:t>preparation</w:t>
      </w:r>
      <w:r>
        <w:rPr>
          <w:spacing w:val="-6"/>
          <w:sz w:val="16"/>
        </w:rPr>
        <w:t> </w:t>
      </w:r>
      <w:r>
        <w:rPr>
          <w:sz w:val="16"/>
        </w:rPr>
        <w:t>does</w:t>
      </w:r>
      <w:r>
        <w:rPr>
          <w:spacing w:val="-6"/>
          <w:sz w:val="16"/>
        </w:rPr>
        <w:t> </w:t>
      </w:r>
      <w:r>
        <w:rPr>
          <w:sz w:val="16"/>
        </w:rPr>
        <w:t>not</w:t>
      </w:r>
      <w:r>
        <w:rPr>
          <w:spacing w:val="-6"/>
          <w:sz w:val="16"/>
        </w:rPr>
        <w:t> </w:t>
      </w:r>
      <w:r>
        <w:rPr>
          <w:sz w:val="16"/>
        </w:rPr>
        <w:t>establish</w:t>
      </w:r>
      <w:r>
        <w:rPr>
          <w:spacing w:val="-6"/>
          <w:sz w:val="16"/>
        </w:rPr>
        <w:t> </w:t>
      </w:r>
      <w:r>
        <w:rPr>
          <w:sz w:val="16"/>
        </w:rPr>
        <w:t>causality,</w:t>
      </w:r>
      <w:r>
        <w:rPr>
          <w:spacing w:val="-6"/>
          <w:sz w:val="16"/>
        </w:rPr>
        <w:t> </w:t>
      </w:r>
      <w:r>
        <w:rPr>
          <w:sz w:val="16"/>
        </w:rPr>
        <w:t>representative</w:t>
      </w:r>
      <w:r>
        <w:rPr>
          <w:spacing w:val="-6"/>
          <w:sz w:val="16"/>
        </w:rPr>
        <w:t> </w:t>
      </w:r>
      <w:r>
        <w:rPr>
          <w:sz w:val="16"/>
        </w:rPr>
        <w:t>reviews</w:t>
      </w:r>
      <w:r>
        <w:rPr>
          <w:spacing w:val="-6"/>
          <w:sz w:val="16"/>
        </w:rPr>
        <w:t> </w:t>
      </w:r>
      <w:r>
        <w:rPr>
          <w:sz w:val="16"/>
        </w:rPr>
        <w:t>or</w:t>
      </w:r>
      <w:r>
        <w:rPr>
          <w:spacing w:val="-6"/>
          <w:sz w:val="16"/>
        </w:rPr>
        <w:t> </w:t>
      </w:r>
      <w:r>
        <w:rPr>
          <w:sz w:val="16"/>
        </w:rPr>
        <w:t>full</w:t>
      </w:r>
      <w:r>
        <w:rPr>
          <w:spacing w:val="-6"/>
          <w:sz w:val="16"/>
        </w:rPr>
        <w:t> </w:t>
      </w:r>
      <w:r>
        <w:rPr>
          <w:sz w:val="16"/>
        </w:rPr>
        <w:t>cost</w:t>
      </w:r>
      <w:r>
        <w:rPr>
          <w:spacing w:val="-6"/>
          <w:sz w:val="16"/>
        </w:rPr>
        <w:t> </w:t>
      </w:r>
      <w:r>
        <w:rPr>
          <w:sz w:val="16"/>
        </w:rPr>
        <w:t>coverage.</w:t>
      </w:r>
      <w:r>
        <w:rPr>
          <w:spacing w:val="-6"/>
          <w:sz w:val="16"/>
        </w:rPr>
        <w:t> </w:t>
      </w:r>
      <w:r>
        <w:rPr>
          <w:sz w:val="16"/>
        </w:rPr>
        <w:t>The</w:t>
      </w:r>
      <w:r>
        <w:rPr>
          <w:spacing w:val="-6"/>
          <w:sz w:val="16"/>
        </w:rPr>
        <w:t> </w:t>
      </w:r>
      <w:r>
        <w:rPr>
          <w:sz w:val="16"/>
        </w:rPr>
        <w:t>EDA</w:t>
      </w:r>
      <w:r>
        <w:rPr>
          <w:spacing w:val="-6"/>
          <w:sz w:val="16"/>
        </w:rPr>
        <w:t> </w:t>
      </w:r>
      <w:r>
        <w:rPr>
          <w:sz w:val="16"/>
        </w:rPr>
        <w:t>separately</w:t>
      </w:r>
      <w:r>
        <w:rPr>
          <w:spacing w:val="-6"/>
          <w:sz w:val="16"/>
        </w:rPr>
        <w:t> </w:t>
      </w:r>
      <w:r>
        <w:rPr>
          <w:sz w:val="16"/>
        </w:rPr>
        <w:t>audits</w:t>
      </w:r>
      <w:r>
        <w:rPr>
          <w:spacing w:val="-6"/>
          <w:sz w:val="16"/>
        </w:rPr>
        <w:t> </w:t>
      </w:r>
      <w:r>
        <w:rPr>
          <w:sz w:val="16"/>
        </w:rPr>
        <w:t>join</w:t>
      </w:r>
      <w:r>
        <w:rPr>
          <w:spacing w:val="-6"/>
          <w:sz w:val="16"/>
        </w:rPr>
        <w:t> </w:t>
      </w:r>
      <w:r>
        <w:rPr>
          <w:sz w:val="16"/>
        </w:rPr>
        <w:t>cardinality and aggregates items before attaching order totals to prevent multiplication.</w:t>
      </w:r>
    </w:p>
    <w:p>
      <w:pPr>
        <w:spacing w:after="0" w:line="256" w:lineRule="auto"/>
        <w:jc w:val="left"/>
        <w:rPr>
          <w:sz w:val="16"/>
        </w:rPr>
        <w:sectPr>
          <w:pgSz w:w="11910" w:h="16840"/>
          <w:pgMar w:header="0" w:footer="330" w:top="800" w:bottom="520" w:left="850" w:right="850"/>
        </w:sectPr>
      </w:pPr>
    </w:p>
    <w:p>
      <w:pPr>
        <w:pStyle w:val="BodyText"/>
        <w:spacing w:before="5" w:after="1"/>
        <w:rPr>
          <w:sz w:val="16"/>
        </w:rPr>
      </w:pPr>
    </w:p>
    <w:p>
      <w:pPr>
        <w:spacing w:line="240" w:lineRule="auto"/>
        <w:ind w:left="165" w:right="0" w:firstLine="0"/>
        <w:rPr>
          <w:sz w:val="20"/>
        </w:rPr>
      </w:pPr>
      <w:r>
        <w:rPr>
          <w:sz w:val="20"/>
        </w:rPr>
        <w:drawing>
          <wp:inline distT="0" distB="0" distL="0" distR="0">
            <wp:extent cx="6256782" cy="2215133"/>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6256782" cy="2215133"/>
                    </a:xfrm>
                    <a:prstGeom prst="rect">
                      <a:avLst/>
                    </a:prstGeom>
                  </pic:spPr>
                </pic:pic>
              </a:graphicData>
            </a:graphic>
          </wp:inline>
        </w:drawing>
      </w:r>
      <w:r>
        <w:rPr>
          <w:sz w:val="20"/>
        </w:rPr>
      </w:r>
    </w:p>
    <w:p>
      <w:pPr>
        <w:spacing w:before="98"/>
        <w:ind w:left="10" w:right="0" w:firstLine="0"/>
        <w:jc w:val="left"/>
        <w:rPr>
          <w:sz w:val="16"/>
        </w:rPr>
      </w:pPr>
      <w:r>
        <w:rPr>
          <w:rFonts w:ascii="Arial"/>
          <w:b/>
          <w:sz w:val="16"/>
        </w:rPr>
        <w:t>Question:</w:t>
      </w:r>
      <w:r>
        <w:rPr>
          <w:rFonts w:ascii="Arial"/>
          <w:b/>
          <w:spacing w:val="4"/>
          <w:sz w:val="16"/>
        </w:rPr>
        <w:t> </w:t>
      </w:r>
      <w:r>
        <w:rPr>
          <w:sz w:val="16"/>
        </w:rPr>
        <w:t>How</w:t>
      </w:r>
      <w:r>
        <w:rPr>
          <w:spacing w:val="4"/>
          <w:sz w:val="16"/>
        </w:rPr>
        <w:t> </w:t>
      </w:r>
      <w:r>
        <w:rPr>
          <w:sz w:val="16"/>
        </w:rPr>
        <w:t>variable</w:t>
      </w:r>
      <w:r>
        <w:rPr>
          <w:spacing w:val="4"/>
          <w:sz w:val="16"/>
        </w:rPr>
        <w:t> </w:t>
      </w:r>
      <w:r>
        <w:rPr>
          <w:sz w:val="16"/>
        </w:rPr>
        <w:t>is</w:t>
      </w:r>
      <w:r>
        <w:rPr>
          <w:spacing w:val="4"/>
          <w:sz w:val="16"/>
        </w:rPr>
        <w:t> </w:t>
      </w:r>
      <w:r>
        <w:rPr>
          <w:sz w:val="16"/>
        </w:rPr>
        <w:t>paid</w:t>
      </w:r>
      <w:r>
        <w:rPr>
          <w:spacing w:val="4"/>
          <w:sz w:val="16"/>
        </w:rPr>
        <w:t> </w:t>
      </w:r>
      <w:r>
        <w:rPr>
          <w:sz w:val="16"/>
        </w:rPr>
        <w:t>order</w:t>
      </w:r>
      <w:r>
        <w:rPr>
          <w:spacing w:val="4"/>
          <w:sz w:val="16"/>
        </w:rPr>
        <w:t> </w:t>
      </w:r>
      <w:r>
        <w:rPr>
          <w:sz w:val="16"/>
        </w:rPr>
        <w:t>value,</w:t>
      </w:r>
      <w:r>
        <w:rPr>
          <w:spacing w:val="4"/>
          <w:sz w:val="16"/>
        </w:rPr>
        <w:t> </w:t>
      </w:r>
      <w:r>
        <w:rPr>
          <w:sz w:val="16"/>
        </w:rPr>
        <w:t>and</w:t>
      </w:r>
      <w:r>
        <w:rPr>
          <w:spacing w:val="4"/>
          <w:sz w:val="16"/>
        </w:rPr>
        <w:t> </w:t>
      </w:r>
      <w:r>
        <w:rPr>
          <w:sz w:val="16"/>
        </w:rPr>
        <w:t>how</w:t>
      </w:r>
      <w:r>
        <w:rPr>
          <w:spacing w:val="4"/>
          <w:sz w:val="16"/>
        </w:rPr>
        <w:t> </w:t>
      </w:r>
      <w:r>
        <w:rPr>
          <w:sz w:val="16"/>
        </w:rPr>
        <w:t>concentrated</w:t>
      </w:r>
      <w:r>
        <w:rPr>
          <w:spacing w:val="4"/>
          <w:sz w:val="16"/>
        </w:rPr>
        <w:t> </w:t>
      </w:r>
      <w:r>
        <w:rPr>
          <w:sz w:val="16"/>
        </w:rPr>
        <w:t>is</w:t>
      </w:r>
      <w:r>
        <w:rPr>
          <w:spacing w:val="4"/>
          <w:sz w:val="16"/>
        </w:rPr>
        <w:t> </w:t>
      </w:r>
      <w:r>
        <w:rPr>
          <w:spacing w:val="-2"/>
          <w:sz w:val="16"/>
        </w:rPr>
        <w:t>spending?</w:t>
      </w:r>
    </w:p>
    <w:p>
      <w:pPr>
        <w:spacing w:line="261" w:lineRule="auto" w:before="96"/>
        <w:ind w:left="10" w:right="0" w:firstLine="0"/>
        <w:jc w:val="left"/>
        <w:rPr>
          <w:sz w:val="16"/>
        </w:rPr>
      </w:pPr>
      <w:r>
        <w:rPr>
          <w:rFonts w:ascii="Arial"/>
          <w:b/>
          <w:sz w:val="16"/>
        </w:rPr>
        <w:t>Observation unit and denominator: </w:t>
      </w:r>
      <w:r>
        <w:rPr>
          <w:sz w:val="16"/>
        </w:rPr>
        <w:t>one order; </w:t>
      </w:r>
      <w:r>
        <w:rPr>
          <w:rFonts w:ascii="Arial"/>
          <w:b/>
          <w:sz w:val="16"/>
        </w:rPr>
        <w:t>n = 5,000</w:t>
      </w:r>
      <w:r>
        <w:rPr>
          <w:sz w:val="16"/>
        </w:rPr>
        <w:t>. A companion panel uses </w:t>
      </w:r>
      <w:r>
        <w:rPr>
          <w:rFonts w:ascii="Arial"/>
          <w:b/>
          <w:sz w:val="16"/>
        </w:rPr>
        <w:t>customer grain (n = 500) </w:t>
      </w:r>
      <w:r>
        <w:rPr>
          <w:sz w:val="16"/>
        </w:rPr>
        <w:t>for the correct resilience </w:t>
      </w:r>
      <w:r>
        <w:rPr>
          <w:spacing w:val="-2"/>
          <w:sz w:val="16"/>
        </w:rPr>
        <w:t>denominator.</w:t>
      </w:r>
    </w:p>
    <w:p>
      <w:pPr>
        <w:spacing w:before="79"/>
        <w:ind w:left="10" w:right="0" w:firstLine="0"/>
        <w:jc w:val="left"/>
        <w:rPr>
          <w:sz w:val="16"/>
        </w:rPr>
      </w:pPr>
      <w:r>
        <w:rPr>
          <w:rFonts w:ascii="Arial"/>
          <w:b/>
          <w:sz w:val="16"/>
        </w:rPr>
        <w:t>Tables</w:t>
      </w:r>
      <w:r>
        <w:rPr>
          <w:rFonts w:ascii="Arial"/>
          <w:b/>
          <w:spacing w:val="3"/>
          <w:sz w:val="16"/>
        </w:rPr>
        <w:t> </w:t>
      </w:r>
      <w:r>
        <w:rPr>
          <w:rFonts w:ascii="Arial"/>
          <w:b/>
          <w:sz w:val="16"/>
        </w:rPr>
        <w:t>and</w:t>
      </w:r>
      <w:r>
        <w:rPr>
          <w:rFonts w:ascii="Arial"/>
          <w:b/>
          <w:spacing w:val="4"/>
          <w:sz w:val="16"/>
        </w:rPr>
        <w:t> </w:t>
      </w:r>
      <w:r>
        <w:rPr>
          <w:rFonts w:ascii="Arial"/>
          <w:b/>
          <w:sz w:val="16"/>
        </w:rPr>
        <w:t>join</w:t>
      </w:r>
      <w:r>
        <w:rPr>
          <w:rFonts w:ascii="Arial"/>
          <w:b/>
          <w:spacing w:val="4"/>
          <w:sz w:val="16"/>
        </w:rPr>
        <w:t> </w:t>
      </w:r>
      <w:r>
        <w:rPr>
          <w:rFonts w:ascii="Arial"/>
          <w:b/>
          <w:sz w:val="16"/>
        </w:rPr>
        <w:t>keys:</w:t>
      </w:r>
      <w:r>
        <w:rPr>
          <w:rFonts w:ascii="Arial"/>
          <w:b/>
          <w:spacing w:val="4"/>
          <w:sz w:val="16"/>
        </w:rPr>
        <w:t> </w:t>
      </w:r>
      <w:r>
        <w:rPr>
          <w:sz w:val="16"/>
        </w:rPr>
        <w:t>orders</w:t>
      </w:r>
      <w:r>
        <w:rPr>
          <w:spacing w:val="4"/>
          <w:sz w:val="16"/>
        </w:rPr>
        <w:t> </w:t>
      </w:r>
      <w:r>
        <w:rPr>
          <w:sz w:val="16"/>
        </w:rPr>
        <w:t>only</w:t>
      </w:r>
      <w:r>
        <w:rPr>
          <w:spacing w:val="4"/>
          <w:sz w:val="16"/>
        </w:rPr>
        <w:t> </w:t>
      </w:r>
      <w:r>
        <w:rPr>
          <w:sz w:val="16"/>
        </w:rPr>
        <w:t>(no</w:t>
      </w:r>
      <w:r>
        <w:rPr>
          <w:spacing w:val="4"/>
          <w:sz w:val="16"/>
        </w:rPr>
        <w:t> </w:t>
      </w:r>
      <w:r>
        <w:rPr>
          <w:sz w:val="16"/>
        </w:rPr>
        <w:t>join);</w:t>
      </w:r>
      <w:r>
        <w:rPr>
          <w:spacing w:val="4"/>
          <w:sz w:val="16"/>
        </w:rPr>
        <w:t> </w:t>
      </w:r>
      <w:r>
        <w:rPr>
          <w:sz w:val="16"/>
        </w:rPr>
        <w:t>the</w:t>
      </w:r>
      <w:r>
        <w:rPr>
          <w:spacing w:val="4"/>
          <w:sz w:val="16"/>
        </w:rPr>
        <w:t> </w:t>
      </w:r>
      <w:r>
        <w:rPr>
          <w:sz w:val="16"/>
        </w:rPr>
        <w:t>customer</w:t>
      </w:r>
      <w:r>
        <w:rPr>
          <w:spacing w:val="4"/>
          <w:sz w:val="16"/>
        </w:rPr>
        <w:t> </w:t>
      </w:r>
      <w:r>
        <w:rPr>
          <w:sz w:val="16"/>
        </w:rPr>
        <w:t>panel</w:t>
      </w:r>
      <w:r>
        <w:rPr>
          <w:spacing w:val="4"/>
          <w:sz w:val="16"/>
        </w:rPr>
        <w:t> </w:t>
      </w:r>
      <w:r>
        <w:rPr>
          <w:sz w:val="16"/>
        </w:rPr>
        <w:t>aggregates</w:t>
      </w:r>
      <w:r>
        <w:rPr>
          <w:spacing w:val="4"/>
          <w:sz w:val="16"/>
        </w:rPr>
        <w:t> </w:t>
      </w:r>
      <w:r>
        <w:rPr>
          <w:sz w:val="16"/>
        </w:rPr>
        <w:t>orders</w:t>
      </w:r>
      <w:r>
        <w:rPr>
          <w:spacing w:val="4"/>
          <w:sz w:val="16"/>
        </w:rPr>
        <w:t> </w:t>
      </w:r>
      <w:r>
        <w:rPr>
          <w:sz w:val="16"/>
        </w:rPr>
        <w:t>by</w:t>
      </w:r>
      <w:r>
        <w:rPr>
          <w:spacing w:val="4"/>
          <w:sz w:val="16"/>
        </w:rPr>
        <w:t> </w:t>
      </w:r>
      <w:r>
        <w:rPr>
          <w:spacing w:val="-2"/>
          <w:sz w:val="16"/>
        </w:rPr>
        <w:t>customer_id.</w:t>
      </w:r>
    </w:p>
    <w:p>
      <w:pPr>
        <w:spacing w:line="261" w:lineRule="auto" w:before="96"/>
        <w:ind w:left="10" w:right="166" w:firstLine="0"/>
        <w:jc w:val="left"/>
        <w:rPr>
          <w:sz w:val="16"/>
        </w:rPr>
      </w:pPr>
      <w:r>
        <w:rPr>
          <w:rFonts w:ascii="Arial"/>
          <w:b/>
          <w:sz w:val="16"/>
        </w:rPr>
        <w:t>Evidence and interpretation: </w:t>
      </w:r>
      <w:r>
        <w:rPr>
          <w:sz w:val="16"/>
        </w:rPr>
        <w:t>Mean paid value is AUD 2,858 versus median AUD 2,410. The top 10% of orders contribute 26.2% of paid value, versus 17.5% for the top 10% of customers; Gini is 0.38 versus 0.22. Histogram and Lorenz curves reveal skew and concentration at the appropriate grains. </w:t>
      </w:r>
      <w:r>
        <w:rPr>
          <w:rFonts w:ascii="Arial"/>
          <w:b/>
          <w:sz w:val="16"/>
        </w:rPr>
        <w:t>Limitation: </w:t>
      </w:r>
      <w:r>
        <w:rPr>
          <w:sz w:val="16"/>
        </w:rPr>
        <w:t>a single year does not establish persistence or future resilience; paid totals include coupons, delivery and GST and are not profit.</w:t>
      </w:r>
    </w:p>
    <w:p>
      <w:pPr>
        <w:spacing w:before="99"/>
        <w:ind w:left="10" w:right="0" w:firstLine="0"/>
        <w:jc w:val="left"/>
        <w:rPr>
          <w:rFonts w:ascii="Arial" w:hAnsi="Arial"/>
          <w:b/>
          <w:sz w:val="21"/>
        </w:rPr>
      </w:pPr>
      <w:r>
        <w:rPr>
          <w:rFonts w:ascii="Arial" w:hAnsi="Arial"/>
          <w:b/>
          <w:color w:val="183D60"/>
          <w:sz w:val="21"/>
        </w:rPr>
        <w:t>Figure 2: Quantity × weighted price and gross value </w:t>
      </w:r>
      <w:r>
        <w:rPr>
          <w:rFonts w:ascii="Arial" w:hAnsi="Arial"/>
          <w:b/>
          <w:color w:val="183D60"/>
          <w:spacing w:val="-2"/>
          <w:sz w:val="21"/>
        </w:rPr>
        <w:t>(multivariate)</w:t>
      </w:r>
    </w:p>
    <w:p>
      <w:pPr>
        <w:pStyle w:val="BodyText"/>
        <w:spacing w:before="7"/>
        <w:rPr>
          <w:rFonts w:ascii="Arial"/>
          <w:b/>
          <w:sz w:val="14"/>
        </w:rPr>
      </w:pPr>
      <w:r>
        <w:rPr>
          <w:rFonts w:ascii="Arial"/>
          <w:b/>
          <w:sz w:val="14"/>
        </w:rPr>
        <w:drawing>
          <wp:anchor distT="0" distB="0" distL="0" distR="0" allowOverlap="1" layoutInCell="1" locked="0" behindDoc="1" simplePos="0" relativeHeight="487587840">
            <wp:simplePos x="0" y="0"/>
            <wp:positionH relativeFrom="page">
              <wp:posOffset>1595545</wp:posOffset>
            </wp:positionH>
            <wp:positionV relativeFrom="paragraph">
              <wp:posOffset>122101</wp:posOffset>
            </wp:positionV>
            <wp:extent cx="4333875" cy="220408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4333875" cy="2204085"/>
                    </a:xfrm>
                    <a:prstGeom prst="rect">
                      <a:avLst/>
                    </a:prstGeom>
                  </pic:spPr>
                </pic:pic>
              </a:graphicData>
            </a:graphic>
          </wp:anchor>
        </w:drawing>
      </w:r>
    </w:p>
    <w:p>
      <w:pPr>
        <w:spacing w:before="114"/>
        <w:ind w:left="10" w:right="0" w:firstLine="0"/>
        <w:jc w:val="left"/>
        <w:rPr>
          <w:sz w:val="16"/>
        </w:rPr>
      </w:pPr>
      <w:r>
        <w:rPr>
          <w:rFonts w:ascii="Arial"/>
          <w:b/>
          <w:sz w:val="16"/>
        </w:rPr>
        <w:t>Question:</w:t>
      </w:r>
      <w:r>
        <w:rPr>
          <w:rFonts w:ascii="Arial"/>
          <w:b/>
          <w:spacing w:val="4"/>
          <w:sz w:val="16"/>
        </w:rPr>
        <w:t> </w:t>
      </w:r>
      <w:r>
        <w:rPr>
          <w:sz w:val="16"/>
        </w:rPr>
        <w:t>How</w:t>
      </w:r>
      <w:r>
        <w:rPr>
          <w:spacing w:val="5"/>
          <w:sz w:val="16"/>
        </w:rPr>
        <w:t> </w:t>
      </w:r>
      <w:r>
        <w:rPr>
          <w:sz w:val="16"/>
        </w:rPr>
        <w:t>do</w:t>
      </w:r>
      <w:r>
        <w:rPr>
          <w:spacing w:val="5"/>
          <w:sz w:val="16"/>
        </w:rPr>
        <w:t> </w:t>
      </w:r>
      <w:r>
        <w:rPr>
          <w:sz w:val="16"/>
        </w:rPr>
        <w:t>quantity</w:t>
      </w:r>
      <w:r>
        <w:rPr>
          <w:spacing w:val="4"/>
          <w:sz w:val="16"/>
        </w:rPr>
        <w:t> </w:t>
      </w:r>
      <w:r>
        <w:rPr>
          <w:sz w:val="16"/>
        </w:rPr>
        <w:t>and</w:t>
      </w:r>
      <w:r>
        <w:rPr>
          <w:spacing w:val="5"/>
          <w:sz w:val="16"/>
        </w:rPr>
        <w:t> </w:t>
      </w:r>
      <w:r>
        <w:rPr>
          <w:sz w:val="16"/>
        </w:rPr>
        <w:t>weighted</w:t>
      </w:r>
      <w:r>
        <w:rPr>
          <w:spacing w:val="5"/>
          <w:sz w:val="16"/>
        </w:rPr>
        <w:t> </w:t>
      </w:r>
      <w:r>
        <w:rPr>
          <w:sz w:val="16"/>
        </w:rPr>
        <w:t>unit</w:t>
      </w:r>
      <w:r>
        <w:rPr>
          <w:spacing w:val="5"/>
          <w:sz w:val="16"/>
        </w:rPr>
        <w:t> </w:t>
      </w:r>
      <w:r>
        <w:rPr>
          <w:sz w:val="16"/>
        </w:rPr>
        <w:t>price</w:t>
      </w:r>
      <w:r>
        <w:rPr>
          <w:spacing w:val="4"/>
          <w:sz w:val="16"/>
        </w:rPr>
        <w:t> </w:t>
      </w:r>
      <w:r>
        <w:rPr>
          <w:sz w:val="16"/>
        </w:rPr>
        <w:t>jointly</w:t>
      </w:r>
      <w:r>
        <w:rPr>
          <w:spacing w:val="5"/>
          <w:sz w:val="16"/>
        </w:rPr>
        <w:t> </w:t>
      </w:r>
      <w:r>
        <w:rPr>
          <w:sz w:val="16"/>
        </w:rPr>
        <w:t>structure</w:t>
      </w:r>
      <w:r>
        <w:rPr>
          <w:spacing w:val="5"/>
          <w:sz w:val="16"/>
        </w:rPr>
        <w:t> </w:t>
      </w:r>
      <w:r>
        <w:rPr>
          <w:sz w:val="16"/>
        </w:rPr>
        <w:t>gross</w:t>
      </w:r>
      <w:r>
        <w:rPr>
          <w:spacing w:val="4"/>
          <w:sz w:val="16"/>
        </w:rPr>
        <w:t> </w:t>
      </w:r>
      <w:r>
        <w:rPr>
          <w:sz w:val="16"/>
        </w:rPr>
        <w:t>merchandise</w:t>
      </w:r>
      <w:r>
        <w:rPr>
          <w:spacing w:val="5"/>
          <w:sz w:val="16"/>
        </w:rPr>
        <w:t> </w:t>
      </w:r>
      <w:r>
        <w:rPr>
          <w:spacing w:val="-2"/>
          <w:sz w:val="16"/>
        </w:rPr>
        <w:t>value?</w:t>
      </w:r>
    </w:p>
    <w:p>
      <w:pPr>
        <w:spacing w:before="96"/>
        <w:ind w:left="10" w:right="0" w:firstLine="0"/>
        <w:jc w:val="left"/>
        <w:rPr>
          <w:sz w:val="16"/>
        </w:rPr>
      </w:pPr>
      <w:r>
        <w:rPr>
          <w:rFonts w:ascii="Arial"/>
          <w:b/>
          <w:sz w:val="16"/>
        </w:rPr>
        <w:t>Observation</w:t>
      </w:r>
      <w:r>
        <w:rPr>
          <w:rFonts w:ascii="Arial"/>
          <w:b/>
          <w:spacing w:val="3"/>
          <w:sz w:val="16"/>
        </w:rPr>
        <w:t> </w:t>
      </w:r>
      <w:r>
        <w:rPr>
          <w:rFonts w:ascii="Arial"/>
          <w:b/>
          <w:sz w:val="16"/>
        </w:rPr>
        <w:t>unit</w:t>
      </w:r>
      <w:r>
        <w:rPr>
          <w:rFonts w:ascii="Arial"/>
          <w:b/>
          <w:spacing w:val="4"/>
          <w:sz w:val="16"/>
        </w:rPr>
        <w:t> </w:t>
      </w:r>
      <w:r>
        <w:rPr>
          <w:rFonts w:ascii="Arial"/>
          <w:b/>
          <w:sz w:val="16"/>
        </w:rPr>
        <w:t>and</w:t>
      </w:r>
      <w:r>
        <w:rPr>
          <w:rFonts w:ascii="Arial"/>
          <w:b/>
          <w:spacing w:val="4"/>
          <w:sz w:val="16"/>
        </w:rPr>
        <w:t> </w:t>
      </w:r>
      <w:r>
        <w:rPr>
          <w:rFonts w:ascii="Arial"/>
          <w:b/>
          <w:sz w:val="16"/>
        </w:rPr>
        <w:t>denominator:</w:t>
      </w:r>
      <w:r>
        <w:rPr>
          <w:rFonts w:ascii="Arial"/>
          <w:b/>
          <w:spacing w:val="4"/>
          <w:sz w:val="16"/>
        </w:rPr>
        <w:t> </w:t>
      </w:r>
      <w:r>
        <w:rPr>
          <w:sz w:val="16"/>
        </w:rPr>
        <w:t>one</w:t>
      </w:r>
      <w:r>
        <w:rPr>
          <w:spacing w:val="4"/>
          <w:sz w:val="16"/>
        </w:rPr>
        <w:t> </w:t>
      </w:r>
      <w:r>
        <w:rPr>
          <w:sz w:val="16"/>
        </w:rPr>
        <w:t>order,</w:t>
      </w:r>
      <w:r>
        <w:rPr>
          <w:spacing w:val="4"/>
          <w:sz w:val="16"/>
        </w:rPr>
        <w:t> </w:t>
      </w:r>
      <w:r>
        <w:rPr>
          <w:rFonts w:ascii="Arial"/>
          <w:b/>
          <w:sz w:val="16"/>
        </w:rPr>
        <w:t>n</w:t>
      </w:r>
      <w:r>
        <w:rPr>
          <w:rFonts w:ascii="Arial"/>
          <w:b/>
          <w:spacing w:val="4"/>
          <w:sz w:val="16"/>
        </w:rPr>
        <w:t> </w:t>
      </w:r>
      <w:r>
        <w:rPr>
          <w:rFonts w:ascii="Arial"/>
          <w:b/>
          <w:sz w:val="16"/>
        </w:rPr>
        <w:t>=</w:t>
      </w:r>
      <w:r>
        <w:rPr>
          <w:rFonts w:ascii="Arial"/>
          <w:b/>
          <w:spacing w:val="4"/>
          <w:sz w:val="16"/>
        </w:rPr>
        <w:t> </w:t>
      </w:r>
      <w:r>
        <w:rPr>
          <w:rFonts w:ascii="Arial"/>
          <w:b/>
          <w:sz w:val="16"/>
        </w:rPr>
        <w:t>5,000</w:t>
      </w:r>
      <w:r>
        <w:rPr>
          <w:sz w:val="16"/>
        </w:rPr>
        <w:t>;</w:t>
      </w:r>
      <w:r>
        <w:rPr>
          <w:spacing w:val="4"/>
          <w:sz w:val="16"/>
        </w:rPr>
        <w:t> </w:t>
      </w:r>
      <w:r>
        <w:rPr>
          <w:sz w:val="16"/>
        </w:rPr>
        <w:t>each</w:t>
      </w:r>
      <w:r>
        <w:rPr>
          <w:spacing w:val="4"/>
          <w:sz w:val="16"/>
        </w:rPr>
        <w:t> </w:t>
      </w:r>
      <w:r>
        <w:rPr>
          <w:sz w:val="16"/>
        </w:rPr>
        <w:t>heatmap</w:t>
      </w:r>
      <w:r>
        <w:rPr>
          <w:spacing w:val="4"/>
          <w:sz w:val="16"/>
        </w:rPr>
        <w:t> </w:t>
      </w:r>
      <w:r>
        <w:rPr>
          <w:sz w:val="16"/>
        </w:rPr>
        <w:t>cell</w:t>
      </w:r>
      <w:r>
        <w:rPr>
          <w:spacing w:val="4"/>
          <w:sz w:val="16"/>
        </w:rPr>
        <w:t> </w:t>
      </w:r>
      <w:r>
        <w:rPr>
          <w:sz w:val="16"/>
        </w:rPr>
        <w:t>reports</w:t>
      </w:r>
      <w:r>
        <w:rPr>
          <w:spacing w:val="4"/>
          <w:sz w:val="16"/>
        </w:rPr>
        <w:t> </w:t>
      </w:r>
      <w:r>
        <w:rPr>
          <w:sz w:val="16"/>
        </w:rPr>
        <w:t>the</w:t>
      </w:r>
      <w:r>
        <w:rPr>
          <w:spacing w:val="4"/>
          <w:sz w:val="16"/>
        </w:rPr>
        <w:t> </w:t>
      </w:r>
      <w:r>
        <w:rPr>
          <w:sz w:val="16"/>
        </w:rPr>
        <w:t>median</w:t>
      </w:r>
      <w:r>
        <w:rPr>
          <w:spacing w:val="4"/>
          <w:sz w:val="16"/>
        </w:rPr>
        <w:t> </w:t>
      </w:r>
      <w:r>
        <w:rPr>
          <w:sz w:val="16"/>
        </w:rPr>
        <w:t>and</w:t>
      </w:r>
      <w:r>
        <w:rPr>
          <w:spacing w:val="4"/>
          <w:sz w:val="16"/>
        </w:rPr>
        <w:t> </w:t>
      </w:r>
      <w:r>
        <w:rPr>
          <w:sz w:val="16"/>
        </w:rPr>
        <w:t>its</w:t>
      </w:r>
      <w:r>
        <w:rPr>
          <w:spacing w:val="4"/>
          <w:sz w:val="16"/>
        </w:rPr>
        <w:t> </w:t>
      </w:r>
      <w:r>
        <w:rPr>
          <w:sz w:val="16"/>
        </w:rPr>
        <w:t>order</w:t>
      </w:r>
      <w:r>
        <w:rPr>
          <w:spacing w:val="4"/>
          <w:sz w:val="16"/>
        </w:rPr>
        <w:t> </w:t>
      </w:r>
      <w:r>
        <w:rPr>
          <w:spacing w:val="-2"/>
          <w:sz w:val="16"/>
        </w:rPr>
        <w:t>count.</w:t>
      </w:r>
    </w:p>
    <w:p>
      <w:pPr>
        <w:spacing w:before="96"/>
        <w:ind w:left="10" w:right="0" w:firstLine="0"/>
        <w:jc w:val="left"/>
        <w:rPr>
          <w:sz w:val="16"/>
        </w:rPr>
      </w:pPr>
      <w:r>
        <w:rPr>
          <w:rFonts w:ascii="Arial"/>
          <w:b/>
          <w:sz w:val="16"/>
        </w:rPr>
        <w:t>Tables</w:t>
      </w:r>
      <w:r>
        <w:rPr>
          <w:rFonts w:ascii="Arial"/>
          <w:b/>
          <w:spacing w:val="4"/>
          <w:sz w:val="16"/>
        </w:rPr>
        <w:t> </w:t>
      </w:r>
      <w:r>
        <w:rPr>
          <w:rFonts w:ascii="Arial"/>
          <w:b/>
          <w:sz w:val="16"/>
        </w:rPr>
        <w:t>and</w:t>
      </w:r>
      <w:r>
        <w:rPr>
          <w:rFonts w:ascii="Arial"/>
          <w:b/>
          <w:spacing w:val="4"/>
          <w:sz w:val="16"/>
        </w:rPr>
        <w:t> </w:t>
      </w:r>
      <w:r>
        <w:rPr>
          <w:rFonts w:ascii="Arial"/>
          <w:b/>
          <w:sz w:val="16"/>
        </w:rPr>
        <w:t>join</w:t>
      </w:r>
      <w:r>
        <w:rPr>
          <w:rFonts w:ascii="Arial"/>
          <w:b/>
          <w:spacing w:val="5"/>
          <w:sz w:val="16"/>
        </w:rPr>
        <w:t> </w:t>
      </w:r>
      <w:r>
        <w:rPr>
          <w:rFonts w:ascii="Arial"/>
          <w:b/>
          <w:sz w:val="16"/>
        </w:rPr>
        <w:t>keys:</w:t>
      </w:r>
      <w:r>
        <w:rPr>
          <w:rFonts w:ascii="Arial"/>
          <w:b/>
          <w:spacing w:val="4"/>
          <w:sz w:val="16"/>
        </w:rPr>
        <w:t> </w:t>
      </w:r>
      <w:r>
        <w:rPr>
          <w:sz w:val="16"/>
        </w:rPr>
        <w:t>order_items</w:t>
      </w:r>
      <w:r>
        <w:rPr>
          <w:spacing w:val="5"/>
          <w:sz w:val="16"/>
        </w:rPr>
        <w:t> </w:t>
      </w:r>
      <w:r>
        <w:rPr>
          <w:sz w:val="16"/>
        </w:rPr>
        <w:t>aggregated</w:t>
      </w:r>
      <w:r>
        <w:rPr>
          <w:spacing w:val="4"/>
          <w:sz w:val="16"/>
        </w:rPr>
        <w:t> </w:t>
      </w:r>
      <w:r>
        <w:rPr>
          <w:sz w:val="16"/>
        </w:rPr>
        <w:t>to</w:t>
      </w:r>
      <w:r>
        <w:rPr>
          <w:spacing w:val="5"/>
          <w:sz w:val="16"/>
        </w:rPr>
        <w:t> </w:t>
      </w:r>
      <w:r>
        <w:rPr>
          <w:sz w:val="16"/>
        </w:rPr>
        <w:t>order</w:t>
      </w:r>
      <w:r>
        <w:rPr>
          <w:spacing w:val="4"/>
          <w:sz w:val="16"/>
        </w:rPr>
        <w:t> </w:t>
      </w:r>
      <w:r>
        <w:rPr>
          <w:sz w:val="16"/>
        </w:rPr>
        <w:t>grain,</w:t>
      </w:r>
      <w:r>
        <w:rPr>
          <w:spacing w:val="5"/>
          <w:sz w:val="16"/>
        </w:rPr>
        <w:t> </w:t>
      </w:r>
      <w:r>
        <w:rPr>
          <w:sz w:val="16"/>
        </w:rPr>
        <w:t>then</w:t>
      </w:r>
      <w:r>
        <w:rPr>
          <w:spacing w:val="4"/>
          <w:sz w:val="16"/>
        </w:rPr>
        <w:t> </w:t>
      </w:r>
      <w:r>
        <w:rPr>
          <w:sz w:val="16"/>
        </w:rPr>
        <w:t>joined</w:t>
      </w:r>
      <w:r>
        <w:rPr>
          <w:spacing w:val="5"/>
          <w:sz w:val="16"/>
        </w:rPr>
        <w:t> </w:t>
      </w:r>
      <w:r>
        <w:rPr>
          <w:sz w:val="16"/>
        </w:rPr>
        <w:t>to</w:t>
      </w:r>
      <w:r>
        <w:rPr>
          <w:spacing w:val="4"/>
          <w:sz w:val="16"/>
        </w:rPr>
        <w:t> </w:t>
      </w:r>
      <w:r>
        <w:rPr>
          <w:sz w:val="16"/>
        </w:rPr>
        <w:t>orders</w:t>
      </w:r>
      <w:r>
        <w:rPr>
          <w:spacing w:val="5"/>
          <w:sz w:val="16"/>
        </w:rPr>
        <w:t> </w:t>
      </w:r>
      <w:r>
        <w:rPr>
          <w:sz w:val="16"/>
        </w:rPr>
        <w:t>on</w:t>
      </w:r>
      <w:r>
        <w:rPr>
          <w:spacing w:val="4"/>
          <w:sz w:val="16"/>
        </w:rPr>
        <w:t> </w:t>
      </w:r>
      <w:r>
        <w:rPr>
          <w:sz w:val="16"/>
        </w:rPr>
        <w:t>order_id</w:t>
      </w:r>
      <w:r>
        <w:rPr>
          <w:spacing w:val="5"/>
          <w:sz w:val="16"/>
        </w:rPr>
        <w:t> </w:t>
      </w:r>
      <w:r>
        <w:rPr>
          <w:sz w:val="16"/>
        </w:rPr>
        <w:t>(</w:t>
      </w:r>
      <w:r>
        <w:rPr>
          <w:rFonts w:ascii="Arial"/>
          <w:b/>
          <w:sz w:val="16"/>
        </w:rPr>
        <w:t>one-to-</w:t>
      </w:r>
      <w:r>
        <w:rPr>
          <w:rFonts w:ascii="Arial"/>
          <w:b/>
          <w:spacing w:val="-2"/>
          <w:sz w:val="16"/>
        </w:rPr>
        <w:t>one</w:t>
      </w:r>
      <w:r>
        <w:rPr>
          <w:spacing w:val="-2"/>
          <w:sz w:val="16"/>
        </w:rPr>
        <w:t>).</w:t>
      </w:r>
    </w:p>
    <w:p>
      <w:pPr>
        <w:spacing w:line="261" w:lineRule="auto" w:before="96"/>
        <w:ind w:left="10" w:right="166" w:firstLine="0"/>
        <w:jc w:val="left"/>
        <w:rPr>
          <w:sz w:val="16"/>
        </w:rPr>
      </w:pPr>
      <w:r>
        <w:rPr>
          <w:rFonts w:ascii="Arial"/>
          <w:b/>
          <w:sz w:val="16"/>
        </w:rPr>
        <w:t>Evidence and interpretation: </w:t>
      </w:r>
      <w:r>
        <w:rPr>
          <w:sz w:val="16"/>
        </w:rPr>
        <w:t>Cell medians compare quantity and weighted-price groups while counts show support. Median gross value ranges from AUD 627 to AUD 8,739 between opposite corners. Additive log-variance shares are 57.0% weighted price, 32.1% quantity and 10.9% twice the covariance. </w:t>
      </w:r>
      <w:r>
        <w:rPr>
          <w:rFonts w:ascii="Arial"/>
          <w:b/>
          <w:sz w:val="16"/>
        </w:rPr>
        <w:t>Limitation: </w:t>
      </w:r>
      <w:r>
        <w:rPr>
          <w:sz w:val="16"/>
        </w:rPr>
        <w:t>gross value equals quantity times weighted price by definition. These are algebraic shares, not predictive importance or causal effects; gross value excludes discounts and delivery.</w:t>
      </w:r>
    </w:p>
    <w:p>
      <w:pPr>
        <w:spacing w:after="0" w:line="261" w:lineRule="auto"/>
        <w:jc w:val="left"/>
        <w:rPr>
          <w:sz w:val="16"/>
        </w:rPr>
        <w:sectPr>
          <w:headerReference w:type="default" r:id="rId6"/>
          <w:footerReference w:type="default" r:id="rId7"/>
          <w:pgSz w:w="11910" w:h="16840"/>
          <w:pgMar w:header="888" w:footer="330" w:top="1660" w:bottom="520" w:left="850" w:right="850"/>
        </w:sectPr>
      </w:pPr>
    </w:p>
    <w:p>
      <w:pPr>
        <w:pStyle w:val="BodyText"/>
        <w:spacing w:before="4"/>
        <w:rPr>
          <w:sz w:val="16"/>
        </w:rPr>
      </w:pPr>
    </w:p>
    <w:p>
      <w:pPr>
        <w:spacing w:line="240" w:lineRule="auto"/>
        <w:ind w:left="704" w:right="0" w:firstLine="0"/>
        <w:rPr>
          <w:sz w:val="20"/>
        </w:rPr>
      </w:pPr>
      <w:r>
        <w:rPr>
          <w:sz w:val="20"/>
        </w:rPr>
        <w:drawing>
          <wp:inline distT="0" distB="0" distL="0" distR="0">
            <wp:extent cx="5591175" cy="222408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5591175" cy="2224087"/>
                    </a:xfrm>
                    <a:prstGeom prst="rect">
                      <a:avLst/>
                    </a:prstGeom>
                  </pic:spPr>
                </pic:pic>
              </a:graphicData>
            </a:graphic>
          </wp:inline>
        </w:drawing>
      </w:r>
      <w:r>
        <w:rPr>
          <w:sz w:val="20"/>
        </w:rPr>
      </w:r>
    </w:p>
    <w:p>
      <w:pPr>
        <w:spacing w:before="86"/>
        <w:ind w:left="10" w:right="0" w:firstLine="0"/>
        <w:jc w:val="left"/>
        <w:rPr>
          <w:sz w:val="16"/>
        </w:rPr>
      </w:pPr>
      <w:r>
        <w:rPr>
          <w:rFonts w:ascii="Arial"/>
          <w:b/>
          <w:sz w:val="16"/>
        </w:rPr>
        <w:t>Question:</w:t>
      </w:r>
      <w:r>
        <w:rPr>
          <w:rFonts w:ascii="Arial"/>
          <w:b/>
          <w:spacing w:val="5"/>
          <w:sz w:val="16"/>
        </w:rPr>
        <w:t> </w:t>
      </w:r>
      <w:r>
        <w:rPr>
          <w:sz w:val="16"/>
        </w:rPr>
        <w:t>Which</w:t>
      </w:r>
      <w:r>
        <w:rPr>
          <w:spacing w:val="5"/>
          <w:sz w:val="16"/>
        </w:rPr>
        <w:t> </w:t>
      </w:r>
      <w:r>
        <w:rPr>
          <w:sz w:val="16"/>
        </w:rPr>
        <w:t>categories</w:t>
      </w:r>
      <w:r>
        <w:rPr>
          <w:spacing w:val="6"/>
          <w:sz w:val="16"/>
        </w:rPr>
        <w:t> </w:t>
      </w:r>
      <w:r>
        <w:rPr>
          <w:sz w:val="16"/>
        </w:rPr>
        <w:t>account</w:t>
      </w:r>
      <w:r>
        <w:rPr>
          <w:spacing w:val="5"/>
          <w:sz w:val="16"/>
        </w:rPr>
        <w:t> </w:t>
      </w:r>
      <w:r>
        <w:rPr>
          <w:sz w:val="16"/>
        </w:rPr>
        <w:t>for</w:t>
      </w:r>
      <w:r>
        <w:rPr>
          <w:spacing w:val="6"/>
          <w:sz w:val="16"/>
        </w:rPr>
        <w:t> </w:t>
      </w:r>
      <w:r>
        <w:rPr>
          <w:sz w:val="16"/>
        </w:rPr>
        <w:t>merchandise</w:t>
      </w:r>
      <w:r>
        <w:rPr>
          <w:spacing w:val="5"/>
          <w:sz w:val="16"/>
        </w:rPr>
        <w:t> </w:t>
      </w:r>
      <w:r>
        <w:rPr>
          <w:sz w:val="16"/>
        </w:rPr>
        <w:t>value</w:t>
      </w:r>
      <w:r>
        <w:rPr>
          <w:spacing w:val="5"/>
          <w:sz w:val="16"/>
        </w:rPr>
        <w:t> </w:t>
      </w:r>
      <w:r>
        <w:rPr>
          <w:sz w:val="16"/>
        </w:rPr>
        <w:t>and</w:t>
      </w:r>
      <w:r>
        <w:rPr>
          <w:spacing w:val="6"/>
          <w:sz w:val="16"/>
        </w:rPr>
        <w:t> </w:t>
      </w:r>
      <w:r>
        <w:rPr>
          <w:sz w:val="16"/>
        </w:rPr>
        <w:t>recorded</w:t>
      </w:r>
      <w:r>
        <w:rPr>
          <w:spacing w:val="5"/>
          <w:sz w:val="16"/>
        </w:rPr>
        <w:t> </w:t>
      </w:r>
      <w:r>
        <w:rPr>
          <w:spacing w:val="-2"/>
          <w:sz w:val="16"/>
        </w:rPr>
        <w:t>contribution?</w:t>
      </w:r>
    </w:p>
    <w:p>
      <w:pPr>
        <w:spacing w:line="261" w:lineRule="auto" w:before="96"/>
        <w:ind w:left="10" w:right="0" w:firstLine="0"/>
        <w:jc w:val="left"/>
        <w:rPr>
          <w:sz w:val="16"/>
        </w:rPr>
      </w:pPr>
      <w:r>
        <w:rPr>
          <w:rFonts w:ascii="Arial"/>
          <w:b/>
          <w:sz w:val="16"/>
        </w:rPr>
        <w:t>Observation unit and denominator: </w:t>
      </w:r>
      <w:r>
        <w:rPr>
          <w:sz w:val="16"/>
        </w:rPr>
        <w:t>item lines aggregated by category; rates divide the category contribution proxy by discounted category </w:t>
      </w:r>
      <w:r>
        <w:rPr>
          <w:spacing w:val="-2"/>
          <w:sz w:val="16"/>
        </w:rPr>
        <w:t>sales.</w:t>
      </w:r>
    </w:p>
    <w:p>
      <w:pPr>
        <w:spacing w:before="79"/>
        <w:ind w:left="10" w:right="0" w:firstLine="0"/>
        <w:jc w:val="left"/>
        <w:rPr>
          <w:sz w:val="16"/>
        </w:rPr>
      </w:pPr>
      <w:r>
        <w:rPr>
          <w:rFonts w:ascii="Arial"/>
          <w:b/>
          <w:sz w:val="16"/>
        </w:rPr>
        <w:t>Tables</w:t>
      </w:r>
      <w:r>
        <w:rPr>
          <w:rFonts w:ascii="Arial"/>
          <w:b/>
          <w:spacing w:val="4"/>
          <w:sz w:val="16"/>
        </w:rPr>
        <w:t> </w:t>
      </w:r>
      <w:r>
        <w:rPr>
          <w:rFonts w:ascii="Arial"/>
          <w:b/>
          <w:sz w:val="16"/>
        </w:rPr>
        <w:t>and</w:t>
      </w:r>
      <w:r>
        <w:rPr>
          <w:rFonts w:ascii="Arial"/>
          <w:b/>
          <w:spacing w:val="5"/>
          <w:sz w:val="16"/>
        </w:rPr>
        <w:t> </w:t>
      </w:r>
      <w:r>
        <w:rPr>
          <w:rFonts w:ascii="Arial"/>
          <w:b/>
          <w:sz w:val="16"/>
        </w:rPr>
        <w:t>join</w:t>
      </w:r>
      <w:r>
        <w:rPr>
          <w:rFonts w:ascii="Arial"/>
          <w:b/>
          <w:spacing w:val="5"/>
          <w:sz w:val="16"/>
        </w:rPr>
        <w:t> </w:t>
      </w:r>
      <w:r>
        <w:rPr>
          <w:rFonts w:ascii="Arial"/>
          <w:b/>
          <w:sz w:val="16"/>
        </w:rPr>
        <w:t>keys:</w:t>
      </w:r>
      <w:r>
        <w:rPr>
          <w:rFonts w:ascii="Arial"/>
          <w:b/>
          <w:spacing w:val="5"/>
          <w:sz w:val="16"/>
        </w:rPr>
        <w:t> </w:t>
      </w:r>
      <w:r>
        <w:rPr>
          <w:sz w:val="16"/>
        </w:rPr>
        <w:t>order_items</w:t>
      </w:r>
      <w:r>
        <w:rPr>
          <w:spacing w:val="5"/>
          <w:sz w:val="16"/>
        </w:rPr>
        <w:t> </w:t>
      </w:r>
      <w:r>
        <w:rPr>
          <w:sz w:val="16"/>
        </w:rPr>
        <w:t>joins</w:t>
      </w:r>
      <w:r>
        <w:rPr>
          <w:spacing w:val="5"/>
          <w:sz w:val="16"/>
        </w:rPr>
        <w:t> </w:t>
      </w:r>
      <w:r>
        <w:rPr>
          <w:sz w:val="16"/>
        </w:rPr>
        <w:t>products</w:t>
      </w:r>
      <w:r>
        <w:rPr>
          <w:spacing w:val="5"/>
          <w:sz w:val="16"/>
        </w:rPr>
        <w:t> </w:t>
      </w:r>
      <w:r>
        <w:rPr>
          <w:sz w:val="16"/>
        </w:rPr>
        <w:t>on</w:t>
      </w:r>
      <w:r>
        <w:rPr>
          <w:spacing w:val="4"/>
          <w:sz w:val="16"/>
        </w:rPr>
        <w:t> </w:t>
      </w:r>
      <w:r>
        <w:rPr>
          <w:sz w:val="16"/>
        </w:rPr>
        <w:t>product_id,</w:t>
      </w:r>
      <w:r>
        <w:rPr>
          <w:spacing w:val="5"/>
          <w:sz w:val="16"/>
        </w:rPr>
        <w:t> </w:t>
      </w:r>
      <w:r>
        <w:rPr>
          <w:sz w:val="16"/>
        </w:rPr>
        <w:t>then</w:t>
      </w:r>
      <w:r>
        <w:rPr>
          <w:spacing w:val="5"/>
          <w:sz w:val="16"/>
        </w:rPr>
        <w:t> </w:t>
      </w:r>
      <w:r>
        <w:rPr>
          <w:sz w:val="16"/>
        </w:rPr>
        <w:t>orders</w:t>
      </w:r>
      <w:r>
        <w:rPr>
          <w:spacing w:val="5"/>
          <w:sz w:val="16"/>
        </w:rPr>
        <w:t> </w:t>
      </w:r>
      <w:r>
        <w:rPr>
          <w:sz w:val="16"/>
        </w:rPr>
        <w:t>on</w:t>
      </w:r>
      <w:r>
        <w:rPr>
          <w:spacing w:val="5"/>
          <w:sz w:val="16"/>
        </w:rPr>
        <w:t> </w:t>
      </w:r>
      <w:r>
        <w:rPr>
          <w:sz w:val="16"/>
        </w:rPr>
        <w:t>order_id</w:t>
      </w:r>
      <w:r>
        <w:rPr>
          <w:spacing w:val="5"/>
          <w:sz w:val="16"/>
        </w:rPr>
        <w:t> </w:t>
      </w:r>
      <w:r>
        <w:rPr>
          <w:sz w:val="16"/>
        </w:rPr>
        <w:t>(both</w:t>
      </w:r>
      <w:r>
        <w:rPr>
          <w:spacing w:val="5"/>
          <w:sz w:val="16"/>
        </w:rPr>
        <w:t> </w:t>
      </w:r>
      <w:r>
        <w:rPr>
          <w:rFonts w:ascii="Arial"/>
          <w:b/>
          <w:sz w:val="16"/>
        </w:rPr>
        <w:t>many-to-</w:t>
      </w:r>
      <w:r>
        <w:rPr>
          <w:rFonts w:ascii="Arial"/>
          <w:b/>
          <w:spacing w:val="-2"/>
          <w:sz w:val="16"/>
        </w:rPr>
        <w:t>one</w:t>
      </w:r>
      <w:r>
        <w:rPr>
          <w:spacing w:val="-2"/>
          <w:sz w:val="16"/>
        </w:rPr>
        <w:t>).</w:t>
      </w:r>
    </w:p>
    <w:p>
      <w:pPr>
        <w:spacing w:line="261" w:lineRule="auto" w:before="96"/>
        <w:ind w:left="10" w:right="0" w:firstLine="0"/>
        <w:jc w:val="left"/>
        <w:rPr>
          <w:sz w:val="16"/>
        </w:rPr>
      </w:pPr>
      <w:r>
        <w:rPr>
          <w:rFonts w:ascii="Arial"/>
          <w:b/>
          <w:sz w:val="16"/>
        </w:rPr>
        <w:t>Evidence and interpretation: </w:t>
      </w:r>
      <w:r>
        <w:rPr>
          <w:sz w:val="16"/>
        </w:rPr>
        <w:t>Comparing sales scale and contribution rates separates category size from recorded margin. Discounted sales span about fivefold, from AUD 512k (Accessory) to AUD 2.57M (Laptop), while contribution rates span 28.6%-33.1%. </w:t>
      </w:r>
      <w:r>
        <w:rPr>
          <w:rFonts w:ascii="Arial"/>
          <w:b/>
          <w:sz w:val="16"/>
        </w:rPr>
        <w:t>Limitation: </w:t>
      </w:r>
      <w:r>
        <w:rPr>
          <w:sz w:val="16"/>
        </w:rPr>
        <w:t>allocated discounts and recorded unit costs are proxies; tax treatment and overhead coverage must be checked before treating contribution as profit or recommending investment.</w:t>
      </w:r>
    </w:p>
    <w:p>
      <w:pPr>
        <w:pStyle w:val="Heading3"/>
        <w:spacing w:before="99"/>
      </w:pPr>
      <w:r>
        <w:rPr>
          <w:color w:val="183D60"/>
        </w:rPr>
        <w:t>Figure 4: Coverage within line-count strata and by item price </w:t>
      </w:r>
      <w:r>
        <w:rPr>
          <w:color w:val="183D60"/>
          <w:spacing w:val="-2"/>
        </w:rPr>
        <w:t>(multivariate/review)</w:t>
      </w:r>
    </w:p>
    <w:p>
      <w:pPr>
        <w:pStyle w:val="BodyText"/>
        <w:spacing w:before="9"/>
        <w:rPr>
          <w:rFonts w:ascii="Arial"/>
          <w:b/>
          <w:sz w:val="14"/>
        </w:rPr>
      </w:pPr>
      <w:r>
        <w:rPr>
          <w:rFonts w:ascii="Arial"/>
          <w:b/>
          <w:sz w:val="14"/>
        </w:rPr>
        <w:drawing>
          <wp:anchor distT="0" distB="0" distL="0" distR="0" allowOverlap="1" layoutInCell="1" locked="0" behindDoc="1" simplePos="0" relativeHeight="487588352">
            <wp:simplePos x="0" y="0"/>
            <wp:positionH relativeFrom="page">
              <wp:posOffset>779101</wp:posOffset>
            </wp:positionH>
            <wp:positionV relativeFrom="paragraph">
              <wp:posOffset>123366</wp:posOffset>
            </wp:positionV>
            <wp:extent cx="6053899" cy="2232279"/>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6053899" cy="2232279"/>
                    </a:xfrm>
                    <a:prstGeom prst="rect">
                      <a:avLst/>
                    </a:prstGeom>
                  </pic:spPr>
                </pic:pic>
              </a:graphicData>
            </a:graphic>
          </wp:anchor>
        </w:drawing>
      </w:r>
    </w:p>
    <w:p>
      <w:pPr>
        <w:spacing w:before="68"/>
        <w:ind w:left="10" w:right="0" w:firstLine="0"/>
        <w:jc w:val="left"/>
        <w:rPr>
          <w:sz w:val="16"/>
        </w:rPr>
      </w:pPr>
      <w:r>
        <w:rPr>
          <w:rFonts w:ascii="Arial"/>
          <w:b/>
          <w:sz w:val="16"/>
        </w:rPr>
        <w:t>Question:</w:t>
      </w:r>
      <w:r>
        <w:rPr>
          <w:rFonts w:ascii="Arial"/>
          <w:b/>
          <w:spacing w:val="4"/>
          <w:sz w:val="16"/>
        </w:rPr>
        <w:t> </w:t>
      </w:r>
      <w:r>
        <w:rPr>
          <w:sz w:val="16"/>
        </w:rPr>
        <w:t>Does</w:t>
      </w:r>
      <w:r>
        <w:rPr>
          <w:spacing w:val="5"/>
          <w:sz w:val="16"/>
        </w:rPr>
        <w:t> </w:t>
      </w:r>
      <w:r>
        <w:rPr>
          <w:sz w:val="16"/>
        </w:rPr>
        <w:t>review</w:t>
      </w:r>
      <w:r>
        <w:rPr>
          <w:spacing w:val="5"/>
          <w:sz w:val="16"/>
        </w:rPr>
        <w:t> </w:t>
      </w:r>
      <w:r>
        <w:rPr>
          <w:sz w:val="16"/>
        </w:rPr>
        <w:t>coverage</w:t>
      </w:r>
      <w:r>
        <w:rPr>
          <w:spacing w:val="5"/>
          <w:sz w:val="16"/>
        </w:rPr>
        <w:t> </w:t>
      </w:r>
      <w:r>
        <w:rPr>
          <w:sz w:val="16"/>
        </w:rPr>
        <w:t>increase</w:t>
      </w:r>
      <w:r>
        <w:rPr>
          <w:spacing w:val="5"/>
          <w:sz w:val="16"/>
        </w:rPr>
        <w:t> </w:t>
      </w:r>
      <w:r>
        <w:rPr>
          <w:sz w:val="16"/>
        </w:rPr>
        <w:t>with</w:t>
      </w:r>
      <w:r>
        <w:rPr>
          <w:spacing w:val="5"/>
          <w:sz w:val="16"/>
        </w:rPr>
        <w:t> </w:t>
      </w:r>
      <w:r>
        <w:rPr>
          <w:sz w:val="16"/>
        </w:rPr>
        <w:t>value</w:t>
      </w:r>
      <w:r>
        <w:rPr>
          <w:spacing w:val="5"/>
          <w:sz w:val="16"/>
        </w:rPr>
        <w:t> </w:t>
      </w:r>
      <w:r>
        <w:rPr>
          <w:sz w:val="16"/>
        </w:rPr>
        <w:t>within</w:t>
      </w:r>
      <w:r>
        <w:rPr>
          <w:spacing w:val="5"/>
          <w:sz w:val="16"/>
        </w:rPr>
        <w:t> </w:t>
      </w:r>
      <w:r>
        <w:rPr>
          <w:sz w:val="16"/>
        </w:rPr>
        <w:t>equal</w:t>
      </w:r>
      <w:r>
        <w:rPr>
          <w:spacing w:val="5"/>
          <w:sz w:val="16"/>
        </w:rPr>
        <w:t> </w:t>
      </w:r>
      <w:r>
        <w:rPr>
          <w:sz w:val="16"/>
        </w:rPr>
        <w:t>item-line</w:t>
      </w:r>
      <w:r>
        <w:rPr>
          <w:spacing w:val="5"/>
          <w:sz w:val="16"/>
        </w:rPr>
        <w:t> </w:t>
      </w:r>
      <w:r>
        <w:rPr>
          <w:spacing w:val="-2"/>
          <w:sz w:val="16"/>
        </w:rPr>
        <w:t>counts?</w:t>
      </w:r>
    </w:p>
    <w:p>
      <w:pPr>
        <w:spacing w:line="261" w:lineRule="auto" w:before="96"/>
        <w:ind w:left="10" w:right="1" w:firstLine="0"/>
        <w:jc w:val="left"/>
        <w:rPr>
          <w:sz w:val="16"/>
        </w:rPr>
      </w:pPr>
      <w:r>
        <w:rPr>
          <w:rFonts w:ascii="Arial" w:hAnsi="Arial"/>
          <w:b/>
          <w:sz w:val="16"/>
        </w:rPr>
        <w:t>Observation unit and denominator: </w:t>
      </w:r>
      <w:r>
        <w:rPr>
          <w:sz w:val="16"/>
        </w:rPr>
        <w:t>Panel A: orders within exact line-count strata and within-stratum paid-value quartiles. Panel B: item lines by unit-price quartile; numerators are item lines with ≥1 review.</w:t>
      </w:r>
    </w:p>
    <w:p>
      <w:pPr>
        <w:spacing w:line="261" w:lineRule="auto" w:before="79"/>
        <w:ind w:left="10" w:right="1" w:firstLine="0"/>
        <w:jc w:val="left"/>
        <w:rPr>
          <w:sz w:val="16"/>
        </w:rPr>
      </w:pPr>
      <w:r>
        <w:rPr>
          <w:rFonts w:ascii="Arial" w:hAnsi="Arial"/>
          <w:b/>
          <w:sz w:val="16"/>
        </w:rPr>
        <w:t>Tables and join keys: </w:t>
      </w:r>
      <w:r>
        <w:rPr>
          <w:sz w:val="16"/>
        </w:rPr>
        <w:t>Order-item counts → orders on order_id; review presence via order_id / order_item_id; category from products on product_id (many-to-one). Order counts are aggregated before a one-to-one order join; membership flags cannot multiply rows.</w:t>
      </w:r>
    </w:p>
    <w:p>
      <w:pPr>
        <w:spacing w:line="261" w:lineRule="auto" w:before="79"/>
        <w:ind w:left="10" w:right="144" w:firstLine="0"/>
        <w:jc w:val="left"/>
        <w:rPr>
          <w:sz w:val="16"/>
        </w:rPr>
      </w:pPr>
      <w:r>
        <w:rPr>
          <w:rFonts w:ascii="Arial"/>
          <w:b/>
          <w:sz w:val="16"/>
        </w:rPr>
        <w:t>Evidence and interpretation: </w:t>
      </w:r>
      <w:r>
        <w:rPr>
          <w:sz w:val="16"/>
        </w:rPr>
        <w:t>Stratified coverage comparisons address basket opportunity and item price. Within 1,704 three-line orders, coverage rises from 74.2% to 92.0% across value quartiles. Item coverage rises from 27.0% to 63.6% across price quartiles; the direction persists within all ten categories. </w:t>
      </w:r>
      <w:r>
        <w:rPr>
          <w:rFonts w:ascii="Arial"/>
          <w:b/>
          <w:sz w:val="16"/>
        </w:rPr>
        <w:t>Limitation: </w:t>
      </w:r>
      <w:r>
        <w:rPr>
          <w:sz w:val="16"/>
        </w:rPr>
        <w:t>these are separate composition checks, not joint adjustment. Customer differences and unverified follow-up completeness remain possible explanations.</w:t>
      </w:r>
    </w:p>
    <w:p>
      <w:pPr>
        <w:spacing w:after="0" w:line="261" w:lineRule="auto"/>
        <w:jc w:val="left"/>
        <w:rPr>
          <w:sz w:val="16"/>
        </w:rPr>
        <w:sectPr>
          <w:headerReference w:type="default" r:id="rId10"/>
          <w:footerReference w:type="default" r:id="rId11"/>
          <w:pgSz w:w="11910" w:h="16840"/>
          <w:pgMar w:header="888" w:footer="330" w:top="1660" w:bottom="520" w:left="850" w:right="850"/>
        </w:sectPr>
      </w:pPr>
    </w:p>
    <w:p>
      <w:pPr>
        <w:pStyle w:val="BodyText"/>
        <w:spacing w:before="5"/>
        <w:rPr>
          <w:sz w:val="17"/>
        </w:rPr>
      </w:pPr>
    </w:p>
    <w:p>
      <w:pPr>
        <w:spacing w:line="240" w:lineRule="auto"/>
        <w:ind w:left="114" w:right="0" w:firstLine="0"/>
        <w:rPr>
          <w:sz w:val="20"/>
        </w:rPr>
      </w:pPr>
      <w:r>
        <w:rPr>
          <w:sz w:val="20"/>
        </w:rPr>
        <w:drawing>
          <wp:inline distT="0" distB="0" distL="0" distR="0">
            <wp:extent cx="6358700" cy="188385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6358700" cy="1883854"/>
                    </a:xfrm>
                    <a:prstGeom prst="rect">
                      <a:avLst/>
                    </a:prstGeom>
                  </pic:spPr>
                </pic:pic>
              </a:graphicData>
            </a:graphic>
          </wp:inline>
        </w:drawing>
      </w:r>
      <w:r>
        <w:rPr>
          <w:sz w:val="20"/>
        </w:rPr>
      </w:r>
    </w:p>
    <w:p>
      <w:pPr>
        <w:spacing w:before="168"/>
        <w:ind w:left="10" w:right="0" w:firstLine="0"/>
        <w:jc w:val="left"/>
        <w:rPr>
          <w:sz w:val="16"/>
        </w:rPr>
      </w:pPr>
      <w:r>
        <w:rPr>
          <w:rFonts w:ascii="Arial"/>
          <w:b/>
          <w:sz w:val="16"/>
        </w:rPr>
        <w:t>Question:</w:t>
      </w:r>
      <w:r>
        <w:rPr>
          <w:rFonts w:ascii="Arial"/>
          <w:b/>
          <w:spacing w:val="4"/>
          <w:sz w:val="16"/>
        </w:rPr>
        <w:t> </w:t>
      </w:r>
      <w:r>
        <w:rPr>
          <w:sz w:val="16"/>
        </w:rPr>
        <w:t>How</w:t>
      </w:r>
      <w:r>
        <w:rPr>
          <w:spacing w:val="4"/>
          <w:sz w:val="16"/>
        </w:rPr>
        <w:t> </w:t>
      </w:r>
      <w:r>
        <w:rPr>
          <w:sz w:val="16"/>
        </w:rPr>
        <w:t>does</w:t>
      </w:r>
      <w:r>
        <w:rPr>
          <w:spacing w:val="4"/>
          <w:sz w:val="16"/>
        </w:rPr>
        <w:t> </w:t>
      </w:r>
      <w:r>
        <w:rPr>
          <w:sz w:val="16"/>
        </w:rPr>
        <w:t>the</w:t>
      </w:r>
      <w:r>
        <w:rPr>
          <w:spacing w:val="4"/>
          <w:sz w:val="16"/>
        </w:rPr>
        <w:t> </w:t>
      </w:r>
      <w:r>
        <w:rPr>
          <w:sz w:val="16"/>
        </w:rPr>
        <w:t>full</w:t>
      </w:r>
      <w:r>
        <w:rPr>
          <w:spacing w:val="5"/>
          <w:sz w:val="16"/>
        </w:rPr>
        <w:t> </w:t>
      </w:r>
      <w:r>
        <w:rPr>
          <w:sz w:val="16"/>
        </w:rPr>
        <w:t>rating</w:t>
      </w:r>
      <w:r>
        <w:rPr>
          <w:spacing w:val="4"/>
          <w:sz w:val="16"/>
        </w:rPr>
        <w:t> </w:t>
      </w:r>
      <w:r>
        <w:rPr>
          <w:sz w:val="16"/>
        </w:rPr>
        <w:t>distribution</w:t>
      </w:r>
      <w:r>
        <w:rPr>
          <w:spacing w:val="4"/>
          <w:sz w:val="16"/>
        </w:rPr>
        <w:t> </w:t>
      </w:r>
      <w:r>
        <w:rPr>
          <w:sz w:val="16"/>
        </w:rPr>
        <w:t>differ</w:t>
      </w:r>
      <w:r>
        <w:rPr>
          <w:spacing w:val="4"/>
          <w:sz w:val="16"/>
        </w:rPr>
        <w:t> </w:t>
      </w:r>
      <w:r>
        <w:rPr>
          <w:sz w:val="16"/>
        </w:rPr>
        <w:t>between</w:t>
      </w:r>
      <w:r>
        <w:rPr>
          <w:spacing w:val="5"/>
          <w:sz w:val="16"/>
        </w:rPr>
        <w:t> </w:t>
      </w:r>
      <w:r>
        <w:rPr>
          <w:sz w:val="16"/>
        </w:rPr>
        <w:t>reported</w:t>
      </w:r>
      <w:r>
        <w:rPr>
          <w:spacing w:val="4"/>
          <w:sz w:val="16"/>
        </w:rPr>
        <w:t> </w:t>
      </w:r>
      <w:r>
        <w:rPr>
          <w:sz w:val="16"/>
        </w:rPr>
        <w:t>good</w:t>
      </w:r>
      <w:r>
        <w:rPr>
          <w:spacing w:val="4"/>
          <w:sz w:val="16"/>
        </w:rPr>
        <w:t> </w:t>
      </w:r>
      <w:r>
        <w:rPr>
          <w:sz w:val="16"/>
        </w:rPr>
        <w:t>and</w:t>
      </w:r>
      <w:r>
        <w:rPr>
          <w:spacing w:val="4"/>
          <w:sz w:val="16"/>
        </w:rPr>
        <w:t> </w:t>
      </w:r>
      <w:r>
        <w:rPr>
          <w:sz w:val="16"/>
        </w:rPr>
        <w:t>poor</w:t>
      </w:r>
      <w:r>
        <w:rPr>
          <w:spacing w:val="5"/>
          <w:sz w:val="16"/>
        </w:rPr>
        <w:t> </w:t>
      </w:r>
      <w:r>
        <w:rPr>
          <w:spacing w:val="-2"/>
          <w:sz w:val="16"/>
        </w:rPr>
        <w:t>value?</w:t>
      </w:r>
    </w:p>
    <w:p>
      <w:pPr>
        <w:spacing w:before="96"/>
        <w:ind w:left="10" w:right="0" w:firstLine="0"/>
        <w:jc w:val="left"/>
        <w:rPr>
          <w:sz w:val="16"/>
        </w:rPr>
      </w:pPr>
      <w:r>
        <w:rPr>
          <w:rFonts w:ascii="Arial"/>
          <w:b/>
          <w:sz w:val="16"/>
        </w:rPr>
        <w:t>Observation</w:t>
      </w:r>
      <w:r>
        <w:rPr>
          <w:rFonts w:ascii="Arial"/>
          <w:b/>
          <w:spacing w:val="5"/>
          <w:sz w:val="16"/>
        </w:rPr>
        <w:t> </w:t>
      </w:r>
      <w:r>
        <w:rPr>
          <w:rFonts w:ascii="Arial"/>
          <w:b/>
          <w:sz w:val="16"/>
        </w:rPr>
        <w:t>unit</w:t>
      </w:r>
      <w:r>
        <w:rPr>
          <w:rFonts w:ascii="Arial"/>
          <w:b/>
          <w:spacing w:val="5"/>
          <w:sz w:val="16"/>
        </w:rPr>
        <w:t> </w:t>
      </w:r>
      <w:r>
        <w:rPr>
          <w:rFonts w:ascii="Arial"/>
          <w:b/>
          <w:sz w:val="16"/>
        </w:rPr>
        <w:t>and</w:t>
      </w:r>
      <w:r>
        <w:rPr>
          <w:rFonts w:ascii="Arial"/>
          <w:b/>
          <w:spacing w:val="6"/>
          <w:sz w:val="16"/>
        </w:rPr>
        <w:t> </w:t>
      </w:r>
      <w:r>
        <w:rPr>
          <w:rFonts w:ascii="Arial"/>
          <w:b/>
          <w:sz w:val="16"/>
        </w:rPr>
        <w:t>denominator:</w:t>
      </w:r>
      <w:r>
        <w:rPr>
          <w:rFonts w:ascii="Arial"/>
          <w:b/>
          <w:spacing w:val="5"/>
          <w:sz w:val="16"/>
        </w:rPr>
        <w:t> </w:t>
      </w:r>
      <w:r>
        <w:rPr>
          <w:sz w:val="16"/>
        </w:rPr>
        <w:t>Reviews,</w:t>
      </w:r>
      <w:r>
        <w:rPr>
          <w:spacing w:val="6"/>
          <w:sz w:val="16"/>
        </w:rPr>
        <w:t> </w:t>
      </w:r>
      <w:r>
        <w:rPr>
          <w:sz w:val="16"/>
        </w:rPr>
        <w:t>clustered</w:t>
      </w:r>
      <w:r>
        <w:rPr>
          <w:spacing w:val="5"/>
          <w:sz w:val="16"/>
        </w:rPr>
        <w:t> </w:t>
      </w:r>
      <w:r>
        <w:rPr>
          <w:sz w:val="16"/>
        </w:rPr>
        <w:t>within</w:t>
      </w:r>
      <w:r>
        <w:rPr>
          <w:spacing w:val="6"/>
          <w:sz w:val="16"/>
        </w:rPr>
        <w:t> </w:t>
      </w:r>
      <w:r>
        <w:rPr>
          <w:sz w:val="16"/>
        </w:rPr>
        <w:t>orders;</w:t>
      </w:r>
      <w:r>
        <w:rPr>
          <w:spacing w:val="5"/>
          <w:sz w:val="16"/>
        </w:rPr>
        <w:t> </w:t>
      </w:r>
      <w:r>
        <w:rPr>
          <w:sz w:val="16"/>
        </w:rPr>
        <w:t>each</w:t>
      </w:r>
      <w:r>
        <w:rPr>
          <w:spacing w:val="6"/>
          <w:sz w:val="16"/>
        </w:rPr>
        <w:t> </w:t>
      </w:r>
      <w:r>
        <w:rPr>
          <w:sz w:val="16"/>
        </w:rPr>
        <w:t>review</w:t>
      </w:r>
      <w:r>
        <w:rPr>
          <w:spacing w:val="5"/>
          <w:sz w:val="16"/>
        </w:rPr>
        <w:t> </w:t>
      </w:r>
      <w:r>
        <w:rPr>
          <w:sz w:val="16"/>
        </w:rPr>
        <w:t>receives</w:t>
      </w:r>
      <w:r>
        <w:rPr>
          <w:spacing w:val="5"/>
          <w:sz w:val="16"/>
        </w:rPr>
        <w:t> </w:t>
      </w:r>
      <w:r>
        <w:rPr>
          <w:sz w:val="16"/>
        </w:rPr>
        <w:t>equal</w:t>
      </w:r>
      <w:r>
        <w:rPr>
          <w:spacing w:val="6"/>
          <w:sz w:val="16"/>
        </w:rPr>
        <w:t> </w:t>
      </w:r>
      <w:r>
        <w:rPr>
          <w:spacing w:val="-2"/>
          <w:sz w:val="16"/>
        </w:rPr>
        <w:t>weight.</w:t>
      </w:r>
    </w:p>
    <w:p>
      <w:pPr>
        <w:spacing w:line="261" w:lineRule="auto" w:before="96"/>
        <w:ind w:left="10" w:right="1" w:firstLine="0"/>
        <w:jc w:val="left"/>
        <w:rPr>
          <w:sz w:val="16"/>
        </w:rPr>
      </w:pPr>
      <w:r>
        <w:rPr>
          <w:rFonts w:ascii="Arial" w:hAnsi="Arial"/>
          <w:b/>
          <w:sz w:val="16"/>
        </w:rPr>
        <w:t>Tables and join keys: </w:t>
      </w:r>
      <w:r>
        <w:rPr>
          <w:sz w:val="16"/>
        </w:rPr>
        <w:t>product_reviews for the rating distribution, with order_id defining the bootstrap clusters. The two marginal statistics add one audited </w:t>
      </w:r>
      <w:r>
        <w:rPr>
          <w:rFonts w:ascii="Arial" w:hAnsi="Arial"/>
          <w:b/>
          <w:sz w:val="16"/>
        </w:rPr>
        <w:t>many-to-one </w:t>
      </w:r>
      <w:r>
        <w:rPr>
          <w:sz w:val="16"/>
        </w:rPr>
        <w:t>join each on order_id: product_reviews → orders for order_total, and product_reviews → deliveries for on_time_in_full. Both parents are unique on order_id, so neither join can multiply review rows (7,000 in, 7,000 out, 0 unmatched, reported by </w:t>
      </w:r>
      <w:r>
        <w:rPr>
          <w:spacing w:val="-2"/>
          <w:sz w:val="16"/>
        </w:rPr>
        <w:t>join_audit).</w:t>
      </w:r>
    </w:p>
    <w:p>
      <w:pPr>
        <w:spacing w:line="261" w:lineRule="auto" w:before="78"/>
        <w:ind w:left="10" w:right="1" w:firstLine="0"/>
        <w:jc w:val="left"/>
        <w:rPr>
          <w:sz w:val="16"/>
        </w:rPr>
      </w:pPr>
      <w:r>
        <w:rPr>
          <w:rFonts w:ascii="Arial"/>
          <w:b/>
          <w:sz w:val="16"/>
        </w:rPr>
        <w:t>Evidence and interpretation: </w:t>
      </w:r>
      <w:r>
        <w:rPr>
          <w:sz w:val="16"/>
        </w:rPr>
        <w:t>The full ordinal distribution reveals what a binary favourable-rating summary hides: at least four-star shares are 65.85% and 65.87%, but five-star shares differ by 12.7 percentage points. The mean gap is 0.179 stars (95% order-cluster bootstrap CI</w:t>
      </w:r>
    </w:p>
    <w:p>
      <w:pPr>
        <w:spacing w:line="261" w:lineRule="auto" w:before="0"/>
        <w:ind w:left="10" w:right="0" w:firstLine="0"/>
        <w:jc w:val="left"/>
        <w:rPr>
          <w:sz w:val="16"/>
        </w:rPr>
      </w:pPr>
      <w:r>
        <w:rPr>
          <w:sz w:val="16"/>
        </w:rPr>
        <w:t>0.092-0.267); Cliff's delta is 0.093. </w:t>
      </w:r>
      <w:r>
        <w:rPr>
          <w:rFonts w:ascii="Arial"/>
          <w:b/>
          <w:sz w:val="16"/>
        </w:rPr>
        <w:t>Limitation: </w:t>
      </w:r>
      <w:r>
        <w:rPr>
          <w:sz w:val="16"/>
        </w:rPr>
        <w:t>value experience and rating are co-reported, reviewed purchases are selective, and order clustering does not address repeated-customer dependence.</w:t>
      </w:r>
    </w:p>
    <w:p>
      <w:pPr>
        <w:pStyle w:val="Heading3"/>
        <w:spacing w:before="99"/>
      </w:pPr>
      <w:r>
        <w:rPr>
          <w:color w:val="183D60"/>
        </w:rPr>
        <w:t>Figure 6 - Calendar-exposure-normalised activity </w:t>
      </w:r>
      <w:r>
        <w:rPr>
          <w:color w:val="183D60"/>
          <w:spacing w:val="-2"/>
        </w:rPr>
        <w:t>(temporal)</w:t>
      </w:r>
    </w:p>
    <w:p>
      <w:pPr>
        <w:pStyle w:val="BodyText"/>
        <w:spacing w:before="8"/>
        <w:rPr>
          <w:rFonts w:ascii="Arial"/>
          <w:b/>
          <w:sz w:val="13"/>
        </w:rPr>
      </w:pPr>
      <w:r>
        <w:rPr>
          <w:rFonts w:ascii="Arial"/>
          <w:b/>
          <w:sz w:val="13"/>
        </w:rPr>
        <w:drawing>
          <wp:anchor distT="0" distB="0" distL="0" distR="0" allowOverlap="1" layoutInCell="1" locked="0" behindDoc="1" simplePos="0" relativeHeight="487588864">
            <wp:simplePos x="0" y="0"/>
            <wp:positionH relativeFrom="page">
              <wp:posOffset>590038</wp:posOffset>
            </wp:positionH>
            <wp:positionV relativeFrom="paragraph">
              <wp:posOffset>115346</wp:posOffset>
            </wp:positionV>
            <wp:extent cx="6366320" cy="184023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7" cstate="print"/>
                    <a:stretch>
                      <a:fillRect/>
                    </a:stretch>
                  </pic:blipFill>
                  <pic:spPr>
                    <a:xfrm>
                      <a:off x="0" y="0"/>
                      <a:ext cx="6366320" cy="1840230"/>
                    </a:xfrm>
                    <a:prstGeom prst="rect">
                      <a:avLst/>
                    </a:prstGeom>
                  </pic:spPr>
                </pic:pic>
              </a:graphicData>
            </a:graphic>
          </wp:anchor>
        </w:drawing>
      </w:r>
    </w:p>
    <w:p>
      <w:pPr>
        <w:spacing w:before="110"/>
        <w:ind w:left="10" w:right="0" w:firstLine="0"/>
        <w:jc w:val="left"/>
        <w:rPr>
          <w:sz w:val="16"/>
        </w:rPr>
      </w:pPr>
      <w:r>
        <w:rPr>
          <w:rFonts w:ascii="Arial"/>
          <w:b/>
          <w:sz w:val="16"/>
        </w:rPr>
        <w:t>Question:</w:t>
      </w:r>
      <w:r>
        <w:rPr>
          <w:rFonts w:ascii="Arial"/>
          <w:b/>
          <w:spacing w:val="4"/>
          <w:sz w:val="16"/>
        </w:rPr>
        <w:t> </w:t>
      </w:r>
      <w:r>
        <w:rPr>
          <w:sz w:val="16"/>
        </w:rPr>
        <w:t>How</w:t>
      </w:r>
      <w:r>
        <w:rPr>
          <w:spacing w:val="4"/>
          <w:sz w:val="16"/>
        </w:rPr>
        <w:t> </w:t>
      </w:r>
      <w:r>
        <w:rPr>
          <w:sz w:val="16"/>
        </w:rPr>
        <w:t>much</w:t>
      </w:r>
      <w:r>
        <w:rPr>
          <w:spacing w:val="4"/>
          <w:sz w:val="16"/>
        </w:rPr>
        <w:t> </w:t>
      </w:r>
      <w:r>
        <w:rPr>
          <w:sz w:val="16"/>
        </w:rPr>
        <w:t>do</w:t>
      </w:r>
      <w:r>
        <w:rPr>
          <w:spacing w:val="4"/>
          <w:sz w:val="16"/>
        </w:rPr>
        <w:t> </w:t>
      </w:r>
      <w:r>
        <w:rPr>
          <w:sz w:val="16"/>
        </w:rPr>
        <w:t>weekday</w:t>
      </w:r>
      <w:r>
        <w:rPr>
          <w:spacing w:val="5"/>
          <w:sz w:val="16"/>
        </w:rPr>
        <w:t> </w:t>
      </w:r>
      <w:r>
        <w:rPr>
          <w:sz w:val="16"/>
        </w:rPr>
        <w:t>and</w:t>
      </w:r>
      <w:r>
        <w:rPr>
          <w:spacing w:val="4"/>
          <w:sz w:val="16"/>
        </w:rPr>
        <w:t> </w:t>
      </w:r>
      <w:r>
        <w:rPr>
          <w:sz w:val="16"/>
        </w:rPr>
        <w:t>monthly</w:t>
      </w:r>
      <w:r>
        <w:rPr>
          <w:spacing w:val="4"/>
          <w:sz w:val="16"/>
        </w:rPr>
        <w:t> </w:t>
      </w:r>
      <w:r>
        <w:rPr>
          <w:sz w:val="16"/>
        </w:rPr>
        <w:t>order</w:t>
      </w:r>
      <w:r>
        <w:rPr>
          <w:spacing w:val="4"/>
          <w:sz w:val="16"/>
        </w:rPr>
        <w:t> </w:t>
      </w:r>
      <w:r>
        <w:rPr>
          <w:sz w:val="16"/>
        </w:rPr>
        <w:t>rates</w:t>
      </w:r>
      <w:r>
        <w:rPr>
          <w:spacing w:val="4"/>
          <w:sz w:val="16"/>
        </w:rPr>
        <w:t> </w:t>
      </w:r>
      <w:r>
        <w:rPr>
          <w:sz w:val="16"/>
        </w:rPr>
        <w:t>vary</w:t>
      </w:r>
      <w:r>
        <w:rPr>
          <w:spacing w:val="5"/>
          <w:sz w:val="16"/>
        </w:rPr>
        <w:t> </w:t>
      </w:r>
      <w:r>
        <w:rPr>
          <w:sz w:val="16"/>
        </w:rPr>
        <w:t>after</w:t>
      </w:r>
      <w:r>
        <w:rPr>
          <w:spacing w:val="4"/>
          <w:sz w:val="16"/>
        </w:rPr>
        <w:t> </w:t>
      </w:r>
      <w:r>
        <w:rPr>
          <w:sz w:val="16"/>
        </w:rPr>
        <w:t>calendar</w:t>
      </w:r>
      <w:r>
        <w:rPr>
          <w:spacing w:val="4"/>
          <w:sz w:val="16"/>
        </w:rPr>
        <w:t> </w:t>
      </w:r>
      <w:r>
        <w:rPr>
          <w:spacing w:val="-2"/>
          <w:sz w:val="16"/>
        </w:rPr>
        <w:t>exposure?</w:t>
      </w:r>
    </w:p>
    <w:p>
      <w:pPr>
        <w:spacing w:before="96"/>
        <w:ind w:left="10" w:right="0" w:firstLine="0"/>
        <w:jc w:val="left"/>
        <w:rPr>
          <w:sz w:val="16"/>
        </w:rPr>
      </w:pPr>
      <w:r>
        <w:rPr>
          <w:rFonts w:ascii="Arial"/>
          <w:b/>
          <w:sz w:val="16"/>
        </w:rPr>
        <w:t>Observation</w:t>
      </w:r>
      <w:r>
        <w:rPr>
          <w:rFonts w:ascii="Arial"/>
          <w:b/>
          <w:spacing w:val="5"/>
          <w:sz w:val="16"/>
        </w:rPr>
        <w:t> </w:t>
      </w:r>
      <w:r>
        <w:rPr>
          <w:rFonts w:ascii="Arial"/>
          <w:b/>
          <w:sz w:val="16"/>
        </w:rPr>
        <w:t>unit</w:t>
      </w:r>
      <w:r>
        <w:rPr>
          <w:rFonts w:ascii="Arial"/>
          <w:b/>
          <w:spacing w:val="5"/>
          <w:sz w:val="16"/>
        </w:rPr>
        <w:t> </w:t>
      </w:r>
      <w:r>
        <w:rPr>
          <w:rFonts w:ascii="Arial"/>
          <w:b/>
          <w:sz w:val="16"/>
        </w:rPr>
        <w:t>and</w:t>
      </w:r>
      <w:r>
        <w:rPr>
          <w:rFonts w:ascii="Arial"/>
          <w:b/>
          <w:spacing w:val="5"/>
          <w:sz w:val="16"/>
        </w:rPr>
        <w:t> </w:t>
      </w:r>
      <w:r>
        <w:rPr>
          <w:rFonts w:ascii="Arial"/>
          <w:b/>
          <w:sz w:val="16"/>
        </w:rPr>
        <w:t>denominator:</w:t>
      </w:r>
      <w:r>
        <w:rPr>
          <w:rFonts w:ascii="Arial"/>
          <w:b/>
          <w:spacing w:val="6"/>
          <w:sz w:val="16"/>
        </w:rPr>
        <w:t> </w:t>
      </w:r>
      <w:r>
        <w:rPr>
          <w:sz w:val="16"/>
        </w:rPr>
        <w:t>Orders</w:t>
      </w:r>
      <w:r>
        <w:rPr>
          <w:spacing w:val="5"/>
          <w:sz w:val="16"/>
        </w:rPr>
        <w:t> </w:t>
      </w:r>
      <w:r>
        <w:rPr>
          <w:sz w:val="16"/>
        </w:rPr>
        <w:t>per</w:t>
      </w:r>
      <w:r>
        <w:rPr>
          <w:spacing w:val="5"/>
          <w:sz w:val="16"/>
        </w:rPr>
        <w:t> </w:t>
      </w:r>
      <w:r>
        <w:rPr>
          <w:sz w:val="16"/>
        </w:rPr>
        <w:t>calendar</w:t>
      </w:r>
      <w:r>
        <w:rPr>
          <w:spacing w:val="6"/>
          <w:sz w:val="16"/>
        </w:rPr>
        <w:t> </w:t>
      </w:r>
      <w:r>
        <w:rPr>
          <w:sz w:val="16"/>
        </w:rPr>
        <w:t>day</w:t>
      </w:r>
      <w:r>
        <w:rPr>
          <w:spacing w:val="5"/>
          <w:sz w:val="16"/>
        </w:rPr>
        <w:t> </w:t>
      </w:r>
      <w:r>
        <w:rPr>
          <w:sz w:val="16"/>
        </w:rPr>
        <w:t>in</w:t>
      </w:r>
      <w:r>
        <w:rPr>
          <w:spacing w:val="5"/>
          <w:sz w:val="16"/>
        </w:rPr>
        <w:t> </w:t>
      </w:r>
      <w:r>
        <w:rPr>
          <w:sz w:val="16"/>
        </w:rPr>
        <w:t>each</w:t>
      </w:r>
      <w:r>
        <w:rPr>
          <w:spacing w:val="6"/>
          <w:sz w:val="16"/>
        </w:rPr>
        <w:t> </w:t>
      </w:r>
      <w:r>
        <w:rPr>
          <w:sz w:val="16"/>
        </w:rPr>
        <w:t>weekday/month;</w:t>
      </w:r>
      <w:r>
        <w:rPr>
          <w:spacing w:val="5"/>
          <w:sz w:val="16"/>
        </w:rPr>
        <w:t> </w:t>
      </w:r>
      <w:r>
        <w:rPr>
          <w:sz w:val="16"/>
        </w:rPr>
        <w:t>zero-order</w:t>
      </w:r>
      <w:r>
        <w:rPr>
          <w:spacing w:val="5"/>
          <w:sz w:val="16"/>
        </w:rPr>
        <w:t> </w:t>
      </w:r>
      <w:r>
        <w:rPr>
          <w:sz w:val="16"/>
        </w:rPr>
        <w:t>dates</w:t>
      </w:r>
      <w:r>
        <w:rPr>
          <w:spacing w:val="5"/>
          <w:sz w:val="16"/>
        </w:rPr>
        <w:t> </w:t>
      </w:r>
      <w:r>
        <w:rPr>
          <w:spacing w:val="-2"/>
          <w:sz w:val="16"/>
        </w:rPr>
        <w:t>included.</w:t>
      </w:r>
    </w:p>
    <w:p>
      <w:pPr>
        <w:spacing w:before="96"/>
        <w:ind w:left="10" w:right="0" w:firstLine="0"/>
        <w:jc w:val="left"/>
        <w:rPr>
          <w:sz w:val="16"/>
        </w:rPr>
      </w:pPr>
      <w:r>
        <w:rPr>
          <w:rFonts w:ascii="Arial"/>
          <w:b/>
          <w:sz w:val="16"/>
        </w:rPr>
        <w:t>Tables</w:t>
      </w:r>
      <w:r>
        <w:rPr>
          <w:rFonts w:ascii="Arial"/>
          <w:b/>
          <w:spacing w:val="5"/>
          <w:sz w:val="16"/>
        </w:rPr>
        <w:t> </w:t>
      </w:r>
      <w:r>
        <w:rPr>
          <w:rFonts w:ascii="Arial"/>
          <w:b/>
          <w:sz w:val="16"/>
        </w:rPr>
        <w:t>and</w:t>
      </w:r>
      <w:r>
        <w:rPr>
          <w:rFonts w:ascii="Arial"/>
          <w:b/>
          <w:spacing w:val="6"/>
          <w:sz w:val="16"/>
        </w:rPr>
        <w:t> </w:t>
      </w:r>
      <w:r>
        <w:rPr>
          <w:rFonts w:ascii="Arial"/>
          <w:b/>
          <w:sz w:val="16"/>
        </w:rPr>
        <w:t>join</w:t>
      </w:r>
      <w:r>
        <w:rPr>
          <w:rFonts w:ascii="Arial"/>
          <w:b/>
          <w:spacing w:val="6"/>
          <w:sz w:val="16"/>
        </w:rPr>
        <w:t> </w:t>
      </w:r>
      <w:r>
        <w:rPr>
          <w:rFonts w:ascii="Arial"/>
          <w:b/>
          <w:sz w:val="16"/>
        </w:rPr>
        <w:t>keys:</w:t>
      </w:r>
      <w:r>
        <w:rPr>
          <w:rFonts w:ascii="Arial"/>
          <w:b/>
          <w:spacing w:val="5"/>
          <w:sz w:val="16"/>
        </w:rPr>
        <w:t> </w:t>
      </w:r>
      <w:r>
        <w:rPr>
          <w:sz w:val="16"/>
        </w:rPr>
        <w:t>orders.order_timestamp;</w:t>
      </w:r>
      <w:r>
        <w:rPr>
          <w:spacing w:val="6"/>
          <w:sz w:val="16"/>
        </w:rPr>
        <w:t> </w:t>
      </w:r>
      <w:r>
        <w:rPr>
          <w:sz w:val="16"/>
        </w:rPr>
        <w:t>no</w:t>
      </w:r>
      <w:r>
        <w:rPr>
          <w:spacing w:val="6"/>
          <w:sz w:val="16"/>
        </w:rPr>
        <w:t> </w:t>
      </w:r>
      <w:r>
        <w:rPr>
          <w:spacing w:val="-2"/>
          <w:sz w:val="16"/>
        </w:rPr>
        <w:t>join.</w:t>
      </w:r>
    </w:p>
    <w:p>
      <w:pPr>
        <w:spacing w:line="261" w:lineRule="auto" w:before="96"/>
        <w:ind w:left="10" w:right="1" w:firstLine="0"/>
        <w:jc w:val="left"/>
        <w:rPr>
          <w:sz w:val="16"/>
        </w:rPr>
      </w:pPr>
      <w:r>
        <w:rPr>
          <w:rFonts w:ascii="Arial"/>
          <w:b/>
          <w:sz w:val="16"/>
        </w:rPr>
        <w:t>Evidence and interpretation: </w:t>
      </w:r>
      <w:r>
        <w:rPr>
          <w:sz w:val="16"/>
        </w:rPr>
        <w:t>Normalising by calendar-day exposure makes weekday and month comparisons comparable. Weekday rates span 13.50-13.85 orders/day and monthly rates 12.80-14.94; daily SD is 3.55 and IQR is 5. </w:t>
      </w:r>
      <w:r>
        <w:rPr>
          <w:rFonts w:ascii="Arial"/>
          <w:b/>
          <w:sz w:val="16"/>
        </w:rPr>
        <w:t>Limitation: </w:t>
      </w:r>
      <w:r>
        <w:rPr>
          <w:sz w:val="16"/>
        </w:rPr>
        <w:t>near-flat averages do not establish predictability. One year cannot identify recurring seasonality, and calendar days do not measure marketing or opening-hour exposure.</w:t>
      </w:r>
    </w:p>
    <w:p>
      <w:pPr>
        <w:spacing w:after="0" w:line="261" w:lineRule="auto"/>
        <w:jc w:val="left"/>
        <w:rPr>
          <w:sz w:val="16"/>
        </w:rPr>
        <w:sectPr>
          <w:headerReference w:type="default" r:id="rId14"/>
          <w:footerReference w:type="default" r:id="rId15"/>
          <w:pgSz w:w="11910" w:h="16840"/>
          <w:pgMar w:header="888" w:footer="330" w:top="1660" w:bottom="520" w:left="850" w:right="850"/>
        </w:sectPr>
      </w:pPr>
    </w:p>
    <w:p>
      <w:pPr>
        <w:pStyle w:val="Heading3"/>
      </w:pPr>
      <w:r>
        <w:rPr>
          <w:color w:val="183D60"/>
        </w:rPr>
        <w:t>Figure 7 - Recorded warehouse, service and OTIF (delivery/operational </w:t>
      </w:r>
      <w:r>
        <w:rPr>
          <w:color w:val="183D60"/>
          <w:spacing w:val="-2"/>
        </w:rPr>
        <w:t>performance)</w:t>
      </w:r>
    </w:p>
    <w:p>
      <w:pPr>
        <w:pStyle w:val="BodyText"/>
        <w:rPr>
          <w:rFonts w:ascii="Arial"/>
          <w:b/>
          <w:sz w:val="14"/>
        </w:rPr>
      </w:pPr>
      <w:r>
        <w:rPr>
          <w:rFonts w:ascii="Arial"/>
          <w:b/>
          <w:sz w:val="14"/>
        </w:rPr>
        <w:drawing>
          <wp:anchor distT="0" distB="0" distL="0" distR="0" allowOverlap="1" layoutInCell="1" locked="0" behindDoc="1" simplePos="0" relativeHeight="487589376">
            <wp:simplePos x="0" y="0"/>
            <wp:positionH relativeFrom="page">
              <wp:posOffset>596308</wp:posOffset>
            </wp:positionH>
            <wp:positionV relativeFrom="paragraph">
              <wp:posOffset>117484</wp:posOffset>
            </wp:positionV>
            <wp:extent cx="6387084" cy="203453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6387084" cy="2034539"/>
                    </a:xfrm>
                    <a:prstGeom prst="rect">
                      <a:avLst/>
                    </a:prstGeom>
                  </pic:spPr>
                </pic:pic>
              </a:graphicData>
            </a:graphic>
          </wp:anchor>
        </w:drawing>
      </w:r>
    </w:p>
    <w:p>
      <w:pPr>
        <w:spacing w:line="364" w:lineRule="auto" w:before="78"/>
        <w:ind w:left="10" w:right="3702" w:firstLine="0"/>
        <w:jc w:val="left"/>
        <w:rPr>
          <w:sz w:val="16"/>
        </w:rPr>
      </w:pPr>
      <w:r>
        <w:rPr>
          <w:rFonts w:ascii="Arial"/>
          <w:b/>
          <w:sz w:val="16"/>
        </w:rPr>
        <w:t>Question: </w:t>
      </w:r>
      <w:r>
        <w:rPr>
          <w:sz w:val="16"/>
        </w:rPr>
        <w:t>Do OTIF rates differ across the recorded nearest-warehouse groups? </w:t>
      </w:r>
      <w:r>
        <w:rPr>
          <w:rFonts w:ascii="Arial"/>
          <w:b/>
          <w:sz w:val="16"/>
        </w:rPr>
        <w:t>Observation unit and denominator: </w:t>
      </w:r>
      <w:r>
        <w:rPr>
          <w:sz w:val="16"/>
        </w:rPr>
        <w:t>Deliveries; group successes / group </w:t>
      </w:r>
      <w:r>
        <w:rPr>
          <w:sz w:val="16"/>
        </w:rPr>
        <w:t>deliveries. </w:t>
      </w:r>
      <w:r>
        <w:rPr>
          <w:rFonts w:ascii="Arial"/>
          <w:b/>
          <w:sz w:val="16"/>
        </w:rPr>
        <w:t>Tables and join keys: </w:t>
      </w:r>
      <w:r>
        <w:rPr>
          <w:sz w:val="16"/>
        </w:rPr>
        <w:t>deliveries joins orders on order_id (one-to-one).</w:t>
      </w:r>
    </w:p>
    <w:p>
      <w:pPr>
        <w:spacing w:line="261" w:lineRule="auto" w:before="1"/>
        <w:ind w:left="10" w:right="25" w:firstLine="0"/>
        <w:jc w:val="left"/>
        <w:rPr>
          <w:sz w:val="16"/>
        </w:rPr>
      </w:pPr>
      <w:r>
        <w:rPr>
          <w:rFonts w:ascii="Arial"/>
          <w:b/>
          <w:sz w:val="16"/>
        </w:rPr>
        <w:t>Evidence and interpretation: </w:t>
      </w:r>
      <w:r>
        <w:rPr>
          <w:sz w:val="16"/>
        </w:rPr>
        <w:t>Rate comparisons with uncertainty intervals expose support and precision. Nickolson records 92.2% OTIF (898 deliveries), versus 88.8% elsewhere (4,102), a 3.44-point gap with approximate simultaneous 95% CI [0.77, 5.70]. The advantage persists</w:t>
      </w:r>
      <w:r>
        <w:rPr>
          <w:spacing w:val="40"/>
          <w:sz w:val="16"/>
        </w:rPr>
        <w:t> </w:t>
      </w:r>
      <w:r>
        <w:rPr>
          <w:sz w:val="16"/>
        </w:rPr>
        <w:t>within both services. </w:t>
      </w:r>
      <w:r>
        <w:rPr>
          <w:rFonts w:ascii="Arial"/>
          <w:b/>
          <w:sz w:val="16"/>
        </w:rPr>
        <w:t>Limitation: </w:t>
      </w:r>
      <w:r>
        <w:rPr>
          <w:sz w:val="16"/>
        </w:rPr>
        <w:t>service adjustment does not remove geography or other case mix; nearest warehouse is not verified </w:t>
      </w:r>
      <w:r>
        <w:rPr>
          <w:sz w:val="16"/>
        </w:rPr>
        <w:t>dispatch origin, and repeated customers can affect uncertainty.</w:t>
      </w:r>
    </w:p>
    <w:p>
      <w:pPr>
        <w:pStyle w:val="Heading3"/>
        <w:spacing w:before="99"/>
      </w:pPr>
      <w:r>
        <w:rPr>
          <w:color w:val="183D60"/>
        </w:rPr>
        <w:t>Figure 8 - Delivery cost recovery by service (delivery/operational </w:t>
      </w:r>
      <w:r>
        <w:rPr>
          <w:color w:val="183D60"/>
          <w:spacing w:val="-2"/>
        </w:rPr>
        <w:t>performance)</w:t>
      </w:r>
    </w:p>
    <w:p>
      <w:pPr>
        <w:pStyle w:val="BodyText"/>
        <w:spacing w:before="5"/>
        <w:rPr>
          <w:rFonts w:ascii="Arial"/>
          <w:b/>
          <w:sz w:val="14"/>
        </w:rPr>
      </w:pPr>
      <w:r>
        <w:rPr>
          <w:rFonts w:ascii="Arial"/>
          <w:b/>
          <w:sz w:val="14"/>
        </w:rPr>
        <w:drawing>
          <wp:anchor distT="0" distB="0" distL="0" distR="0" allowOverlap="1" layoutInCell="1" locked="0" behindDoc="1" simplePos="0" relativeHeight="487589888">
            <wp:simplePos x="0" y="0"/>
            <wp:positionH relativeFrom="page">
              <wp:posOffset>644657</wp:posOffset>
            </wp:positionH>
            <wp:positionV relativeFrom="paragraph">
              <wp:posOffset>120878</wp:posOffset>
            </wp:positionV>
            <wp:extent cx="6256782" cy="2215133"/>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6256782" cy="2215133"/>
                    </a:xfrm>
                    <a:prstGeom prst="rect">
                      <a:avLst/>
                    </a:prstGeom>
                  </pic:spPr>
                </pic:pic>
              </a:graphicData>
            </a:graphic>
          </wp:anchor>
        </w:drawing>
      </w:r>
    </w:p>
    <w:p>
      <w:pPr>
        <w:spacing w:before="99"/>
        <w:ind w:left="10" w:right="0" w:firstLine="0"/>
        <w:jc w:val="left"/>
        <w:rPr>
          <w:sz w:val="16"/>
        </w:rPr>
      </w:pPr>
      <w:r>
        <w:rPr>
          <w:rFonts w:ascii="Arial"/>
          <w:b/>
          <w:sz w:val="16"/>
        </w:rPr>
        <w:t>Question:</w:t>
      </w:r>
      <w:r>
        <w:rPr>
          <w:rFonts w:ascii="Arial"/>
          <w:b/>
          <w:spacing w:val="4"/>
          <w:sz w:val="16"/>
        </w:rPr>
        <w:t> </w:t>
      </w:r>
      <w:r>
        <w:rPr>
          <w:sz w:val="16"/>
        </w:rPr>
        <w:t>How</w:t>
      </w:r>
      <w:r>
        <w:rPr>
          <w:spacing w:val="5"/>
          <w:sz w:val="16"/>
        </w:rPr>
        <w:t> </w:t>
      </w:r>
      <w:r>
        <w:rPr>
          <w:sz w:val="16"/>
        </w:rPr>
        <w:t>do</w:t>
      </w:r>
      <w:r>
        <w:rPr>
          <w:spacing w:val="5"/>
          <w:sz w:val="16"/>
        </w:rPr>
        <w:t> </w:t>
      </w:r>
      <w:r>
        <w:rPr>
          <w:sz w:val="16"/>
        </w:rPr>
        <w:t>charges</w:t>
      </w:r>
      <w:r>
        <w:rPr>
          <w:spacing w:val="5"/>
          <w:sz w:val="16"/>
        </w:rPr>
        <w:t> </w:t>
      </w:r>
      <w:r>
        <w:rPr>
          <w:sz w:val="16"/>
        </w:rPr>
        <w:t>compare</w:t>
      </w:r>
      <w:r>
        <w:rPr>
          <w:spacing w:val="4"/>
          <w:sz w:val="16"/>
        </w:rPr>
        <w:t> </w:t>
      </w:r>
      <w:r>
        <w:rPr>
          <w:sz w:val="16"/>
        </w:rPr>
        <w:t>with</w:t>
      </w:r>
      <w:r>
        <w:rPr>
          <w:spacing w:val="5"/>
          <w:sz w:val="16"/>
        </w:rPr>
        <w:t> </w:t>
      </w:r>
      <w:r>
        <w:rPr>
          <w:sz w:val="16"/>
        </w:rPr>
        <w:t>recorded</w:t>
      </w:r>
      <w:r>
        <w:rPr>
          <w:spacing w:val="5"/>
          <w:sz w:val="16"/>
        </w:rPr>
        <w:t> </w:t>
      </w:r>
      <w:r>
        <w:rPr>
          <w:sz w:val="16"/>
        </w:rPr>
        <w:t>delivery</w:t>
      </w:r>
      <w:r>
        <w:rPr>
          <w:spacing w:val="4"/>
          <w:sz w:val="16"/>
        </w:rPr>
        <w:t> </w:t>
      </w:r>
      <w:r>
        <w:rPr>
          <w:sz w:val="16"/>
        </w:rPr>
        <w:t>costs</w:t>
      </w:r>
      <w:r>
        <w:rPr>
          <w:spacing w:val="5"/>
          <w:sz w:val="16"/>
        </w:rPr>
        <w:t> </w:t>
      </w:r>
      <w:r>
        <w:rPr>
          <w:sz w:val="16"/>
        </w:rPr>
        <w:t>across</w:t>
      </w:r>
      <w:r>
        <w:rPr>
          <w:spacing w:val="5"/>
          <w:sz w:val="16"/>
        </w:rPr>
        <w:t> </w:t>
      </w:r>
      <w:r>
        <w:rPr>
          <w:spacing w:val="-2"/>
          <w:sz w:val="16"/>
        </w:rPr>
        <w:t>services?</w:t>
      </w:r>
    </w:p>
    <w:p>
      <w:pPr>
        <w:spacing w:before="96"/>
        <w:ind w:left="10" w:right="0" w:firstLine="0"/>
        <w:jc w:val="left"/>
        <w:rPr>
          <w:sz w:val="16"/>
        </w:rPr>
      </w:pPr>
      <w:r>
        <w:rPr>
          <w:rFonts w:ascii="Arial"/>
          <w:b/>
          <w:sz w:val="16"/>
        </w:rPr>
        <w:t>Observation</w:t>
      </w:r>
      <w:r>
        <w:rPr>
          <w:rFonts w:ascii="Arial"/>
          <w:b/>
          <w:spacing w:val="5"/>
          <w:sz w:val="16"/>
        </w:rPr>
        <w:t> </w:t>
      </w:r>
      <w:r>
        <w:rPr>
          <w:rFonts w:ascii="Arial"/>
          <w:b/>
          <w:sz w:val="16"/>
        </w:rPr>
        <w:t>unit</w:t>
      </w:r>
      <w:r>
        <w:rPr>
          <w:rFonts w:ascii="Arial"/>
          <w:b/>
          <w:spacing w:val="5"/>
          <w:sz w:val="16"/>
        </w:rPr>
        <w:t> </w:t>
      </w:r>
      <w:r>
        <w:rPr>
          <w:rFonts w:ascii="Arial"/>
          <w:b/>
          <w:sz w:val="16"/>
        </w:rPr>
        <w:t>and</w:t>
      </w:r>
      <w:r>
        <w:rPr>
          <w:rFonts w:ascii="Arial"/>
          <w:b/>
          <w:spacing w:val="5"/>
          <w:sz w:val="16"/>
        </w:rPr>
        <w:t> </w:t>
      </w:r>
      <w:r>
        <w:rPr>
          <w:rFonts w:ascii="Arial"/>
          <w:b/>
          <w:sz w:val="16"/>
        </w:rPr>
        <w:t>denominator:</w:t>
      </w:r>
      <w:r>
        <w:rPr>
          <w:rFonts w:ascii="Arial"/>
          <w:b/>
          <w:spacing w:val="5"/>
          <w:sz w:val="16"/>
        </w:rPr>
        <w:t> </w:t>
      </w:r>
      <w:r>
        <w:rPr>
          <w:sz w:val="16"/>
        </w:rPr>
        <w:t>deliveries;</w:t>
      </w:r>
      <w:r>
        <w:rPr>
          <w:spacing w:val="5"/>
          <w:sz w:val="16"/>
        </w:rPr>
        <w:t> </w:t>
      </w:r>
      <w:r>
        <w:rPr>
          <w:sz w:val="16"/>
        </w:rPr>
        <w:t>recovery</w:t>
      </w:r>
      <w:r>
        <w:rPr>
          <w:spacing w:val="5"/>
          <w:sz w:val="16"/>
        </w:rPr>
        <w:t> </w:t>
      </w:r>
      <w:r>
        <w:rPr>
          <w:sz w:val="16"/>
        </w:rPr>
        <w:t>=</w:t>
      </w:r>
      <w:r>
        <w:rPr>
          <w:spacing w:val="5"/>
          <w:sz w:val="16"/>
        </w:rPr>
        <w:t> </w:t>
      </w:r>
      <w:r>
        <w:rPr>
          <w:sz w:val="16"/>
        </w:rPr>
        <w:t>sum(charges)</w:t>
      </w:r>
      <w:r>
        <w:rPr>
          <w:spacing w:val="5"/>
          <w:sz w:val="16"/>
        </w:rPr>
        <w:t> </w:t>
      </w:r>
      <w:r>
        <w:rPr>
          <w:sz w:val="16"/>
        </w:rPr>
        <w:t>/</w:t>
      </w:r>
      <w:r>
        <w:rPr>
          <w:spacing w:val="5"/>
          <w:sz w:val="16"/>
        </w:rPr>
        <w:t> </w:t>
      </w:r>
      <w:r>
        <w:rPr>
          <w:sz w:val="16"/>
        </w:rPr>
        <w:t>sum(recorded</w:t>
      </w:r>
      <w:r>
        <w:rPr>
          <w:spacing w:val="5"/>
          <w:sz w:val="16"/>
        </w:rPr>
        <w:t> </w:t>
      </w:r>
      <w:r>
        <w:rPr>
          <w:sz w:val="16"/>
        </w:rPr>
        <w:t>costs),</w:t>
      </w:r>
      <w:r>
        <w:rPr>
          <w:spacing w:val="5"/>
          <w:sz w:val="16"/>
        </w:rPr>
        <w:t> </w:t>
      </w:r>
      <w:r>
        <w:rPr>
          <w:sz w:val="16"/>
        </w:rPr>
        <w:t>not</w:t>
      </w:r>
      <w:r>
        <w:rPr>
          <w:spacing w:val="5"/>
          <w:sz w:val="16"/>
        </w:rPr>
        <w:t> </w:t>
      </w:r>
      <w:r>
        <w:rPr>
          <w:sz w:val="16"/>
        </w:rPr>
        <w:t>the</w:t>
      </w:r>
      <w:r>
        <w:rPr>
          <w:spacing w:val="6"/>
          <w:sz w:val="16"/>
        </w:rPr>
        <w:t> </w:t>
      </w:r>
      <w:r>
        <w:rPr>
          <w:sz w:val="16"/>
        </w:rPr>
        <w:t>average</w:t>
      </w:r>
      <w:r>
        <w:rPr>
          <w:spacing w:val="5"/>
          <w:sz w:val="16"/>
        </w:rPr>
        <w:t> </w:t>
      </w:r>
      <w:r>
        <w:rPr>
          <w:sz w:val="16"/>
        </w:rPr>
        <w:t>of</w:t>
      </w:r>
      <w:r>
        <w:rPr>
          <w:spacing w:val="5"/>
          <w:sz w:val="16"/>
        </w:rPr>
        <w:t> </w:t>
      </w:r>
      <w:r>
        <w:rPr>
          <w:sz w:val="16"/>
        </w:rPr>
        <w:t>individual</w:t>
      </w:r>
      <w:r>
        <w:rPr>
          <w:spacing w:val="5"/>
          <w:sz w:val="16"/>
        </w:rPr>
        <w:t> </w:t>
      </w:r>
      <w:r>
        <w:rPr>
          <w:sz w:val="16"/>
        </w:rPr>
        <w:t>order</w:t>
      </w:r>
      <w:r>
        <w:rPr>
          <w:spacing w:val="5"/>
          <w:sz w:val="16"/>
        </w:rPr>
        <w:t> </w:t>
      </w:r>
      <w:r>
        <w:rPr>
          <w:spacing w:val="-2"/>
          <w:sz w:val="16"/>
        </w:rPr>
        <w:t>ratios.</w:t>
      </w:r>
    </w:p>
    <w:p>
      <w:pPr>
        <w:spacing w:before="96"/>
        <w:ind w:left="10" w:right="0" w:firstLine="0"/>
        <w:jc w:val="left"/>
        <w:rPr>
          <w:sz w:val="16"/>
        </w:rPr>
      </w:pPr>
      <w:r>
        <w:rPr>
          <w:rFonts w:ascii="Arial" w:hAnsi="Arial"/>
          <w:b/>
          <w:sz w:val="16"/>
        </w:rPr>
        <w:t>Tables</w:t>
      </w:r>
      <w:r>
        <w:rPr>
          <w:rFonts w:ascii="Arial" w:hAnsi="Arial"/>
          <w:b/>
          <w:spacing w:val="4"/>
          <w:sz w:val="16"/>
        </w:rPr>
        <w:t> </w:t>
      </w:r>
      <w:r>
        <w:rPr>
          <w:rFonts w:ascii="Arial" w:hAnsi="Arial"/>
          <w:b/>
          <w:sz w:val="16"/>
        </w:rPr>
        <w:t>and</w:t>
      </w:r>
      <w:r>
        <w:rPr>
          <w:rFonts w:ascii="Arial" w:hAnsi="Arial"/>
          <w:b/>
          <w:spacing w:val="5"/>
          <w:sz w:val="16"/>
        </w:rPr>
        <w:t> </w:t>
      </w:r>
      <w:r>
        <w:rPr>
          <w:rFonts w:ascii="Arial" w:hAnsi="Arial"/>
          <w:b/>
          <w:sz w:val="16"/>
        </w:rPr>
        <w:t>join</w:t>
      </w:r>
      <w:r>
        <w:rPr>
          <w:rFonts w:ascii="Arial" w:hAnsi="Arial"/>
          <w:b/>
          <w:spacing w:val="4"/>
          <w:sz w:val="16"/>
        </w:rPr>
        <w:t> </w:t>
      </w:r>
      <w:r>
        <w:rPr>
          <w:rFonts w:ascii="Arial" w:hAnsi="Arial"/>
          <w:b/>
          <w:sz w:val="16"/>
        </w:rPr>
        <w:t>keys:</w:t>
      </w:r>
      <w:r>
        <w:rPr>
          <w:rFonts w:ascii="Arial" w:hAnsi="Arial"/>
          <w:b/>
          <w:spacing w:val="5"/>
          <w:sz w:val="16"/>
        </w:rPr>
        <w:t> </w:t>
      </w:r>
      <w:r>
        <w:rPr>
          <w:sz w:val="16"/>
        </w:rPr>
        <w:t>deliveries</w:t>
      </w:r>
      <w:r>
        <w:rPr>
          <w:spacing w:val="4"/>
          <w:sz w:val="16"/>
        </w:rPr>
        <w:t> </w:t>
      </w:r>
      <w:r>
        <w:rPr>
          <w:sz w:val="16"/>
        </w:rPr>
        <w:t>→</w:t>
      </w:r>
      <w:r>
        <w:rPr>
          <w:spacing w:val="5"/>
          <w:sz w:val="16"/>
        </w:rPr>
        <w:t> </w:t>
      </w:r>
      <w:r>
        <w:rPr>
          <w:sz w:val="16"/>
        </w:rPr>
        <w:t>orders</w:t>
      </w:r>
      <w:r>
        <w:rPr>
          <w:spacing w:val="5"/>
          <w:sz w:val="16"/>
        </w:rPr>
        <w:t> </w:t>
      </w:r>
      <w:r>
        <w:rPr>
          <w:sz w:val="16"/>
        </w:rPr>
        <w:t>on</w:t>
      </w:r>
      <w:r>
        <w:rPr>
          <w:spacing w:val="4"/>
          <w:sz w:val="16"/>
        </w:rPr>
        <w:t> </w:t>
      </w:r>
      <w:r>
        <w:rPr>
          <w:sz w:val="16"/>
        </w:rPr>
        <w:t>order_id</w:t>
      </w:r>
      <w:r>
        <w:rPr>
          <w:spacing w:val="5"/>
          <w:sz w:val="16"/>
        </w:rPr>
        <w:t> </w:t>
      </w:r>
      <w:r>
        <w:rPr>
          <w:sz w:val="16"/>
        </w:rPr>
        <w:t>(</w:t>
      </w:r>
      <w:r>
        <w:rPr>
          <w:rFonts w:ascii="Arial" w:hAnsi="Arial"/>
          <w:b/>
          <w:sz w:val="16"/>
        </w:rPr>
        <w:t>one-to-</w:t>
      </w:r>
      <w:r>
        <w:rPr>
          <w:rFonts w:ascii="Arial" w:hAnsi="Arial"/>
          <w:b/>
          <w:spacing w:val="-2"/>
          <w:sz w:val="16"/>
        </w:rPr>
        <w:t>one</w:t>
      </w:r>
      <w:r>
        <w:rPr>
          <w:spacing w:val="-2"/>
          <w:sz w:val="16"/>
        </w:rPr>
        <w:t>).</w:t>
      </w:r>
    </w:p>
    <w:p>
      <w:pPr>
        <w:spacing w:line="261" w:lineRule="auto" w:before="96"/>
        <w:ind w:left="10" w:right="166" w:firstLine="0"/>
        <w:jc w:val="left"/>
        <w:rPr>
          <w:sz w:val="16"/>
        </w:rPr>
      </w:pPr>
      <w:r>
        <w:rPr>
          <w:rFonts w:ascii="Arial"/>
          <w:b/>
          <w:sz w:val="16"/>
        </w:rPr>
        <w:t>Evidence and interpretation: </w:t>
      </w:r>
      <w:r>
        <w:rPr>
          <w:sz w:val="16"/>
        </w:rPr>
        <w:t>Comparing charges, recorded costs and recovery ratios separates monetary scale from relative recovery. All 5,000 matched deliveries have non-negative recorded contribution; the aggregate difference is AUD 15,095 and median AUD 2.74. Standard and Express recovery ratios are 1.27 and 1.28. </w:t>
      </w:r>
      <w:r>
        <w:rPr>
          <w:rFonts w:ascii="Arial"/>
          <w:b/>
          <w:sz w:val="16"/>
        </w:rPr>
        <w:t>Limitation: </w:t>
      </w:r>
      <w:r>
        <w:rPr>
          <w:sz w:val="16"/>
        </w:rPr>
        <w:t>recorded cost coverage is incomplete; positive recovery does not establish full profitability or delivery reliability.</w:t>
      </w:r>
    </w:p>
    <w:p>
      <w:pPr>
        <w:spacing w:after="0" w:line="261" w:lineRule="auto"/>
        <w:jc w:val="left"/>
        <w:rPr>
          <w:sz w:val="16"/>
        </w:rPr>
        <w:sectPr>
          <w:headerReference w:type="default" r:id="rId18"/>
          <w:footerReference w:type="default" r:id="rId19"/>
          <w:pgSz w:w="11910" w:h="16840"/>
          <w:pgMar w:header="888" w:footer="330" w:top="1220" w:bottom="520" w:left="850" w:right="850"/>
        </w:sectPr>
      </w:pPr>
    </w:p>
    <w:p>
      <w:pPr>
        <w:pStyle w:val="BodyText"/>
      </w:pPr>
    </w:p>
    <w:p>
      <w:pPr>
        <w:pStyle w:val="Heading6"/>
        <w:numPr>
          <w:ilvl w:val="0"/>
          <w:numId w:val="2"/>
        </w:numPr>
        <w:tabs>
          <w:tab w:pos="210" w:val="left" w:leader="none"/>
        </w:tabs>
        <w:spacing w:line="240" w:lineRule="auto" w:before="0" w:after="0"/>
        <w:ind w:left="210" w:right="0" w:hanging="200"/>
        <w:jc w:val="left"/>
      </w:pPr>
      <w:r>
        <w:rPr/>
        <w:t>Finding 1: Large transactions do not establish dependence on a small customer </w:t>
      </w:r>
      <w:r>
        <w:rPr>
          <w:spacing w:val="-2"/>
        </w:rPr>
        <w:t>elite.</w:t>
      </w:r>
    </w:p>
    <w:p>
      <w:pPr>
        <w:pStyle w:val="ListParagraph"/>
        <w:numPr>
          <w:ilvl w:val="1"/>
          <w:numId w:val="2"/>
        </w:numPr>
        <w:tabs>
          <w:tab w:pos="123" w:val="left" w:leader="none"/>
        </w:tabs>
        <w:spacing w:line="266" w:lineRule="auto" w:before="123" w:after="0"/>
        <w:ind w:left="10" w:right="184" w:firstLine="0"/>
        <w:jc w:val="left"/>
        <w:rPr>
          <w:rFonts w:ascii="Arial" w:hAnsi="Arial"/>
          <w:i/>
          <w:sz w:val="18"/>
        </w:rPr>
      </w:pPr>
      <w:r>
        <w:rPr>
          <w:sz w:val="18"/>
        </w:rPr>
        <w:t>Across</w:t>
      </w:r>
      <w:r>
        <w:rPr>
          <w:spacing w:val="-3"/>
          <w:sz w:val="18"/>
        </w:rPr>
        <w:t> </w:t>
      </w:r>
      <w:r>
        <w:rPr>
          <w:sz w:val="18"/>
        </w:rPr>
        <w:t>5,000</w:t>
      </w:r>
      <w:r>
        <w:rPr>
          <w:spacing w:val="-3"/>
          <w:sz w:val="18"/>
        </w:rPr>
        <w:t> </w:t>
      </w:r>
      <w:r>
        <w:rPr>
          <w:sz w:val="18"/>
        </w:rPr>
        <w:t>orders</w:t>
      </w:r>
      <w:r>
        <w:rPr>
          <w:spacing w:val="-3"/>
          <w:sz w:val="18"/>
        </w:rPr>
        <w:t> </w:t>
      </w:r>
      <w:r>
        <w:rPr>
          <w:sz w:val="18"/>
        </w:rPr>
        <w:t>(500</w:t>
      </w:r>
      <w:r>
        <w:rPr>
          <w:spacing w:val="-3"/>
          <w:sz w:val="18"/>
        </w:rPr>
        <w:t> </w:t>
      </w:r>
      <w:r>
        <w:rPr>
          <w:sz w:val="18"/>
        </w:rPr>
        <w:t>customers),</w:t>
      </w:r>
      <w:r>
        <w:rPr>
          <w:spacing w:val="-3"/>
          <w:sz w:val="18"/>
        </w:rPr>
        <w:t> </w:t>
      </w:r>
      <w:r>
        <w:rPr>
          <w:sz w:val="18"/>
        </w:rPr>
        <w:t>mean</w:t>
      </w:r>
      <w:r>
        <w:rPr>
          <w:spacing w:val="-3"/>
          <w:sz w:val="18"/>
        </w:rPr>
        <w:t> </w:t>
      </w:r>
      <w:r>
        <w:rPr>
          <w:sz w:val="18"/>
        </w:rPr>
        <w:t>paid</w:t>
      </w:r>
      <w:r>
        <w:rPr>
          <w:spacing w:val="-3"/>
          <w:sz w:val="18"/>
        </w:rPr>
        <w:t> </w:t>
      </w:r>
      <w:r>
        <w:rPr>
          <w:sz w:val="18"/>
        </w:rPr>
        <w:t>order</w:t>
      </w:r>
      <w:r>
        <w:rPr>
          <w:spacing w:val="-3"/>
          <w:sz w:val="18"/>
        </w:rPr>
        <w:t> </w:t>
      </w:r>
      <w:r>
        <w:rPr>
          <w:sz w:val="18"/>
        </w:rPr>
        <w:t>value</w:t>
      </w:r>
      <w:r>
        <w:rPr>
          <w:spacing w:val="-3"/>
          <w:sz w:val="18"/>
        </w:rPr>
        <w:t> </w:t>
      </w:r>
      <w:r>
        <w:rPr>
          <w:sz w:val="18"/>
        </w:rPr>
        <w:t>exceeds</w:t>
      </w:r>
      <w:r>
        <w:rPr>
          <w:spacing w:val="-3"/>
          <w:sz w:val="18"/>
        </w:rPr>
        <w:t> </w:t>
      </w:r>
      <w:r>
        <w:rPr>
          <w:sz w:val="18"/>
        </w:rPr>
        <w:t>the</w:t>
      </w:r>
      <w:r>
        <w:rPr>
          <w:spacing w:val="-3"/>
          <w:sz w:val="18"/>
        </w:rPr>
        <w:t> </w:t>
      </w:r>
      <w:r>
        <w:rPr>
          <w:sz w:val="18"/>
        </w:rPr>
        <w:t>median</w:t>
      </w:r>
      <w:r>
        <w:rPr>
          <w:spacing w:val="-3"/>
          <w:sz w:val="18"/>
        </w:rPr>
        <w:t> </w:t>
      </w:r>
      <w:r>
        <w:rPr>
          <w:sz w:val="18"/>
        </w:rPr>
        <w:t>($2,858</w:t>
      </w:r>
      <w:r>
        <w:rPr>
          <w:spacing w:val="-3"/>
          <w:sz w:val="18"/>
        </w:rPr>
        <w:t> </w:t>
      </w:r>
      <w:r>
        <w:rPr>
          <w:sz w:val="18"/>
        </w:rPr>
        <w:t>versus</w:t>
      </w:r>
      <w:r>
        <w:rPr>
          <w:spacing w:val="-3"/>
          <w:sz w:val="18"/>
        </w:rPr>
        <w:t> </w:t>
      </w:r>
      <w:r>
        <w:rPr>
          <w:sz w:val="18"/>
        </w:rPr>
        <w:t>$2,410),</w:t>
      </w:r>
      <w:r>
        <w:rPr>
          <w:spacing w:val="-3"/>
          <w:sz w:val="18"/>
        </w:rPr>
        <w:t> </w:t>
      </w:r>
      <w:r>
        <w:rPr>
          <w:sz w:val="18"/>
        </w:rPr>
        <w:t>but</w:t>
      </w:r>
      <w:r>
        <w:rPr>
          <w:spacing w:val="-3"/>
          <w:sz w:val="18"/>
        </w:rPr>
        <w:t> </w:t>
      </w:r>
      <w:r>
        <w:rPr>
          <w:sz w:val="18"/>
        </w:rPr>
        <w:t>concentration falls at customer grain: the top 10% of orders contribute 26.2% of paid value, whereas the top 10% of customers contribute 17.5%, and the Gini falls from 0.38 (order grain) to 0.22 (customer grain). Transaction variability should therefore not be translated directly into a VIP-focused retention strategy. The unresolved question is whether high customer spending persists across periods or reflects occasional large baskets. </w:t>
      </w:r>
      <w:r>
        <w:rPr>
          <w:rFonts w:ascii="Arial" w:hAnsi="Arial"/>
          <w:i/>
          <w:sz w:val="18"/>
        </w:rPr>
        <w:t>Evidence: Figure 1. → MLQ-1</w:t>
      </w:r>
    </w:p>
    <w:p>
      <w:pPr>
        <w:pStyle w:val="Heading6"/>
        <w:numPr>
          <w:ilvl w:val="0"/>
          <w:numId w:val="2"/>
        </w:numPr>
        <w:tabs>
          <w:tab w:pos="210" w:val="left" w:leader="none"/>
        </w:tabs>
        <w:spacing w:line="266" w:lineRule="auto" w:before="102" w:after="0"/>
        <w:ind w:left="10" w:right="61" w:firstLine="0"/>
        <w:jc w:val="left"/>
      </w:pPr>
      <w:r>
        <w:rPr/>
        <w:t>Finding</w:t>
      </w:r>
      <w:r>
        <w:rPr>
          <w:spacing w:val="-2"/>
        </w:rPr>
        <w:t> </w:t>
      </w:r>
      <w:r>
        <w:rPr/>
        <w:t>2:</w:t>
      </w:r>
      <w:r>
        <w:rPr>
          <w:spacing w:val="-2"/>
        </w:rPr>
        <w:t> </w:t>
      </w:r>
      <w:r>
        <w:rPr/>
        <w:t>Weighted</w:t>
      </w:r>
      <w:r>
        <w:rPr>
          <w:spacing w:val="-2"/>
        </w:rPr>
        <w:t> </w:t>
      </w:r>
      <w:r>
        <w:rPr/>
        <w:t>price</w:t>
      </w:r>
      <w:r>
        <w:rPr>
          <w:spacing w:val="-2"/>
        </w:rPr>
        <w:t> </w:t>
      </w:r>
      <w:r>
        <w:rPr/>
        <w:t>is</w:t>
      </w:r>
      <w:r>
        <w:rPr>
          <w:spacing w:val="-2"/>
        </w:rPr>
        <w:t> </w:t>
      </w:r>
      <w:r>
        <w:rPr/>
        <w:t>the</w:t>
      </w:r>
      <w:r>
        <w:rPr>
          <w:spacing w:val="-2"/>
        </w:rPr>
        <w:t> </w:t>
      </w:r>
      <w:r>
        <w:rPr/>
        <w:t>larger</w:t>
      </w:r>
      <w:r>
        <w:rPr>
          <w:spacing w:val="-2"/>
        </w:rPr>
        <w:t> </w:t>
      </w:r>
      <w:r>
        <w:rPr/>
        <w:t>structural</w:t>
      </w:r>
      <w:r>
        <w:rPr>
          <w:spacing w:val="-2"/>
        </w:rPr>
        <w:t> </w:t>
      </w:r>
      <w:r>
        <w:rPr/>
        <w:t>share</w:t>
      </w:r>
      <w:r>
        <w:rPr>
          <w:spacing w:val="-2"/>
        </w:rPr>
        <w:t> </w:t>
      </w:r>
      <w:r>
        <w:rPr/>
        <w:t>of</w:t>
      </w:r>
      <w:r>
        <w:rPr>
          <w:spacing w:val="-2"/>
        </w:rPr>
        <w:t> </w:t>
      </w:r>
      <w:r>
        <w:rPr/>
        <w:t>basket-value</w:t>
      </w:r>
      <w:r>
        <w:rPr>
          <w:spacing w:val="-2"/>
        </w:rPr>
        <w:t> </w:t>
      </w:r>
      <w:r>
        <w:rPr/>
        <w:t>dispersion,</w:t>
      </w:r>
      <w:r>
        <w:rPr>
          <w:spacing w:val="-2"/>
        </w:rPr>
        <w:t> </w:t>
      </w:r>
      <w:r>
        <w:rPr/>
        <w:t>but</w:t>
      </w:r>
      <w:r>
        <w:rPr>
          <w:spacing w:val="-2"/>
        </w:rPr>
        <w:t> </w:t>
      </w:r>
      <w:r>
        <w:rPr/>
        <w:t>the</w:t>
      </w:r>
      <w:r>
        <w:rPr>
          <w:spacing w:val="-2"/>
        </w:rPr>
        <w:t> </w:t>
      </w:r>
      <w:r>
        <w:rPr/>
        <w:t>accounting</w:t>
      </w:r>
      <w:r>
        <w:rPr>
          <w:spacing w:val="-2"/>
        </w:rPr>
        <w:t> </w:t>
      </w:r>
      <w:r>
        <w:rPr/>
        <w:t>identity</w:t>
      </w:r>
      <w:r>
        <w:rPr>
          <w:spacing w:val="-2"/>
        </w:rPr>
        <w:t> </w:t>
      </w:r>
      <w:r>
        <w:rPr/>
        <w:t>is</w:t>
      </w:r>
      <w:r>
        <w:rPr>
          <w:spacing w:val="-2"/>
        </w:rPr>
        <w:t> </w:t>
      </w:r>
      <w:r>
        <w:rPr/>
        <w:t>not a predictive discovery.</w:t>
      </w:r>
    </w:p>
    <w:p>
      <w:pPr>
        <w:pStyle w:val="ListParagraph"/>
        <w:numPr>
          <w:ilvl w:val="1"/>
          <w:numId w:val="2"/>
        </w:numPr>
        <w:tabs>
          <w:tab w:pos="123" w:val="left" w:leader="none"/>
        </w:tabs>
        <w:spacing w:line="266" w:lineRule="auto" w:before="100" w:after="0"/>
        <w:ind w:left="10" w:right="68" w:firstLine="0"/>
        <w:jc w:val="left"/>
        <w:rPr>
          <w:rFonts w:ascii="Arial" w:hAnsi="Arial"/>
          <w:i/>
          <w:sz w:val="18"/>
        </w:rPr>
      </w:pPr>
      <w:r>
        <w:rPr>
          <w:sz w:val="18"/>
        </w:rPr>
        <w:t>At order grain (n = 5,000), quantity-weighted unit price contributes 57.0% of the log gross-value variance, versus quantity's 32.1% and twice their covariance 10.9% (additive algebraic shares of an identity, not importance weights). This supports examining</w:t>
      </w:r>
      <w:r>
        <w:rPr>
          <w:spacing w:val="-2"/>
          <w:sz w:val="18"/>
        </w:rPr>
        <w:t> </w:t>
      </w:r>
      <w:r>
        <w:rPr>
          <w:sz w:val="18"/>
        </w:rPr>
        <w:t>what</w:t>
      </w:r>
      <w:r>
        <w:rPr>
          <w:spacing w:val="-2"/>
          <w:sz w:val="18"/>
        </w:rPr>
        <w:t> </w:t>
      </w:r>
      <w:r>
        <w:rPr>
          <w:sz w:val="18"/>
        </w:rPr>
        <w:t>customers</w:t>
      </w:r>
      <w:r>
        <w:rPr>
          <w:spacing w:val="-2"/>
          <w:sz w:val="18"/>
        </w:rPr>
        <w:t> </w:t>
      </w:r>
      <w:r>
        <w:rPr>
          <w:sz w:val="18"/>
        </w:rPr>
        <w:t>buy</w:t>
      </w:r>
      <w:r>
        <w:rPr>
          <w:spacing w:val="-2"/>
          <w:sz w:val="18"/>
        </w:rPr>
        <w:t> </w:t>
      </w:r>
      <w:r>
        <w:rPr>
          <w:sz w:val="18"/>
        </w:rPr>
        <w:t>alongside</w:t>
      </w:r>
      <w:r>
        <w:rPr>
          <w:spacing w:val="-2"/>
          <w:sz w:val="18"/>
        </w:rPr>
        <w:t> </w:t>
      </w:r>
      <w:r>
        <w:rPr>
          <w:sz w:val="18"/>
        </w:rPr>
        <w:t>how</w:t>
      </w:r>
      <w:r>
        <w:rPr>
          <w:spacing w:val="-2"/>
          <w:sz w:val="18"/>
        </w:rPr>
        <w:t> </w:t>
      </w:r>
      <w:r>
        <w:rPr>
          <w:sz w:val="18"/>
        </w:rPr>
        <w:t>much</w:t>
      </w:r>
      <w:r>
        <w:rPr>
          <w:spacing w:val="-2"/>
          <w:sz w:val="18"/>
        </w:rPr>
        <w:t> </w:t>
      </w:r>
      <w:r>
        <w:rPr>
          <w:sz w:val="18"/>
        </w:rPr>
        <w:t>they</w:t>
      </w:r>
      <w:r>
        <w:rPr>
          <w:spacing w:val="-2"/>
          <w:sz w:val="18"/>
        </w:rPr>
        <w:t> </w:t>
      </w:r>
      <w:r>
        <w:rPr>
          <w:sz w:val="18"/>
        </w:rPr>
        <w:t>buy.</w:t>
      </w:r>
      <w:r>
        <w:rPr>
          <w:spacing w:val="-2"/>
          <w:sz w:val="18"/>
        </w:rPr>
        <w:t> </w:t>
      </w:r>
      <w:r>
        <w:rPr>
          <w:sz w:val="18"/>
        </w:rPr>
        <w:t>However,</w:t>
      </w:r>
      <w:r>
        <w:rPr>
          <w:spacing w:val="-2"/>
          <w:sz w:val="18"/>
        </w:rPr>
        <w:t> </w:t>
      </w:r>
      <w:r>
        <w:rPr>
          <w:sz w:val="18"/>
        </w:rPr>
        <w:t>weighted</w:t>
      </w:r>
      <w:r>
        <w:rPr>
          <w:spacing w:val="-2"/>
          <w:sz w:val="18"/>
        </w:rPr>
        <w:t> </w:t>
      </w:r>
      <w:r>
        <w:rPr>
          <w:sz w:val="18"/>
        </w:rPr>
        <w:t>price</w:t>
      </w:r>
      <w:r>
        <w:rPr>
          <w:spacing w:val="-2"/>
          <w:sz w:val="18"/>
        </w:rPr>
        <w:t> </w:t>
      </w:r>
      <w:r>
        <w:rPr>
          <w:sz w:val="18"/>
        </w:rPr>
        <w:t>is</w:t>
      </w:r>
      <w:r>
        <w:rPr>
          <w:spacing w:val="-2"/>
          <w:sz w:val="18"/>
        </w:rPr>
        <w:t> </w:t>
      </w:r>
      <w:r>
        <w:rPr>
          <w:sz w:val="18"/>
        </w:rPr>
        <w:t>itself</w:t>
      </w:r>
      <w:r>
        <w:rPr>
          <w:spacing w:val="-2"/>
          <w:sz w:val="18"/>
        </w:rPr>
        <w:t> </w:t>
      </w:r>
      <w:r>
        <w:rPr>
          <w:sz w:val="18"/>
        </w:rPr>
        <w:t>gross</w:t>
      </w:r>
      <w:r>
        <w:rPr>
          <w:spacing w:val="-2"/>
          <w:sz w:val="18"/>
        </w:rPr>
        <w:t> </w:t>
      </w:r>
      <w:r>
        <w:rPr>
          <w:sz w:val="18"/>
        </w:rPr>
        <w:t>value</w:t>
      </w:r>
      <w:r>
        <w:rPr>
          <w:spacing w:val="-2"/>
          <w:sz w:val="18"/>
        </w:rPr>
        <w:t> </w:t>
      </w:r>
      <w:r>
        <w:rPr>
          <w:sz w:val="18"/>
        </w:rPr>
        <w:t>divided</w:t>
      </w:r>
      <w:r>
        <w:rPr>
          <w:spacing w:val="-2"/>
          <w:sz w:val="18"/>
        </w:rPr>
        <w:t> </w:t>
      </w:r>
      <w:r>
        <w:rPr>
          <w:sz w:val="18"/>
        </w:rPr>
        <w:t>by</w:t>
      </w:r>
      <w:r>
        <w:rPr>
          <w:spacing w:val="-2"/>
          <w:sz w:val="18"/>
        </w:rPr>
        <w:t> </w:t>
      </w:r>
      <w:r>
        <w:rPr>
          <w:sz w:val="18"/>
        </w:rPr>
        <w:t>quantity, so predicting the same basket's gross value from these components would largely reconstruct an identity; a meaningful modelling task must instead predict future purchasing behaviour from information available beforehand. </w:t>
      </w:r>
      <w:r>
        <w:rPr>
          <w:rFonts w:ascii="Arial" w:hAnsi="Arial"/>
          <w:i/>
          <w:sz w:val="18"/>
        </w:rPr>
        <w:t>Evidence: Figures 1–2 and the monetary safeguards. → MLQ-1</w:t>
      </w:r>
    </w:p>
    <w:p>
      <w:pPr>
        <w:pStyle w:val="Heading6"/>
        <w:numPr>
          <w:ilvl w:val="0"/>
          <w:numId w:val="2"/>
        </w:numPr>
        <w:tabs>
          <w:tab w:pos="210" w:val="left" w:leader="none"/>
        </w:tabs>
        <w:spacing w:line="266" w:lineRule="auto" w:before="102" w:after="0"/>
        <w:ind w:left="10" w:right="611" w:firstLine="0"/>
        <w:jc w:val="left"/>
      </w:pPr>
      <w:r>
        <w:rPr/>
        <w:t>Finding</w:t>
      </w:r>
      <w:r>
        <w:rPr>
          <w:spacing w:val="-3"/>
        </w:rPr>
        <w:t> </w:t>
      </w:r>
      <w:r>
        <w:rPr/>
        <w:t>3:</w:t>
      </w:r>
      <w:r>
        <w:rPr>
          <w:spacing w:val="-3"/>
        </w:rPr>
        <w:t> </w:t>
      </w:r>
      <w:r>
        <w:rPr/>
        <w:t>Commercial</w:t>
      </w:r>
      <w:r>
        <w:rPr>
          <w:spacing w:val="-3"/>
        </w:rPr>
        <w:t> </w:t>
      </w:r>
      <w:r>
        <w:rPr/>
        <w:t>importance</w:t>
      </w:r>
      <w:r>
        <w:rPr>
          <w:spacing w:val="-3"/>
        </w:rPr>
        <w:t> </w:t>
      </w:r>
      <w:r>
        <w:rPr/>
        <w:t>depends</w:t>
      </w:r>
      <w:r>
        <w:rPr>
          <w:spacing w:val="-3"/>
        </w:rPr>
        <w:t> </w:t>
      </w:r>
      <w:r>
        <w:rPr/>
        <w:t>on</w:t>
      </w:r>
      <w:r>
        <w:rPr>
          <w:spacing w:val="-3"/>
        </w:rPr>
        <w:t> </w:t>
      </w:r>
      <w:r>
        <w:rPr/>
        <w:t>sales</w:t>
      </w:r>
      <w:r>
        <w:rPr>
          <w:spacing w:val="-3"/>
        </w:rPr>
        <w:t> </w:t>
      </w:r>
      <w:r>
        <w:rPr/>
        <w:t>scale</w:t>
      </w:r>
      <w:r>
        <w:rPr>
          <w:spacing w:val="-3"/>
        </w:rPr>
        <w:t> </w:t>
      </w:r>
      <w:r>
        <w:rPr/>
        <w:t>and</w:t>
      </w:r>
      <w:r>
        <w:rPr>
          <w:spacing w:val="-3"/>
        </w:rPr>
        <w:t> </w:t>
      </w:r>
      <w:r>
        <w:rPr/>
        <w:t>contribution</w:t>
      </w:r>
      <w:r>
        <w:rPr>
          <w:spacing w:val="-3"/>
        </w:rPr>
        <w:t> </w:t>
      </w:r>
      <w:r>
        <w:rPr/>
        <w:t>rate</w:t>
      </w:r>
      <w:r>
        <w:rPr>
          <w:spacing w:val="-3"/>
        </w:rPr>
        <w:t> </w:t>
      </w:r>
      <w:r>
        <w:rPr/>
        <w:t>jointly;</w:t>
      </w:r>
      <w:r>
        <w:rPr>
          <w:spacing w:val="-3"/>
        </w:rPr>
        <w:t> </w:t>
      </w:r>
      <w:r>
        <w:rPr/>
        <w:t>neither</w:t>
      </w:r>
      <w:r>
        <w:rPr>
          <w:spacing w:val="-3"/>
        </w:rPr>
        <w:t> </w:t>
      </w:r>
      <w:r>
        <w:rPr/>
        <w:t>ranking</w:t>
      </w:r>
      <w:r>
        <w:rPr>
          <w:spacing w:val="-3"/>
        </w:rPr>
        <w:t> </w:t>
      </w:r>
      <w:r>
        <w:rPr/>
        <w:t>alone identifies an investment opportunity.</w:t>
      </w:r>
    </w:p>
    <w:p>
      <w:pPr>
        <w:pStyle w:val="ListParagraph"/>
        <w:numPr>
          <w:ilvl w:val="1"/>
          <w:numId w:val="2"/>
        </w:numPr>
        <w:tabs>
          <w:tab w:pos="123" w:val="left" w:leader="none"/>
        </w:tabs>
        <w:spacing w:line="266" w:lineRule="auto" w:before="100" w:after="0"/>
        <w:ind w:left="10" w:right="68" w:firstLine="0"/>
        <w:jc w:val="left"/>
        <w:rPr>
          <w:rFonts w:ascii="Arial" w:hAnsi="Arial"/>
          <w:i/>
          <w:sz w:val="18"/>
        </w:rPr>
      </w:pPr>
      <w:r>
        <w:rPr>
          <w:sz w:val="18"/>
        </w:rPr>
        <w:t>Across 15,739 item lines in ten categories, discounted sales span about 5.0× ($512k for Accessory to $2.57M for Laptop), while contribution-proxy rates range only 28.6%–33.1%. The much wider sales variation makes scale central to absolute contribution, although rate differences can still reorder similarly sized categories. Consequently a high-rate category is not automatically the largest contributor, and a large contributor is not automatically the best growth opportunity. Demand persistence</w:t>
      </w:r>
      <w:r>
        <w:rPr>
          <w:spacing w:val="-3"/>
          <w:sz w:val="18"/>
        </w:rPr>
        <w:t> </w:t>
      </w:r>
      <w:r>
        <w:rPr>
          <w:sz w:val="18"/>
        </w:rPr>
        <w:t>and</w:t>
      </w:r>
      <w:r>
        <w:rPr>
          <w:spacing w:val="-3"/>
          <w:sz w:val="18"/>
        </w:rPr>
        <w:t> </w:t>
      </w:r>
      <w:r>
        <w:rPr>
          <w:sz w:val="18"/>
        </w:rPr>
        <w:t>comparable</w:t>
      </w:r>
      <w:r>
        <w:rPr>
          <w:spacing w:val="-3"/>
          <w:sz w:val="18"/>
        </w:rPr>
        <w:t> </w:t>
      </w:r>
      <w:r>
        <w:rPr>
          <w:sz w:val="18"/>
        </w:rPr>
        <w:t>costs</w:t>
      </w:r>
      <w:r>
        <w:rPr>
          <w:spacing w:val="-3"/>
          <w:sz w:val="18"/>
        </w:rPr>
        <w:t> </w:t>
      </w:r>
      <w:r>
        <w:rPr>
          <w:sz w:val="18"/>
        </w:rPr>
        <w:t>must</w:t>
      </w:r>
      <w:r>
        <w:rPr>
          <w:spacing w:val="-3"/>
          <w:sz w:val="18"/>
        </w:rPr>
        <w:t> </w:t>
      </w:r>
      <w:r>
        <w:rPr>
          <w:sz w:val="18"/>
        </w:rPr>
        <w:t>be</w:t>
      </w:r>
      <w:r>
        <w:rPr>
          <w:spacing w:val="-3"/>
          <w:sz w:val="18"/>
        </w:rPr>
        <w:t> </w:t>
      </w:r>
      <w:r>
        <w:rPr>
          <w:sz w:val="18"/>
        </w:rPr>
        <w:t>established</w:t>
      </w:r>
      <w:r>
        <w:rPr>
          <w:spacing w:val="-3"/>
          <w:sz w:val="18"/>
        </w:rPr>
        <w:t> </w:t>
      </w:r>
      <w:r>
        <w:rPr>
          <w:sz w:val="18"/>
        </w:rPr>
        <w:t>before</w:t>
      </w:r>
      <w:r>
        <w:rPr>
          <w:spacing w:val="-3"/>
          <w:sz w:val="18"/>
        </w:rPr>
        <w:t> </w:t>
      </w:r>
      <w:r>
        <w:rPr>
          <w:sz w:val="18"/>
        </w:rPr>
        <w:t>translating</w:t>
      </w:r>
      <w:r>
        <w:rPr>
          <w:spacing w:val="-3"/>
          <w:sz w:val="18"/>
        </w:rPr>
        <w:t> </w:t>
      </w:r>
      <w:r>
        <w:rPr>
          <w:sz w:val="18"/>
        </w:rPr>
        <w:t>portfolio</w:t>
      </w:r>
      <w:r>
        <w:rPr>
          <w:spacing w:val="-3"/>
          <w:sz w:val="18"/>
        </w:rPr>
        <w:t> </w:t>
      </w:r>
      <w:r>
        <w:rPr>
          <w:sz w:val="18"/>
        </w:rPr>
        <w:t>rankings</w:t>
      </w:r>
      <w:r>
        <w:rPr>
          <w:spacing w:val="-3"/>
          <w:sz w:val="18"/>
        </w:rPr>
        <w:t> </w:t>
      </w:r>
      <w:r>
        <w:rPr>
          <w:sz w:val="18"/>
        </w:rPr>
        <w:t>into</w:t>
      </w:r>
      <w:r>
        <w:rPr>
          <w:spacing w:val="-3"/>
          <w:sz w:val="18"/>
        </w:rPr>
        <w:t> </w:t>
      </w:r>
      <w:r>
        <w:rPr>
          <w:sz w:val="18"/>
        </w:rPr>
        <w:t>investment</w:t>
      </w:r>
      <w:r>
        <w:rPr>
          <w:spacing w:val="-3"/>
          <w:sz w:val="18"/>
        </w:rPr>
        <w:t> </w:t>
      </w:r>
      <w:r>
        <w:rPr>
          <w:sz w:val="18"/>
        </w:rPr>
        <w:t>priorities.</w:t>
      </w:r>
      <w:r>
        <w:rPr>
          <w:spacing w:val="-3"/>
          <w:sz w:val="18"/>
        </w:rPr>
        <w:t> </w:t>
      </w:r>
      <w:r>
        <w:rPr>
          <w:rFonts w:ascii="Arial" w:hAnsi="Arial"/>
          <w:i/>
          <w:sz w:val="18"/>
        </w:rPr>
        <w:t>Evidence: Figures 2–3. → MLQ-1</w:t>
      </w:r>
    </w:p>
    <w:p>
      <w:pPr>
        <w:pStyle w:val="Heading6"/>
        <w:numPr>
          <w:ilvl w:val="0"/>
          <w:numId w:val="2"/>
        </w:numPr>
        <w:tabs>
          <w:tab w:pos="210" w:val="left" w:leader="none"/>
        </w:tabs>
        <w:spacing w:line="240" w:lineRule="auto" w:before="102" w:after="0"/>
        <w:ind w:left="210" w:right="0" w:hanging="200"/>
        <w:jc w:val="left"/>
      </w:pPr>
      <w:r>
        <w:rPr/>
        <w:t>Finding 4: Broad order-level feedback coverage conceals substantial gaps in product-level </w:t>
      </w:r>
      <w:r>
        <w:rPr>
          <w:spacing w:val="-2"/>
        </w:rPr>
        <w:t>representation.</w:t>
      </w:r>
    </w:p>
    <w:p>
      <w:pPr>
        <w:pStyle w:val="ListParagraph"/>
        <w:numPr>
          <w:ilvl w:val="1"/>
          <w:numId w:val="2"/>
        </w:numPr>
        <w:tabs>
          <w:tab w:pos="121" w:val="left" w:leader="none"/>
        </w:tabs>
        <w:spacing w:line="266" w:lineRule="auto" w:before="123" w:after="0"/>
        <w:ind w:left="10" w:right="9" w:firstLine="0"/>
        <w:jc w:val="left"/>
        <w:rPr>
          <w:sz w:val="18"/>
        </w:rPr>
      </w:pPr>
      <w:r>
        <w:rPr>
          <w:sz w:val="18"/>
        </w:rPr>
        <w:t>At</w:t>
      </w:r>
      <w:r>
        <w:rPr>
          <w:spacing w:val="-4"/>
          <w:sz w:val="18"/>
        </w:rPr>
        <w:t> </w:t>
      </w:r>
      <w:r>
        <w:rPr>
          <w:sz w:val="18"/>
        </w:rPr>
        <w:t>least</w:t>
      </w:r>
      <w:r>
        <w:rPr>
          <w:spacing w:val="-4"/>
          <w:sz w:val="18"/>
        </w:rPr>
        <w:t> </w:t>
      </w:r>
      <w:r>
        <w:rPr>
          <w:sz w:val="18"/>
        </w:rPr>
        <w:t>one</w:t>
      </w:r>
      <w:r>
        <w:rPr>
          <w:spacing w:val="-4"/>
          <w:sz w:val="18"/>
        </w:rPr>
        <w:t> </w:t>
      </w:r>
      <w:r>
        <w:rPr>
          <w:sz w:val="18"/>
        </w:rPr>
        <w:t>review</w:t>
      </w:r>
      <w:r>
        <w:rPr>
          <w:spacing w:val="-4"/>
          <w:sz w:val="18"/>
        </w:rPr>
        <w:t> </w:t>
      </w:r>
      <w:r>
        <w:rPr>
          <w:sz w:val="18"/>
        </w:rPr>
        <w:t>appears</w:t>
      </w:r>
      <w:r>
        <w:rPr>
          <w:spacing w:val="-4"/>
          <w:sz w:val="18"/>
        </w:rPr>
        <w:t> </w:t>
      </w:r>
      <w:r>
        <w:rPr>
          <w:sz w:val="18"/>
        </w:rPr>
        <w:t>on</w:t>
      </w:r>
      <w:r>
        <w:rPr>
          <w:spacing w:val="-4"/>
          <w:sz w:val="18"/>
        </w:rPr>
        <w:t> </w:t>
      </w:r>
      <w:r>
        <w:rPr>
          <w:sz w:val="18"/>
        </w:rPr>
        <w:t>4,017</w:t>
      </w:r>
      <w:r>
        <w:rPr>
          <w:spacing w:val="-4"/>
          <w:sz w:val="18"/>
        </w:rPr>
        <w:t> </w:t>
      </w:r>
      <w:r>
        <w:rPr>
          <w:sz w:val="18"/>
        </w:rPr>
        <w:t>of</w:t>
      </w:r>
      <w:r>
        <w:rPr>
          <w:spacing w:val="-4"/>
          <w:sz w:val="18"/>
        </w:rPr>
        <w:t> </w:t>
      </w:r>
      <w:r>
        <w:rPr>
          <w:sz w:val="18"/>
        </w:rPr>
        <w:t>5,000</w:t>
      </w:r>
      <w:r>
        <w:rPr>
          <w:spacing w:val="-4"/>
          <w:sz w:val="18"/>
        </w:rPr>
        <w:t> </w:t>
      </w:r>
      <w:r>
        <w:rPr>
          <w:sz w:val="18"/>
        </w:rPr>
        <w:t>orders</w:t>
      </w:r>
      <w:r>
        <w:rPr>
          <w:spacing w:val="-4"/>
          <w:sz w:val="18"/>
        </w:rPr>
        <w:t> </w:t>
      </w:r>
      <w:r>
        <w:rPr>
          <w:sz w:val="18"/>
        </w:rPr>
        <w:t>(80.3%),</w:t>
      </w:r>
      <w:r>
        <w:rPr>
          <w:spacing w:val="-4"/>
          <w:sz w:val="18"/>
        </w:rPr>
        <w:t> </w:t>
      </w:r>
      <w:r>
        <w:rPr>
          <w:sz w:val="18"/>
        </w:rPr>
        <w:t>yet</w:t>
      </w:r>
      <w:r>
        <w:rPr>
          <w:spacing w:val="-4"/>
          <w:sz w:val="18"/>
        </w:rPr>
        <w:t> </w:t>
      </w:r>
      <w:r>
        <w:rPr>
          <w:sz w:val="18"/>
        </w:rPr>
        <w:t>only</w:t>
      </w:r>
      <w:r>
        <w:rPr>
          <w:spacing w:val="-4"/>
          <w:sz w:val="18"/>
        </w:rPr>
        <w:t> </w:t>
      </w:r>
      <w:r>
        <w:rPr>
          <w:sz w:val="18"/>
        </w:rPr>
        <w:t>7,000</w:t>
      </w:r>
      <w:r>
        <w:rPr>
          <w:spacing w:val="-4"/>
          <w:sz w:val="18"/>
        </w:rPr>
        <w:t> </w:t>
      </w:r>
      <w:r>
        <w:rPr>
          <w:sz w:val="18"/>
        </w:rPr>
        <w:t>of</w:t>
      </w:r>
      <w:r>
        <w:rPr>
          <w:spacing w:val="-4"/>
          <w:sz w:val="18"/>
        </w:rPr>
        <w:t> </w:t>
      </w:r>
      <w:r>
        <w:rPr>
          <w:sz w:val="18"/>
        </w:rPr>
        <w:t>15,739</w:t>
      </w:r>
      <w:r>
        <w:rPr>
          <w:spacing w:val="-4"/>
          <w:sz w:val="18"/>
        </w:rPr>
        <w:t> </w:t>
      </w:r>
      <w:r>
        <w:rPr>
          <w:sz w:val="18"/>
        </w:rPr>
        <w:t>item</w:t>
      </w:r>
      <w:r>
        <w:rPr>
          <w:spacing w:val="-4"/>
          <w:sz w:val="18"/>
        </w:rPr>
        <w:t> </w:t>
      </w:r>
      <w:r>
        <w:rPr>
          <w:sz w:val="18"/>
        </w:rPr>
        <w:t>lines</w:t>
      </w:r>
      <w:r>
        <w:rPr>
          <w:spacing w:val="-4"/>
          <w:sz w:val="18"/>
        </w:rPr>
        <w:t> </w:t>
      </w:r>
      <w:r>
        <w:rPr>
          <w:sz w:val="18"/>
        </w:rPr>
        <w:t>(44.5%)</w:t>
      </w:r>
      <w:r>
        <w:rPr>
          <w:spacing w:val="-4"/>
          <w:sz w:val="18"/>
        </w:rPr>
        <w:t> </w:t>
      </w:r>
      <w:r>
        <w:rPr>
          <w:sz w:val="18"/>
        </w:rPr>
        <w:t>are</w:t>
      </w:r>
      <w:r>
        <w:rPr>
          <w:spacing w:val="-4"/>
          <w:sz w:val="18"/>
        </w:rPr>
        <w:t> </w:t>
      </w:r>
      <w:r>
        <w:rPr>
          <w:sz w:val="18"/>
        </w:rPr>
        <w:t>reviewed.</w:t>
      </w:r>
      <w:r>
        <w:rPr>
          <w:spacing w:val="-4"/>
          <w:sz w:val="18"/>
        </w:rPr>
        <w:t> </w:t>
      </w:r>
      <w:r>
        <w:rPr>
          <w:sz w:val="18"/>
        </w:rPr>
        <w:t>These denominators answer different questions: an order can look represented while most of its purchased items remain unobserved, so order-level engagement is an inadequate assurance of product-feedback completeness. These are also </w:t>
      </w:r>
      <w:r>
        <w:rPr>
          <w:rFonts w:ascii="Arial" w:hAnsi="Arial"/>
          <w:b/>
          <w:sz w:val="18"/>
        </w:rPr>
        <w:t>export-observed coverage rates, not verified eventual response rates </w:t>
      </w:r>
      <w:r>
        <w:rPr>
          <w:sz w:val="18"/>
        </w:rPr>
        <w:t>- the data contain orders through 2018-12-31, deliveries through</w:t>
      </w:r>
    </w:p>
    <w:p>
      <w:pPr>
        <w:pStyle w:val="BodyText"/>
        <w:spacing w:line="266" w:lineRule="auto" w:before="1"/>
        <w:ind w:left="10" w:right="1"/>
        <w:rPr>
          <w:rFonts w:ascii="Arial" w:hAnsi="Arial"/>
          <w:i/>
        </w:rPr>
      </w:pPr>
      <w:r>
        <w:rPr/>
        <w:t>2019-01-10</w:t>
      </w:r>
      <w:r>
        <w:rPr>
          <w:spacing w:val="-3"/>
        </w:rPr>
        <w:t> </w:t>
      </w:r>
      <w:r>
        <w:rPr/>
        <w:t>and</w:t>
      </w:r>
      <w:r>
        <w:rPr>
          <w:spacing w:val="-3"/>
        </w:rPr>
        <w:t> </w:t>
      </w:r>
      <w:r>
        <w:rPr/>
        <w:t>reviews</w:t>
      </w:r>
      <w:r>
        <w:rPr>
          <w:spacing w:val="-3"/>
        </w:rPr>
        <w:t> </w:t>
      </w:r>
      <w:r>
        <w:rPr/>
        <w:t>through</w:t>
      </w:r>
      <w:r>
        <w:rPr>
          <w:spacing w:val="-3"/>
        </w:rPr>
        <w:t> </w:t>
      </w:r>
      <w:r>
        <w:rPr/>
        <w:t>2019-02-20,</w:t>
      </w:r>
      <w:r>
        <w:rPr>
          <w:spacing w:val="-3"/>
        </w:rPr>
        <w:t> </w:t>
      </w:r>
      <w:r>
        <w:rPr/>
        <w:t>so</w:t>
      </w:r>
      <w:r>
        <w:rPr>
          <w:spacing w:val="-3"/>
        </w:rPr>
        <w:t> </w:t>
      </w:r>
      <w:r>
        <w:rPr/>
        <w:t>the</w:t>
      </w:r>
      <w:r>
        <w:rPr>
          <w:spacing w:val="-3"/>
        </w:rPr>
        <w:t> </w:t>
      </w:r>
      <w:r>
        <w:rPr/>
        <w:t>latest</w:t>
      </w:r>
      <w:r>
        <w:rPr>
          <w:spacing w:val="-3"/>
        </w:rPr>
        <w:t> </w:t>
      </w:r>
      <w:r>
        <w:rPr/>
        <w:t>review</w:t>
      </w:r>
      <w:r>
        <w:rPr>
          <w:spacing w:val="-3"/>
        </w:rPr>
        <w:t> </w:t>
      </w:r>
      <w:r>
        <w:rPr/>
        <w:t>is</w:t>
      </w:r>
      <w:r>
        <w:rPr>
          <w:spacing w:val="-3"/>
        </w:rPr>
        <w:t> </w:t>
      </w:r>
      <w:r>
        <w:rPr/>
        <w:t>~41</w:t>
      </w:r>
      <w:r>
        <w:rPr>
          <w:spacing w:val="-3"/>
        </w:rPr>
        <w:t> </w:t>
      </w:r>
      <w:r>
        <w:rPr/>
        <w:t>days</w:t>
      </w:r>
      <w:r>
        <w:rPr>
          <w:spacing w:val="-3"/>
        </w:rPr>
        <w:t> </w:t>
      </w:r>
      <w:r>
        <w:rPr/>
        <w:t>after</w:t>
      </w:r>
      <w:r>
        <w:rPr>
          <w:spacing w:val="-3"/>
        </w:rPr>
        <w:t> </w:t>
      </w:r>
      <w:r>
        <w:rPr/>
        <w:t>the</w:t>
      </w:r>
      <w:r>
        <w:rPr>
          <w:spacing w:val="-3"/>
        </w:rPr>
        <w:t> </w:t>
      </w:r>
      <w:r>
        <w:rPr/>
        <w:t>latest</w:t>
      </w:r>
      <w:r>
        <w:rPr>
          <w:spacing w:val="-3"/>
        </w:rPr>
        <w:t> </w:t>
      </w:r>
      <w:r>
        <w:rPr/>
        <w:t>delivery.</w:t>
      </w:r>
      <w:r>
        <w:rPr>
          <w:spacing w:val="-3"/>
        </w:rPr>
        <w:t> </w:t>
      </w:r>
      <w:r>
        <w:rPr/>
        <w:t>Potential</w:t>
      </w:r>
      <w:r>
        <w:rPr>
          <w:spacing w:val="-3"/>
        </w:rPr>
        <w:t> </w:t>
      </w:r>
      <w:r>
        <w:rPr/>
        <w:t>observation</w:t>
      </w:r>
      <w:r>
        <w:rPr>
          <w:spacing w:val="-3"/>
        </w:rPr>
        <w:t> </w:t>
      </w:r>
      <w:r>
        <w:rPr/>
        <w:t>time and follow-up completeness must be established from the extraction contract before reading these as final response rates or defining mature 30-day cohorts; the observed price-coverage gradient does not depend on that verification. Review monitoring should</w:t>
      </w:r>
      <w:r>
        <w:rPr>
          <w:spacing w:val="-4"/>
        </w:rPr>
        <w:t> </w:t>
      </w:r>
      <w:r>
        <w:rPr/>
        <w:t>assess</w:t>
      </w:r>
      <w:r>
        <w:rPr>
          <w:spacing w:val="-4"/>
        </w:rPr>
        <w:t> </w:t>
      </w:r>
      <w:r>
        <w:rPr/>
        <w:t>item</w:t>
      </w:r>
      <w:r>
        <w:rPr>
          <w:spacing w:val="-4"/>
        </w:rPr>
        <w:t> </w:t>
      </w:r>
      <w:r>
        <w:rPr/>
        <w:t>coverage</w:t>
      </w:r>
      <w:r>
        <w:rPr>
          <w:spacing w:val="-4"/>
        </w:rPr>
        <w:t> </w:t>
      </w:r>
      <w:r>
        <w:rPr/>
        <w:t>explicitly,</w:t>
      </w:r>
      <w:r>
        <w:rPr>
          <w:spacing w:val="-4"/>
        </w:rPr>
        <w:t> </w:t>
      </w:r>
      <w:r>
        <w:rPr/>
        <w:t>on</w:t>
      </w:r>
      <w:r>
        <w:rPr>
          <w:spacing w:val="-4"/>
        </w:rPr>
        <w:t> </w:t>
      </w:r>
      <w:r>
        <w:rPr/>
        <w:t>a</w:t>
      </w:r>
      <w:r>
        <w:rPr>
          <w:spacing w:val="-4"/>
        </w:rPr>
        <w:t> </w:t>
      </w:r>
      <w:r>
        <w:rPr/>
        <w:t>matured</w:t>
      </w:r>
      <w:r>
        <w:rPr>
          <w:spacing w:val="-4"/>
        </w:rPr>
        <w:t> </w:t>
      </w:r>
      <w:r>
        <w:rPr/>
        <w:t>window,</w:t>
      </w:r>
      <w:r>
        <w:rPr>
          <w:spacing w:val="-4"/>
        </w:rPr>
        <w:t> </w:t>
      </w:r>
      <w:r>
        <w:rPr/>
        <w:t>with</w:t>
      </w:r>
      <w:r>
        <w:rPr>
          <w:spacing w:val="-4"/>
        </w:rPr>
        <w:t> </w:t>
      </w:r>
      <w:r>
        <w:rPr/>
        <w:t>separate</w:t>
      </w:r>
      <w:r>
        <w:rPr>
          <w:spacing w:val="-4"/>
        </w:rPr>
        <w:t> </w:t>
      </w:r>
      <w:r>
        <w:rPr/>
        <w:t>checks</w:t>
      </w:r>
      <w:r>
        <w:rPr>
          <w:spacing w:val="-4"/>
        </w:rPr>
        <w:t> </w:t>
      </w:r>
      <w:r>
        <w:rPr/>
        <w:t>across</w:t>
      </w:r>
      <w:r>
        <w:rPr>
          <w:spacing w:val="-4"/>
        </w:rPr>
        <w:t> </w:t>
      </w:r>
      <w:r>
        <w:rPr/>
        <w:t>price</w:t>
      </w:r>
      <w:r>
        <w:rPr>
          <w:spacing w:val="-4"/>
        </w:rPr>
        <w:t> </w:t>
      </w:r>
      <w:r>
        <w:rPr/>
        <w:t>and</w:t>
      </w:r>
      <w:r>
        <w:rPr>
          <w:spacing w:val="-4"/>
        </w:rPr>
        <w:t> </w:t>
      </w:r>
      <w:r>
        <w:rPr/>
        <w:t>category.</w:t>
      </w:r>
      <w:r>
        <w:rPr>
          <w:spacing w:val="-4"/>
        </w:rPr>
        <w:t> </w:t>
      </w:r>
      <w:r>
        <w:rPr>
          <w:rFonts w:ascii="Arial" w:hAnsi="Arial"/>
          <w:i/>
        </w:rPr>
        <w:t>Evidence:</w:t>
      </w:r>
      <w:r>
        <w:rPr>
          <w:rFonts w:ascii="Arial" w:hAnsi="Arial"/>
          <w:i/>
          <w:spacing w:val="-4"/>
        </w:rPr>
        <w:t> </w:t>
      </w:r>
      <w:r>
        <w:rPr>
          <w:rFonts w:ascii="Arial" w:hAnsi="Arial"/>
          <w:i/>
        </w:rPr>
        <w:t>Figure 4A–B. → MLQ-2</w:t>
      </w:r>
    </w:p>
    <w:p>
      <w:pPr>
        <w:pStyle w:val="Heading6"/>
        <w:numPr>
          <w:ilvl w:val="0"/>
          <w:numId w:val="2"/>
        </w:numPr>
        <w:tabs>
          <w:tab w:pos="208" w:val="left" w:leader="none"/>
        </w:tabs>
        <w:spacing w:line="266" w:lineRule="auto" w:before="101" w:after="0"/>
        <w:ind w:left="10" w:right="8" w:firstLine="0"/>
        <w:jc w:val="left"/>
      </w:pPr>
      <w:r>
        <w:rPr/>
        <w:t>Finding</w:t>
      </w:r>
      <w:r>
        <w:rPr>
          <w:spacing w:val="-5"/>
        </w:rPr>
        <w:t> </w:t>
      </w:r>
      <w:r>
        <w:rPr/>
        <w:t>5:</w:t>
      </w:r>
      <w:r>
        <w:rPr>
          <w:spacing w:val="-5"/>
        </w:rPr>
        <w:t> </w:t>
      </w:r>
      <w:r>
        <w:rPr/>
        <w:t>Value-related</w:t>
      </w:r>
      <w:r>
        <w:rPr>
          <w:spacing w:val="-5"/>
        </w:rPr>
        <w:t> </w:t>
      </w:r>
      <w:r>
        <w:rPr/>
        <w:t>review</w:t>
      </w:r>
      <w:r>
        <w:rPr>
          <w:spacing w:val="-5"/>
        </w:rPr>
        <w:t> </w:t>
      </w:r>
      <w:r>
        <w:rPr/>
        <w:t>selection</w:t>
      </w:r>
      <w:r>
        <w:rPr>
          <w:spacing w:val="-5"/>
        </w:rPr>
        <w:t> </w:t>
      </w:r>
      <w:r>
        <w:rPr/>
        <w:t>survives</w:t>
      </w:r>
      <w:r>
        <w:rPr>
          <w:spacing w:val="-5"/>
        </w:rPr>
        <w:t> </w:t>
      </w:r>
      <w:r>
        <w:rPr/>
        <w:t>two</w:t>
      </w:r>
      <w:r>
        <w:rPr>
          <w:spacing w:val="-5"/>
        </w:rPr>
        <w:t> </w:t>
      </w:r>
      <w:r>
        <w:rPr/>
        <w:t>separate</w:t>
      </w:r>
      <w:r>
        <w:rPr>
          <w:spacing w:val="-5"/>
        </w:rPr>
        <w:t> </w:t>
      </w:r>
      <w:r>
        <w:rPr/>
        <w:t>composition</w:t>
      </w:r>
      <w:r>
        <w:rPr>
          <w:spacing w:val="-5"/>
        </w:rPr>
        <w:t> </w:t>
      </w:r>
      <w:r>
        <w:rPr/>
        <w:t>checks,</w:t>
      </w:r>
      <w:r>
        <w:rPr>
          <w:spacing w:val="-5"/>
        </w:rPr>
        <w:t> </w:t>
      </w:r>
      <w:r>
        <w:rPr/>
        <w:t>making</w:t>
      </w:r>
      <w:r>
        <w:rPr>
          <w:spacing w:val="-5"/>
        </w:rPr>
        <w:t> </w:t>
      </w:r>
      <w:r>
        <w:rPr/>
        <w:t>representation</w:t>
      </w:r>
      <w:r>
        <w:rPr>
          <w:spacing w:val="-5"/>
        </w:rPr>
        <w:t> </w:t>
      </w:r>
      <w:r>
        <w:rPr/>
        <w:t>a</w:t>
      </w:r>
      <w:r>
        <w:rPr>
          <w:spacing w:val="-5"/>
        </w:rPr>
        <w:t> </w:t>
      </w:r>
      <w:r>
        <w:rPr/>
        <w:t>central analytical concern.</w:t>
      </w:r>
    </w:p>
    <w:p>
      <w:pPr>
        <w:pStyle w:val="ListParagraph"/>
        <w:numPr>
          <w:ilvl w:val="1"/>
          <w:numId w:val="2"/>
        </w:numPr>
        <w:tabs>
          <w:tab w:pos="123" w:val="left" w:leader="none"/>
        </w:tabs>
        <w:spacing w:line="266" w:lineRule="auto" w:before="100" w:after="0"/>
        <w:ind w:left="10" w:right="148" w:firstLine="0"/>
        <w:jc w:val="left"/>
        <w:rPr>
          <w:sz w:val="18"/>
        </w:rPr>
      </w:pPr>
      <w:r>
        <w:rPr>
          <w:sz w:val="18"/>
        </w:rPr>
        <w:t>Within the 1,704 three-line orders (426 per within-stratum value quartile), review coverage rises from 74.2% to 92.0% across paid-value</w:t>
      </w:r>
      <w:r>
        <w:rPr>
          <w:spacing w:val="-2"/>
          <w:sz w:val="18"/>
        </w:rPr>
        <w:t> </w:t>
      </w:r>
      <w:r>
        <w:rPr>
          <w:sz w:val="18"/>
        </w:rPr>
        <w:t>quartiles.</w:t>
      </w:r>
      <w:r>
        <w:rPr>
          <w:spacing w:val="-2"/>
          <w:sz w:val="18"/>
        </w:rPr>
        <w:t> </w:t>
      </w:r>
      <w:r>
        <w:rPr>
          <w:sz w:val="18"/>
        </w:rPr>
        <w:t>At</w:t>
      </w:r>
      <w:r>
        <w:rPr>
          <w:spacing w:val="-2"/>
          <w:sz w:val="18"/>
        </w:rPr>
        <w:t> </w:t>
      </w:r>
      <w:r>
        <w:rPr>
          <w:sz w:val="18"/>
        </w:rPr>
        <w:t>item</w:t>
      </w:r>
      <w:r>
        <w:rPr>
          <w:spacing w:val="-2"/>
          <w:sz w:val="18"/>
        </w:rPr>
        <w:t> </w:t>
      </w:r>
      <w:r>
        <w:rPr>
          <w:sz w:val="18"/>
        </w:rPr>
        <w:t>grain,</w:t>
      </w:r>
      <w:r>
        <w:rPr>
          <w:spacing w:val="-2"/>
          <w:sz w:val="18"/>
        </w:rPr>
        <w:t> </w:t>
      </w:r>
      <w:r>
        <w:rPr>
          <w:sz w:val="18"/>
        </w:rPr>
        <w:t>across</w:t>
      </w:r>
      <w:r>
        <w:rPr>
          <w:spacing w:val="-2"/>
          <w:sz w:val="18"/>
        </w:rPr>
        <w:t> </w:t>
      </w:r>
      <w:r>
        <w:rPr>
          <w:sz w:val="18"/>
        </w:rPr>
        <w:t>all</w:t>
      </w:r>
      <w:r>
        <w:rPr>
          <w:spacing w:val="-2"/>
          <w:sz w:val="18"/>
        </w:rPr>
        <w:t> </w:t>
      </w:r>
      <w:r>
        <w:rPr>
          <w:sz w:val="18"/>
        </w:rPr>
        <w:t>15,739</w:t>
      </w:r>
      <w:r>
        <w:rPr>
          <w:spacing w:val="-2"/>
          <w:sz w:val="18"/>
        </w:rPr>
        <w:t> </w:t>
      </w:r>
      <w:r>
        <w:rPr>
          <w:sz w:val="18"/>
        </w:rPr>
        <w:t>item</w:t>
      </w:r>
      <w:r>
        <w:rPr>
          <w:spacing w:val="-2"/>
          <w:sz w:val="18"/>
        </w:rPr>
        <w:t> </w:t>
      </w:r>
      <w:r>
        <w:rPr>
          <w:sz w:val="18"/>
        </w:rPr>
        <w:t>lines</w:t>
      </w:r>
      <w:r>
        <w:rPr>
          <w:spacing w:val="-2"/>
          <w:sz w:val="18"/>
        </w:rPr>
        <w:t> </w:t>
      </w:r>
      <w:r>
        <w:rPr>
          <w:sz w:val="18"/>
        </w:rPr>
        <w:t>(about</w:t>
      </w:r>
      <w:r>
        <w:rPr>
          <w:spacing w:val="-2"/>
          <w:sz w:val="18"/>
        </w:rPr>
        <w:t> </w:t>
      </w:r>
      <w:r>
        <w:rPr>
          <w:sz w:val="18"/>
        </w:rPr>
        <w:t>3,935</w:t>
      </w:r>
      <w:r>
        <w:rPr>
          <w:spacing w:val="-2"/>
          <w:sz w:val="18"/>
        </w:rPr>
        <w:t> </w:t>
      </w:r>
      <w:r>
        <w:rPr>
          <w:sz w:val="18"/>
        </w:rPr>
        <w:t>per</w:t>
      </w:r>
      <w:r>
        <w:rPr>
          <w:spacing w:val="-2"/>
          <w:sz w:val="18"/>
        </w:rPr>
        <w:t> </w:t>
      </w:r>
      <w:r>
        <w:rPr>
          <w:sz w:val="18"/>
        </w:rPr>
        <w:t>unit-price</w:t>
      </w:r>
      <w:r>
        <w:rPr>
          <w:spacing w:val="-2"/>
          <w:sz w:val="18"/>
        </w:rPr>
        <w:t> </w:t>
      </w:r>
      <w:r>
        <w:rPr>
          <w:sz w:val="18"/>
        </w:rPr>
        <w:t>quartile),</w:t>
      </w:r>
      <w:r>
        <w:rPr>
          <w:spacing w:val="-2"/>
          <w:sz w:val="18"/>
        </w:rPr>
        <w:t> </w:t>
      </w:r>
      <w:r>
        <w:rPr>
          <w:sz w:val="18"/>
        </w:rPr>
        <w:t>coverage</w:t>
      </w:r>
      <w:r>
        <w:rPr>
          <w:spacing w:val="-2"/>
          <w:sz w:val="18"/>
        </w:rPr>
        <w:t> </w:t>
      </w:r>
      <w:r>
        <w:rPr>
          <w:sz w:val="18"/>
        </w:rPr>
        <w:t>rises</w:t>
      </w:r>
      <w:r>
        <w:rPr>
          <w:spacing w:val="-2"/>
          <w:sz w:val="18"/>
        </w:rPr>
        <w:t> </w:t>
      </w:r>
      <w:r>
        <w:rPr>
          <w:sz w:val="18"/>
        </w:rPr>
        <w:t>from</w:t>
      </w:r>
      <w:r>
        <w:rPr>
          <w:spacing w:val="-2"/>
          <w:sz w:val="18"/>
        </w:rPr>
        <w:t> </w:t>
      </w:r>
      <w:r>
        <w:rPr>
          <w:sz w:val="18"/>
        </w:rPr>
        <w:t>27.0% to 63.6%, and higher-priced item lines have greater coverage within all ten categories (10 of 10 on a within-category median split). These are </w:t>
      </w:r>
      <w:r>
        <w:rPr>
          <w:rFonts w:ascii="Arial" w:hAnsi="Arial"/>
          <w:b/>
          <w:sz w:val="18"/>
        </w:rPr>
        <w:t>two separate checks - holding line count fixed and splitting within category - not a single jointly adjusted control</w:t>
      </w:r>
      <w:r>
        <w:rPr>
          <w:sz w:val="18"/>
        </w:rPr>
        <w:t>, and together they weaken basket opportunity count and category composition as sole explanations.</w:t>
      </w:r>
    </w:p>
    <w:p>
      <w:pPr>
        <w:spacing w:line="266" w:lineRule="auto" w:before="2"/>
        <w:ind w:left="10" w:right="378" w:firstLine="0"/>
        <w:jc w:val="left"/>
        <w:rPr>
          <w:rFonts w:ascii="Arial" w:hAnsi="Arial"/>
          <w:i/>
          <w:sz w:val="18"/>
        </w:rPr>
      </w:pPr>
      <w:r>
        <w:rPr>
          <w:sz w:val="18"/>
        </w:rPr>
        <w:t>Higher-priced purchases are overrepresented in review data, but this does not establish that ratings are biased upward or downward;</w:t>
      </w:r>
      <w:r>
        <w:rPr>
          <w:spacing w:val="-3"/>
          <w:sz w:val="18"/>
        </w:rPr>
        <w:t> </w:t>
      </w:r>
      <w:r>
        <w:rPr>
          <w:sz w:val="18"/>
        </w:rPr>
        <w:t>customer</w:t>
      </w:r>
      <w:r>
        <w:rPr>
          <w:spacing w:val="-3"/>
          <w:sz w:val="18"/>
        </w:rPr>
        <w:t> </w:t>
      </w:r>
      <w:r>
        <w:rPr>
          <w:sz w:val="18"/>
        </w:rPr>
        <w:t>differences</w:t>
      </w:r>
      <w:r>
        <w:rPr>
          <w:spacing w:val="-3"/>
          <w:sz w:val="18"/>
        </w:rPr>
        <w:t> </w:t>
      </w:r>
      <w:r>
        <w:rPr>
          <w:sz w:val="18"/>
        </w:rPr>
        <w:t>and</w:t>
      </w:r>
      <w:r>
        <w:rPr>
          <w:spacing w:val="-3"/>
          <w:sz w:val="18"/>
        </w:rPr>
        <w:t> </w:t>
      </w:r>
      <w:r>
        <w:rPr>
          <w:sz w:val="18"/>
        </w:rPr>
        <w:t>unequal</w:t>
      </w:r>
      <w:r>
        <w:rPr>
          <w:spacing w:val="-3"/>
          <w:sz w:val="18"/>
        </w:rPr>
        <w:t> </w:t>
      </w:r>
      <w:r>
        <w:rPr>
          <w:sz w:val="18"/>
        </w:rPr>
        <w:t>follow-up</w:t>
      </w:r>
      <w:r>
        <w:rPr>
          <w:spacing w:val="-3"/>
          <w:sz w:val="18"/>
        </w:rPr>
        <w:t> </w:t>
      </w:r>
      <w:r>
        <w:rPr>
          <w:sz w:val="18"/>
        </w:rPr>
        <w:t>remain</w:t>
      </w:r>
      <w:r>
        <w:rPr>
          <w:spacing w:val="-3"/>
          <w:sz w:val="18"/>
        </w:rPr>
        <w:t> </w:t>
      </w:r>
      <w:r>
        <w:rPr>
          <w:sz w:val="18"/>
        </w:rPr>
        <w:t>unresolved.</w:t>
      </w:r>
      <w:r>
        <w:rPr>
          <w:spacing w:val="-3"/>
          <w:sz w:val="18"/>
        </w:rPr>
        <w:t> </w:t>
      </w:r>
      <w:r>
        <w:rPr>
          <w:rFonts w:ascii="Arial" w:hAnsi="Arial"/>
          <w:i/>
          <w:sz w:val="18"/>
        </w:rPr>
        <w:t>Evidence:</w:t>
      </w:r>
      <w:r>
        <w:rPr>
          <w:rFonts w:ascii="Arial" w:hAnsi="Arial"/>
          <w:i/>
          <w:spacing w:val="-3"/>
          <w:sz w:val="18"/>
        </w:rPr>
        <w:t> </w:t>
      </w:r>
      <w:r>
        <w:rPr>
          <w:rFonts w:ascii="Arial" w:hAnsi="Arial"/>
          <w:i/>
          <w:sz w:val="18"/>
        </w:rPr>
        <w:t>Figure</w:t>
      </w:r>
      <w:r>
        <w:rPr>
          <w:rFonts w:ascii="Arial" w:hAnsi="Arial"/>
          <w:i/>
          <w:spacing w:val="-3"/>
          <w:sz w:val="18"/>
        </w:rPr>
        <w:t> </w:t>
      </w:r>
      <w:r>
        <w:rPr>
          <w:rFonts w:ascii="Arial" w:hAnsi="Arial"/>
          <w:i/>
          <w:sz w:val="18"/>
        </w:rPr>
        <w:t>4</w:t>
      </w:r>
      <w:r>
        <w:rPr>
          <w:rFonts w:ascii="Arial" w:hAnsi="Arial"/>
          <w:i/>
          <w:spacing w:val="-3"/>
          <w:sz w:val="18"/>
        </w:rPr>
        <w:t> </w:t>
      </w:r>
      <w:r>
        <w:rPr>
          <w:rFonts w:ascii="Arial" w:hAnsi="Arial"/>
          <w:i/>
          <w:sz w:val="18"/>
        </w:rPr>
        <w:t>and</w:t>
      </w:r>
      <w:r>
        <w:rPr>
          <w:rFonts w:ascii="Arial" w:hAnsi="Arial"/>
          <w:i/>
          <w:spacing w:val="-3"/>
          <w:sz w:val="18"/>
        </w:rPr>
        <w:t> </w:t>
      </w:r>
      <w:r>
        <w:rPr>
          <w:rFonts w:ascii="Arial" w:hAnsi="Arial"/>
          <w:i/>
          <w:sz w:val="18"/>
        </w:rPr>
        <w:t>its</w:t>
      </w:r>
      <w:r>
        <w:rPr>
          <w:rFonts w:ascii="Arial" w:hAnsi="Arial"/>
          <w:i/>
          <w:spacing w:val="-3"/>
          <w:sz w:val="18"/>
        </w:rPr>
        <w:t> </w:t>
      </w:r>
      <w:r>
        <w:rPr>
          <w:rFonts w:ascii="Arial" w:hAnsi="Arial"/>
          <w:i/>
          <w:sz w:val="18"/>
        </w:rPr>
        <w:t>supporting</w:t>
      </w:r>
      <w:r>
        <w:rPr>
          <w:rFonts w:ascii="Arial" w:hAnsi="Arial"/>
          <w:i/>
          <w:spacing w:val="-3"/>
          <w:sz w:val="18"/>
        </w:rPr>
        <w:t> </w:t>
      </w:r>
      <w:r>
        <w:rPr>
          <w:rFonts w:ascii="Arial" w:hAnsi="Arial"/>
          <w:i/>
          <w:sz w:val="18"/>
        </w:rPr>
        <w:t>tables.</w:t>
      </w:r>
      <w:r>
        <w:rPr>
          <w:rFonts w:ascii="Arial" w:hAnsi="Arial"/>
          <w:i/>
          <w:spacing w:val="-3"/>
          <w:sz w:val="18"/>
        </w:rPr>
        <w:t> </w:t>
      </w:r>
      <w:r>
        <w:rPr>
          <w:rFonts w:ascii="Arial" w:hAnsi="Arial"/>
          <w:i/>
          <w:sz w:val="18"/>
        </w:rPr>
        <w:t>→ </w:t>
      </w:r>
      <w:r>
        <w:rPr>
          <w:rFonts w:ascii="Arial" w:hAnsi="Arial"/>
          <w:i/>
          <w:spacing w:val="-2"/>
          <w:sz w:val="18"/>
        </w:rPr>
        <w:t>MLQ-2</w:t>
      </w:r>
    </w:p>
    <w:p>
      <w:pPr>
        <w:spacing w:after="0" w:line="266" w:lineRule="auto"/>
        <w:jc w:val="left"/>
        <w:rPr>
          <w:rFonts w:ascii="Arial" w:hAnsi="Arial"/>
          <w:i/>
          <w:sz w:val="18"/>
        </w:rPr>
        <w:sectPr>
          <w:headerReference w:type="default" r:id="rId22"/>
          <w:footerReference w:type="default" r:id="rId23"/>
          <w:pgSz w:w="11910" w:h="16840"/>
          <w:pgMar w:header="888" w:footer="330" w:top="1220" w:bottom="520" w:left="850" w:right="850"/>
        </w:sectPr>
      </w:pPr>
    </w:p>
    <w:p>
      <w:pPr>
        <w:pStyle w:val="BodyText"/>
        <w:rPr>
          <w:rFonts w:ascii="Arial"/>
          <w:i/>
        </w:rPr>
      </w:pPr>
    </w:p>
    <w:p>
      <w:pPr>
        <w:pStyle w:val="Heading6"/>
        <w:numPr>
          <w:ilvl w:val="0"/>
          <w:numId w:val="2"/>
        </w:numPr>
        <w:tabs>
          <w:tab w:pos="210" w:val="left" w:leader="none"/>
        </w:tabs>
        <w:spacing w:line="266" w:lineRule="auto" w:before="0" w:after="0"/>
        <w:ind w:left="10" w:right="820" w:firstLine="0"/>
        <w:jc w:val="left"/>
      </w:pPr>
      <w:r>
        <w:rPr/>
        <w:t>Finding</w:t>
      </w:r>
      <w:r>
        <w:rPr>
          <w:spacing w:val="-3"/>
        </w:rPr>
        <w:t> </w:t>
      </w:r>
      <w:r>
        <w:rPr/>
        <w:t>6:</w:t>
      </w:r>
      <w:r>
        <w:rPr>
          <w:spacing w:val="-3"/>
        </w:rPr>
        <w:t> </w:t>
      </w:r>
      <w:r>
        <w:rPr/>
        <w:t>Binary</w:t>
      </w:r>
      <w:r>
        <w:rPr>
          <w:spacing w:val="-3"/>
        </w:rPr>
        <w:t> </w:t>
      </w:r>
      <w:r>
        <w:rPr/>
        <w:t>satisfaction</w:t>
      </w:r>
      <w:r>
        <w:rPr>
          <w:spacing w:val="-3"/>
        </w:rPr>
        <w:t> </w:t>
      </w:r>
      <w:r>
        <w:rPr/>
        <w:t>conceals</w:t>
      </w:r>
      <w:r>
        <w:rPr>
          <w:spacing w:val="-3"/>
        </w:rPr>
        <w:t> </w:t>
      </w:r>
      <w:r>
        <w:rPr/>
        <w:t>a</w:t>
      </w:r>
      <w:r>
        <w:rPr>
          <w:spacing w:val="-3"/>
        </w:rPr>
        <w:t> </w:t>
      </w:r>
      <w:r>
        <w:rPr/>
        <w:t>small</w:t>
      </w:r>
      <w:r>
        <w:rPr>
          <w:spacing w:val="-3"/>
        </w:rPr>
        <w:t> </w:t>
      </w:r>
      <w:r>
        <w:rPr/>
        <w:t>but</w:t>
      </w:r>
      <w:r>
        <w:rPr>
          <w:spacing w:val="-3"/>
        </w:rPr>
        <w:t> </w:t>
      </w:r>
      <w:r>
        <w:rPr/>
        <w:t>statistically</w:t>
      </w:r>
      <w:r>
        <w:rPr>
          <w:spacing w:val="-3"/>
        </w:rPr>
        <w:t> </w:t>
      </w:r>
      <w:r>
        <w:rPr/>
        <w:t>detectable</w:t>
      </w:r>
      <w:r>
        <w:rPr>
          <w:spacing w:val="-3"/>
        </w:rPr>
        <w:t> </w:t>
      </w:r>
      <w:r>
        <w:rPr/>
        <w:t>ordinal</w:t>
      </w:r>
      <w:r>
        <w:rPr>
          <w:spacing w:val="-3"/>
        </w:rPr>
        <w:t> </w:t>
      </w:r>
      <w:r>
        <w:rPr/>
        <w:t>shift</w:t>
      </w:r>
      <w:r>
        <w:rPr>
          <w:spacing w:val="-3"/>
        </w:rPr>
        <w:t> </w:t>
      </w:r>
      <w:r>
        <w:rPr/>
        <w:t>alongside</w:t>
      </w:r>
      <w:r>
        <w:rPr>
          <w:spacing w:val="-3"/>
        </w:rPr>
        <w:t> </w:t>
      </w:r>
      <w:r>
        <w:rPr/>
        <w:t>a</w:t>
      </w:r>
      <w:r>
        <w:rPr>
          <w:spacing w:val="-3"/>
        </w:rPr>
        <w:t> </w:t>
      </w:r>
      <w:r>
        <w:rPr/>
        <w:t>sizeable five-star-share difference.</w:t>
      </w:r>
    </w:p>
    <w:p>
      <w:pPr>
        <w:pStyle w:val="ListParagraph"/>
        <w:numPr>
          <w:ilvl w:val="1"/>
          <w:numId w:val="2"/>
        </w:numPr>
        <w:tabs>
          <w:tab w:pos="123" w:val="left" w:leader="none"/>
        </w:tabs>
        <w:spacing w:line="266" w:lineRule="auto" w:before="101" w:after="0"/>
        <w:ind w:left="10" w:right="138" w:firstLine="0"/>
        <w:jc w:val="left"/>
        <w:rPr>
          <w:sz w:val="18"/>
        </w:rPr>
      </w:pPr>
      <w:r>
        <w:rPr>
          <w:sz w:val="18"/>
        </w:rPr>
        <w:t>Across all 7,000 reviews, the 6,118 good-value and 882 poor-value reviews have virtually identical ≥4-star shares (65.85% versus</w:t>
      </w:r>
      <w:r>
        <w:rPr>
          <w:spacing w:val="-2"/>
          <w:sz w:val="18"/>
        </w:rPr>
        <w:t> </w:t>
      </w:r>
      <w:r>
        <w:rPr>
          <w:sz w:val="18"/>
        </w:rPr>
        <w:t>65.87%),</w:t>
      </w:r>
      <w:r>
        <w:rPr>
          <w:spacing w:val="-2"/>
          <w:sz w:val="18"/>
        </w:rPr>
        <w:t> </w:t>
      </w:r>
      <w:r>
        <w:rPr>
          <w:sz w:val="18"/>
        </w:rPr>
        <w:t>but</w:t>
      </w:r>
      <w:r>
        <w:rPr>
          <w:spacing w:val="-2"/>
          <w:sz w:val="18"/>
        </w:rPr>
        <w:t> </w:t>
      </w:r>
      <w:r>
        <w:rPr>
          <w:sz w:val="18"/>
        </w:rPr>
        <w:t>their</w:t>
      </w:r>
      <w:r>
        <w:rPr>
          <w:spacing w:val="-2"/>
          <w:sz w:val="18"/>
        </w:rPr>
        <w:t> </w:t>
      </w:r>
      <w:r>
        <w:rPr>
          <w:sz w:val="18"/>
        </w:rPr>
        <w:t>five-star</w:t>
      </w:r>
      <w:r>
        <w:rPr>
          <w:spacing w:val="-2"/>
          <w:sz w:val="18"/>
        </w:rPr>
        <w:t> </w:t>
      </w:r>
      <w:r>
        <w:rPr>
          <w:sz w:val="18"/>
        </w:rPr>
        <w:t>shares</w:t>
      </w:r>
      <w:r>
        <w:rPr>
          <w:spacing w:val="-2"/>
          <w:sz w:val="18"/>
        </w:rPr>
        <w:t> </w:t>
      </w:r>
      <w:r>
        <w:rPr>
          <w:sz w:val="18"/>
        </w:rPr>
        <w:t>differ</w:t>
      </w:r>
      <w:r>
        <w:rPr>
          <w:spacing w:val="-2"/>
          <w:sz w:val="18"/>
        </w:rPr>
        <w:t> </w:t>
      </w:r>
      <w:r>
        <w:rPr>
          <w:sz w:val="18"/>
        </w:rPr>
        <w:t>by</w:t>
      </w:r>
      <w:r>
        <w:rPr>
          <w:spacing w:val="-2"/>
          <w:sz w:val="18"/>
        </w:rPr>
        <w:t> </w:t>
      </w:r>
      <w:r>
        <w:rPr>
          <w:sz w:val="18"/>
        </w:rPr>
        <w:t>12.7</w:t>
      </w:r>
      <w:r>
        <w:rPr>
          <w:spacing w:val="-2"/>
          <w:sz w:val="18"/>
        </w:rPr>
        <w:t> </w:t>
      </w:r>
      <w:r>
        <w:rPr>
          <w:sz w:val="18"/>
        </w:rPr>
        <w:t>percentage</w:t>
      </w:r>
      <w:r>
        <w:rPr>
          <w:spacing w:val="-2"/>
          <w:sz w:val="18"/>
        </w:rPr>
        <w:t> </w:t>
      </w:r>
      <w:r>
        <w:rPr>
          <w:sz w:val="18"/>
        </w:rPr>
        <w:t>points</w:t>
      </w:r>
      <w:r>
        <w:rPr>
          <w:spacing w:val="-2"/>
          <w:sz w:val="18"/>
        </w:rPr>
        <w:t> </w:t>
      </w:r>
      <w:r>
        <w:rPr>
          <w:sz w:val="18"/>
        </w:rPr>
        <w:t>(34.5%</w:t>
      </w:r>
      <w:r>
        <w:rPr>
          <w:spacing w:val="-2"/>
          <w:sz w:val="18"/>
        </w:rPr>
        <w:t> </w:t>
      </w:r>
      <w:r>
        <w:rPr>
          <w:sz w:val="18"/>
        </w:rPr>
        <w:t>versus</w:t>
      </w:r>
      <w:r>
        <w:rPr>
          <w:spacing w:val="-2"/>
          <w:sz w:val="18"/>
        </w:rPr>
        <w:t> </w:t>
      </w:r>
      <w:r>
        <w:rPr>
          <w:sz w:val="18"/>
        </w:rPr>
        <w:t>21.8%).</w:t>
      </w:r>
      <w:r>
        <w:rPr>
          <w:spacing w:val="-2"/>
          <w:sz w:val="18"/>
        </w:rPr>
        <w:t> </w:t>
      </w:r>
      <w:r>
        <w:rPr>
          <w:sz w:val="18"/>
        </w:rPr>
        <w:t>The</w:t>
      </w:r>
      <w:r>
        <w:rPr>
          <w:spacing w:val="-2"/>
          <w:sz w:val="18"/>
        </w:rPr>
        <w:t> </w:t>
      </w:r>
      <w:r>
        <w:rPr>
          <w:sz w:val="18"/>
        </w:rPr>
        <w:t>mean</w:t>
      </w:r>
      <w:r>
        <w:rPr>
          <w:spacing w:val="-2"/>
          <w:sz w:val="18"/>
        </w:rPr>
        <w:t> </w:t>
      </w:r>
      <w:r>
        <w:rPr>
          <w:sz w:val="18"/>
        </w:rPr>
        <w:t>gap</w:t>
      </w:r>
      <w:r>
        <w:rPr>
          <w:spacing w:val="-2"/>
          <w:sz w:val="18"/>
        </w:rPr>
        <w:t> </w:t>
      </w:r>
      <w:r>
        <w:rPr>
          <w:sz w:val="18"/>
        </w:rPr>
        <w:t>is</w:t>
      </w:r>
      <w:r>
        <w:rPr>
          <w:spacing w:val="-2"/>
          <w:sz w:val="18"/>
        </w:rPr>
        <w:t> </w:t>
      </w:r>
      <w:r>
        <w:rPr>
          <w:sz w:val="18"/>
        </w:rPr>
        <w:t>0.179</w:t>
      </w:r>
      <w:r>
        <w:rPr>
          <w:spacing w:val="-2"/>
          <w:sz w:val="18"/>
        </w:rPr>
        <w:t> </w:t>
      </w:r>
      <w:r>
        <w:rPr>
          <w:sz w:val="18"/>
        </w:rPr>
        <w:t>stars (order-cluster 95% CI [0.092, 0.267]) with Cliff's </w:t>
      </w:r>
      <w:r>
        <w:rPr>
          <w:w w:val="95"/>
          <w:sz w:val="18"/>
        </w:rPr>
        <w:t>δ </w:t>
      </w:r>
      <w:r>
        <w:rPr>
          <w:sz w:val="18"/>
        </w:rPr>
        <w:t>= 0.093 - a </w:t>
      </w:r>
      <w:r>
        <w:rPr>
          <w:rFonts w:ascii="Arial" w:hAnsi="Arial"/>
          <w:b/>
          <w:sz w:val="18"/>
        </w:rPr>
        <w:t>small overall ordinal separation </w:t>
      </w:r>
      <w:r>
        <w:rPr>
          <w:sz w:val="18"/>
        </w:rPr>
        <w:t>despite the sizeable</w:t>
      </w:r>
    </w:p>
    <w:p>
      <w:pPr>
        <w:pStyle w:val="BodyText"/>
        <w:spacing w:line="266" w:lineRule="auto" w:before="1"/>
        <w:ind w:left="10" w:right="58"/>
        <w:rPr>
          <w:rFonts w:ascii="Arial" w:hAnsi="Arial"/>
          <w:i/>
        </w:rPr>
      </w:pPr>
      <w:r>
        <w:rPr/>
        <w:t>top-category difference. A binary favourable-rating metric therefore hides movement within favourable feedback; full ordinal outcomes</w:t>
      </w:r>
      <w:r>
        <w:rPr>
          <w:spacing w:val="-2"/>
        </w:rPr>
        <w:t> </w:t>
      </w:r>
      <w:r>
        <w:rPr/>
        <w:t>are</w:t>
      </w:r>
      <w:r>
        <w:rPr>
          <w:spacing w:val="-2"/>
        </w:rPr>
        <w:t> </w:t>
      </w:r>
      <w:r>
        <w:rPr/>
        <w:t>more</w:t>
      </w:r>
      <w:r>
        <w:rPr>
          <w:spacing w:val="-2"/>
        </w:rPr>
        <w:t> </w:t>
      </w:r>
      <w:r>
        <w:rPr/>
        <w:t>informative,</w:t>
      </w:r>
      <w:r>
        <w:rPr>
          <w:spacing w:val="-2"/>
        </w:rPr>
        <w:t> </w:t>
      </w:r>
      <w:r>
        <w:rPr/>
        <w:t>while</w:t>
      </w:r>
      <w:r>
        <w:rPr>
          <w:spacing w:val="-2"/>
        </w:rPr>
        <w:t> </w:t>
      </w:r>
      <w:r>
        <w:rPr/>
        <w:t>the</w:t>
      </w:r>
      <w:r>
        <w:rPr>
          <w:spacing w:val="-2"/>
        </w:rPr>
        <w:t> </w:t>
      </w:r>
      <w:r>
        <w:rPr/>
        <w:t>modest</w:t>
      </w:r>
      <w:r>
        <w:rPr>
          <w:spacing w:val="-2"/>
        </w:rPr>
        <w:t> </w:t>
      </w:r>
      <w:r>
        <w:rPr/>
        <w:t>separation</w:t>
      </w:r>
      <w:r>
        <w:rPr>
          <w:spacing w:val="-2"/>
        </w:rPr>
        <w:t> </w:t>
      </w:r>
      <w:r>
        <w:rPr/>
        <w:t>and</w:t>
      </w:r>
      <w:r>
        <w:rPr>
          <w:spacing w:val="-2"/>
        </w:rPr>
        <w:t> </w:t>
      </w:r>
      <w:r>
        <w:rPr/>
        <w:t>co-reported</w:t>
      </w:r>
      <w:r>
        <w:rPr>
          <w:spacing w:val="-2"/>
        </w:rPr>
        <w:t> </w:t>
      </w:r>
      <w:r>
        <w:rPr/>
        <w:t>labels</w:t>
      </w:r>
      <w:r>
        <w:rPr>
          <w:spacing w:val="-2"/>
        </w:rPr>
        <w:t> </w:t>
      </w:r>
      <w:r>
        <w:rPr/>
        <w:t>limit</w:t>
      </w:r>
      <w:r>
        <w:rPr>
          <w:spacing w:val="-2"/>
        </w:rPr>
        <w:t> </w:t>
      </w:r>
      <w:r>
        <w:rPr/>
        <w:t>causal</w:t>
      </w:r>
      <w:r>
        <w:rPr>
          <w:spacing w:val="-2"/>
        </w:rPr>
        <w:t> </w:t>
      </w:r>
      <w:r>
        <w:rPr/>
        <w:t>reading.</w:t>
      </w:r>
      <w:r>
        <w:rPr>
          <w:spacing w:val="-2"/>
        </w:rPr>
        <w:t> </w:t>
      </w:r>
      <w:r>
        <w:rPr>
          <w:rFonts w:ascii="Arial" w:hAnsi="Arial"/>
          <w:i/>
        </w:rPr>
        <w:t>Evidence:</w:t>
      </w:r>
      <w:r>
        <w:rPr>
          <w:rFonts w:ascii="Arial" w:hAnsi="Arial"/>
          <w:i/>
          <w:spacing w:val="-2"/>
        </w:rPr>
        <w:t> </w:t>
      </w:r>
      <w:r>
        <w:rPr>
          <w:rFonts w:ascii="Arial" w:hAnsi="Arial"/>
          <w:i/>
        </w:rPr>
        <w:t>Figure</w:t>
      </w:r>
      <w:r>
        <w:rPr>
          <w:rFonts w:ascii="Arial" w:hAnsi="Arial"/>
          <w:i/>
          <w:spacing w:val="-2"/>
        </w:rPr>
        <w:t> </w:t>
      </w:r>
      <w:r>
        <w:rPr>
          <w:rFonts w:ascii="Arial" w:hAnsi="Arial"/>
          <w:i/>
        </w:rPr>
        <w:t>5.</w:t>
      </w:r>
      <w:r>
        <w:rPr>
          <w:rFonts w:ascii="Arial" w:hAnsi="Arial"/>
          <w:i/>
          <w:spacing w:val="-2"/>
        </w:rPr>
        <w:t> </w:t>
      </w:r>
      <w:r>
        <w:rPr>
          <w:rFonts w:ascii="Arial" w:hAnsi="Arial"/>
          <w:i/>
        </w:rPr>
        <w:t>→ </w:t>
      </w:r>
      <w:r>
        <w:rPr>
          <w:rFonts w:ascii="Arial" w:hAnsi="Arial"/>
          <w:i/>
          <w:spacing w:val="-2"/>
        </w:rPr>
        <w:t>MLQ-3</w:t>
      </w:r>
    </w:p>
    <w:p>
      <w:pPr>
        <w:pStyle w:val="Heading6"/>
        <w:numPr>
          <w:ilvl w:val="0"/>
          <w:numId w:val="2"/>
        </w:numPr>
        <w:tabs>
          <w:tab w:pos="210" w:val="left" w:leader="none"/>
        </w:tabs>
        <w:spacing w:line="240" w:lineRule="auto" w:before="100" w:after="0"/>
        <w:ind w:left="210" w:right="0" w:hanging="200"/>
        <w:jc w:val="left"/>
      </w:pPr>
      <w:r>
        <w:rPr/>
        <w:t>Finding 7: Review selection and rating intensity are distinct modelling </w:t>
      </w:r>
      <w:r>
        <w:rPr>
          <w:spacing w:val="-2"/>
        </w:rPr>
        <w:t>targets.</w:t>
      </w:r>
    </w:p>
    <w:p>
      <w:pPr>
        <w:pStyle w:val="ListParagraph"/>
        <w:numPr>
          <w:ilvl w:val="1"/>
          <w:numId w:val="2"/>
        </w:numPr>
        <w:tabs>
          <w:tab w:pos="123" w:val="left" w:leader="none"/>
        </w:tabs>
        <w:spacing w:line="266" w:lineRule="auto" w:before="123" w:after="0"/>
        <w:ind w:left="10" w:right="27" w:firstLine="0"/>
        <w:jc w:val="left"/>
        <w:rPr>
          <w:rFonts w:ascii="Arial" w:hAnsi="Arial"/>
          <w:i/>
          <w:sz w:val="18"/>
        </w:rPr>
      </w:pPr>
      <w:r>
        <w:rPr>
          <w:sz w:val="18"/>
        </w:rPr>
        <w:t>The targets have different denominators. Review availability is measured over purchases: 4,017 of 5,000 orders (80.3%) carry a</w:t>
      </w:r>
      <w:r>
        <w:rPr>
          <w:spacing w:val="-2"/>
          <w:sz w:val="18"/>
        </w:rPr>
        <w:t> </w:t>
      </w:r>
      <w:r>
        <w:rPr>
          <w:sz w:val="18"/>
        </w:rPr>
        <w:t>review,</w:t>
      </w:r>
      <w:r>
        <w:rPr>
          <w:spacing w:val="-2"/>
          <w:sz w:val="18"/>
        </w:rPr>
        <w:t> </w:t>
      </w:r>
      <w:r>
        <w:rPr>
          <w:sz w:val="18"/>
        </w:rPr>
        <w:t>but</w:t>
      </w:r>
      <w:r>
        <w:rPr>
          <w:spacing w:val="-2"/>
          <w:sz w:val="18"/>
        </w:rPr>
        <w:t> </w:t>
      </w:r>
      <w:r>
        <w:rPr>
          <w:sz w:val="18"/>
        </w:rPr>
        <w:t>only</w:t>
      </w:r>
      <w:r>
        <w:rPr>
          <w:spacing w:val="-2"/>
          <w:sz w:val="18"/>
        </w:rPr>
        <w:t> </w:t>
      </w:r>
      <w:r>
        <w:rPr>
          <w:sz w:val="18"/>
        </w:rPr>
        <w:t>7,000</w:t>
      </w:r>
      <w:r>
        <w:rPr>
          <w:spacing w:val="-2"/>
          <w:sz w:val="18"/>
        </w:rPr>
        <w:t> </w:t>
      </w:r>
      <w:r>
        <w:rPr>
          <w:sz w:val="18"/>
        </w:rPr>
        <w:t>of</w:t>
      </w:r>
      <w:r>
        <w:rPr>
          <w:spacing w:val="-2"/>
          <w:sz w:val="18"/>
        </w:rPr>
        <w:t> </w:t>
      </w:r>
      <w:r>
        <w:rPr>
          <w:sz w:val="18"/>
        </w:rPr>
        <w:t>15,739</w:t>
      </w:r>
      <w:r>
        <w:rPr>
          <w:spacing w:val="-2"/>
          <w:sz w:val="18"/>
        </w:rPr>
        <w:t> </w:t>
      </w:r>
      <w:r>
        <w:rPr>
          <w:sz w:val="18"/>
        </w:rPr>
        <w:t>item</w:t>
      </w:r>
      <w:r>
        <w:rPr>
          <w:spacing w:val="-2"/>
          <w:sz w:val="18"/>
        </w:rPr>
        <w:t> </w:t>
      </w:r>
      <w:r>
        <w:rPr>
          <w:sz w:val="18"/>
        </w:rPr>
        <w:t>lines</w:t>
      </w:r>
      <w:r>
        <w:rPr>
          <w:spacing w:val="-2"/>
          <w:sz w:val="18"/>
        </w:rPr>
        <w:t> </w:t>
      </w:r>
      <w:r>
        <w:rPr>
          <w:sz w:val="18"/>
        </w:rPr>
        <w:t>(44.5%)</w:t>
      </w:r>
      <w:r>
        <w:rPr>
          <w:spacing w:val="-2"/>
          <w:sz w:val="18"/>
        </w:rPr>
        <w:t> </w:t>
      </w:r>
      <w:r>
        <w:rPr>
          <w:sz w:val="18"/>
        </w:rPr>
        <w:t>do,</w:t>
      </w:r>
      <w:r>
        <w:rPr>
          <w:spacing w:val="-2"/>
          <w:sz w:val="18"/>
        </w:rPr>
        <w:t> </w:t>
      </w:r>
      <w:r>
        <w:rPr>
          <w:sz w:val="18"/>
        </w:rPr>
        <w:t>and</w:t>
      </w:r>
      <w:r>
        <w:rPr>
          <w:spacing w:val="-2"/>
          <w:sz w:val="18"/>
        </w:rPr>
        <w:t> </w:t>
      </w:r>
      <w:r>
        <w:rPr>
          <w:sz w:val="18"/>
        </w:rPr>
        <w:t>item</w:t>
      </w:r>
      <w:r>
        <w:rPr>
          <w:spacing w:val="-2"/>
          <w:sz w:val="18"/>
        </w:rPr>
        <w:t> </w:t>
      </w:r>
      <w:r>
        <w:rPr>
          <w:sz w:val="18"/>
        </w:rPr>
        <w:t>coverage</w:t>
      </w:r>
      <w:r>
        <w:rPr>
          <w:spacing w:val="-2"/>
          <w:sz w:val="18"/>
        </w:rPr>
        <w:t> </w:t>
      </w:r>
      <w:r>
        <w:rPr>
          <w:sz w:val="18"/>
        </w:rPr>
        <w:t>ranges</w:t>
      </w:r>
      <w:r>
        <w:rPr>
          <w:spacing w:val="-2"/>
          <w:sz w:val="18"/>
        </w:rPr>
        <w:t> </w:t>
      </w:r>
      <w:r>
        <w:rPr>
          <w:sz w:val="18"/>
        </w:rPr>
        <w:t>27.0%–63.6%</w:t>
      </w:r>
      <w:r>
        <w:rPr>
          <w:spacing w:val="-2"/>
          <w:sz w:val="18"/>
        </w:rPr>
        <w:t> </w:t>
      </w:r>
      <w:r>
        <w:rPr>
          <w:sz w:val="18"/>
        </w:rPr>
        <w:t>across</w:t>
      </w:r>
      <w:r>
        <w:rPr>
          <w:spacing w:val="-2"/>
          <w:sz w:val="18"/>
        </w:rPr>
        <w:t> </w:t>
      </w:r>
      <w:r>
        <w:rPr>
          <w:sz w:val="18"/>
        </w:rPr>
        <w:t>price</w:t>
      </w:r>
      <w:r>
        <w:rPr>
          <w:spacing w:val="-2"/>
          <w:sz w:val="18"/>
        </w:rPr>
        <w:t> </w:t>
      </w:r>
      <w:r>
        <w:rPr>
          <w:sz w:val="18"/>
        </w:rPr>
        <w:t>quartiles.</w:t>
      </w:r>
      <w:r>
        <w:rPr>
          <w:spacing w:val="-2"/>
          <w:sz w:val="18"/>
        </w:rPr>
        <w:t> </w:t>
      </w:r>
      <w:r>
        <w:rPr>
          <w:sz w:val="18"/>
        </w:rPr>
        <w:t>Rating intensity</w:t>
      </w:r>
      <w:r>
        <w:rPr>
          <w:spacing w:val="-6"/>
          <w:sz w:val="18"/>
        </w:rPr>
        <w:t> </w:t>
      </w:r>
      <w:r>
        <w:rPr>
          <w:sz w:val="18"/>
        </w:rPr>
        <w:t>is</w:t>
      </w:r>
      <w:r>
        <w:rPr>
          <w:spacing w:val="-6"/>
          <w:sz w:val="18"/>
        </w:rPr>
        <w:t> </w:t>
      </w:r>
      <w:r>
        <w:rPr>
          <w:sz w:val="18"/>
        </w:rPr>
        <w:t>measured</w:t>
      </w:r>
      <w:r>
        <w:rPr>
          <w:spacing w:val="-6"/>
          <w:sz w:val="18"/>
        </w:rPr>
        <w:t> </w:t>
      </w:r>
      <w:r>
        <w:rPr>
          <w:sz w:val="18"/>
        </w:rPr>
        <w:t>only</w:t>
      </w:r>
      <w:r>
        <w:rPr>
          <w:spacing w:val="-6"/>
          <w:sz w:val="18"/>
        </w:rPr>
        <w:t> </w:t>
      </w:r>
      <w:r>
        <w:rPr>
          <w:sz w:val="18"/>
        </w:rPr>
        <w:t>over</w:t>
      </w:r>
      <w:r>
        <w:rPr>
          <w:spacing w:val="-6"/>
          <w:sz w:val="18"/>
        </w:rPr>
        <w:t> </w:t>
      </w:r>
      <w:r>
        <w:rPr>
          <w:sz w:val="18"/>
        </w:rPr>
        <w:t>the</w:t>
      </w:r>
      <w:r>
        <w:rPr>
          <w:spacing w:val="-6"/>
          <w:sz w:val="18"/>
        </w:rPr>
        <w:t> </w:t>
      </w:r>
      <w:r>
        <w:rPr>
          <w:sz w:val="18"/>
        </w:rPr>
        <w:t>7,000</w:t>
      </w:r>
      <w:r>
        <w:rPr>
          <w:spacing w:val="-6"/>
          <w:sz w:val="18"/>
        </w:rPr>
        <w:t> </w:t>
      </w:r>
      <w:r>
        <w:rPr>
          <w:sz w:val="18"/>
        </w:rPr>
        <w:t>observed</w:t>
      </w:r>
      <w:r>
        <w:rPr>
          <w:spacing w:val="-6"/>
          <w:sz w:val="18"/>
        </w:rPr>
        <w:t> </w:t>
      </w:r>
      <w:r>
        <w:rPr>
          <w:sz w:val="18"/>
        </w:rPr>
        <w:t>reviews,</w:t>
      </w:r>
      <w:r>
        <w:rPr>
          <w:spacing w:val="-6"/>
          <w:sz w:val="18"/>
        </w:rPr>
        <w:t> </w:t>
      </w:r>
      <w:r>
        <w:rPr>
          <w:sz w:val="18"/>
        </w:rPr>
        <w:t>where</w:t>
      </w:r>
      <w:r>
        <w:rPr>
          <w:spacing w:val="-6"/>
          <w:sz w:val="18"/>
        </w:rPr>
        <w:t> </w:t>
      </w:r>
      <w:r>
        <w:rPr>
          <w:sz w:val="18"/>
        </w:rPr>
        <w:t>value</w:t>
      </w:r>
      <w:r>
        <w:rPr>
          <w:spacing w:val="-6"/>
          <w:sz w:val="18"/>
        </w:rPr>
        <w:t> </w:t>
      </w:r>
      <w:r>
        <w:rPr>
          <w:sz w:val="18"/>
        </w:rPr>
        <w:t>experience</w:t>
      </w:r>
      <w:r>
        <w:rPr>
          <w:spacing w:val="-6"/>
          <w:sz w:val="18"/>
        </w:rPr>
        <w:t> </w:t>
      </w:r>
      <w:r>
        <w:rPr>
          <w:sz w:val="18"/>
        </w:rPr>
        <w:t>separates</w:t>
      </w:r>
      <w:r>
        <w:rPr>
          <w:spacing w:val="-6"/>
          <w:sz w:val="18"/>
        </w:rPr>
        <w:t> </w:t>
      </w:r>
      <w:r>
        <w:rPr>
          <w:sz w:val="18"/>
        </w:rPr>
        <w:t>ratings</w:t>
      </w:r>
      <w:r>
        <w:rPr>
          <w:spacing w:val="-6"/>
          <w:sz w:val="18"/>
        </w:rPr>
        <w:t> </w:t>
      </w:r>
      <w:r>
        <w:rPr>
          <w:sz w:val="18"/>
        </w:rPr>
        <w:t>weakly</w:t>
      </w:r>
      <w:r>
        <w:rPr>
          <w:spacing w:val="-6"/>
          <w:sz w:val="18"/>
        </w:rPr>
        <w:t> </w:t>
      </w:r>
      <w:r>
        <w:rPr>
          <w:sz w:val="18"/>
        </w:rPr>
        <w:t>(Cliff's</w:t>
      </w:r>
      <w:r>
        <w:rPr>
          <w:spacing w:val="-6"/>
          <w:sz w:val="18"/>
        </w:rPr>
        <w:t> </w:t>
      </w:r>
      <w:r>
        <w:rPr>
          <w:w w:val="95"/>
          <w:sz w:val="18"/>
        </w:rPr>
        <w:t>δ</w:t>
      </w:r>
      <w:r>
        <w:rPr>
          <w:spacing w:val="-3"/>
          <w:w w:val="95"/>
          <w:sz w:val="18"/>
        </w:rPr>
        <w:t> </w:t>
      </w:r>
      <w:r>
        <w:rPr>
          <w:sz w:val="18"/>
        </w:rPr>
        <w:t>=</w:t>
      </w:r>
      <w:r>
        <w:rPr>
          <w:spacing w:val="-6"/>
          <w:sz w:val="18"/>
        </w:rPr>
        <w:t> </w:t>
      </w:r>
      <w:r>
        <w:rPr>
          <w:sz w:val="18"/>
        </w:rPr>
        <w:t>0.093, mean gap 0.179 stars); low ratings (≤2 stars) are 1,197 of 7,000 observed reviews (17.1%) but only 7.6% of all 15,739 purchased item lines, and an absent review is not positive satisfaction. A review-availability model (MLQ-2) therefore cannot be treated as a satisfaction model (MLQ-3), and ratings from reviewed items cannot be assumed representative of all purchases without addressing selection. </w:t>
      </w:r>
      <w:r>
        <w:rPr>
          <w:rFonts w:ascii="Arial" w:hAnsi="Arial"/>
          <w:i/>
          <w:sz w:val="18"/>
        </w:rPr>
        <w:t>Evidence: Figures 4–5. → MLQ-2 and MLQ-3</w:t>
      </w:r>
    </w:p>
    <w:p>
      <w:pPr>
        <w:pStyle w:val="Heading6"/>
        <w:numPr>
          <w:ilvl w:val="0"/>
          <w:numId w:val="2"/>
        </w:numPr>
        <w:tabs>
          <w:tab w:pos="210" w:val="left" w:leader="none"/>
        </w:tabs>
        <w:spacing w:line="240" w:lineRule="auto" w:before="102" w:after="0"/>
        <w:ind w:left="210" w:right="0" w:hanging="200"/>
        <w:jc w:val="left"/>
      </w:pPr>
      <w:r>
        <w:rPr/>
        <w:t>Finding 8: Near-flat weekday averages do not imply a predictable daily </w:t>
      </w:r>
      <w:r>
        <w:rPr>
          <w:spacing w:val="-2"/>
        </w:rPr>
        <w:t>workload.</w:t>
      </w:r>
    </w:p>
    <w:p>
      <w:pPr>
        <w:pStyle w:val="ListParagraph"/>
        <w:numPr>
          <w:ilvl w:val="1"/>
          <w:numId w:val="2"/>
        </w:numPr>
        <w:tabs>
          <w:tab w:pos="121" w:val="left" w:leader="none"/>
        </w:tabs>
        <w:spacing w:line="266" w:lineRule="auto" w:before="123" w:after="0"/>
        <w:ind w:left="10" w:right="9" w:firstLine="0"/>
        <w:jc w:val="left"/>
        <w:rPr>
          <w:sz w:val="18"/>
        </w:rPr>
      </w:pPr>
      <w:r>
        <w:rPr>
          <w:sz w:val="18"/>
        </w:rPr>
        <w:t>Across</w:t>
      </w:r>
      <w:r>
        <w:rPr>
          <w:spacing w:val="-4"/>
          <w:sz w:val="18"/>
        </w:rPr>
        <w:t> </w:t>
      </w:r>
      <w:r>
        <w:rPr>
          <w:sz w:val="18"/>
        </w:rPr>
        <w:t>5,000</w:t>
      </w:r>
      <w:r>
        <w:rPr>
          <w:spacing w:val="-4"/>
          <w:sz w:val="18"/>
        </w:rPr>
        <w:t> </w:t>
      </w:r>
      <w:r>
        <w:rPr>
          <w:sz w:val="18"/>
        </w:rPr>
        <w:t>orders</w:t>
      </w:r>
      <w:r>
        <w:rPr>
          <w:spacing w:val="-4"/>
          <w:sz w:val="18"/>
        </w:rPr>
        <w:t> </w:t>
      </w:r>
      <w:r>
        <w:rPr>
          <w:sz w:val="18"/>
        </w:rPr>
        <w:t>over</w:t>
      </w:r>
      <w:r>
        <w:rPr>
          <w:spacing w:val="-4"/>
          <w:sz w:val="18"/>
        </w:rPr>
        <w:t> </w:t>
      </w:r>
      <w:r>
        <w:rPr>
          <w:sz w:val="18"/>
        </w:rPr>
        <w:t>365</w:t>
      </w:r>
      <w:r>
        <w:rPr>
          <w:spacing w:val="-4"/>
          <w:sz w:val="18"/>
        </w:rPr>
        <w:t> </w:t>
      </w:r>
      <w:r>
        <w:rPr>
          <w:sz w:val="18"/>
        </w:rPr>
        <w:t>calendar</w:t>
      </w:r>
      <w:r>
        <w:rPr>
          <w:spacing w:val="-4"/>
          <w:sz w:val="18"/>
        </w:rPr>
        <w:t> </w:t>
      </w:r>
      <w:r>
        <w:rPr>
          <w:sz w:val="18"/>
        </w:rPr>
        <w:t>days,</w:t>
      </w:r>
      <w:r>
        <w:rPr>
          <w:spacing w:val="-4"/>
          <w:sz w:val="18"/>
        </w:rPr>
        <w:t> </w:t>
      </w:r>
      <w:r>
        <w:rPr>
          <w:sz w:val="18"/>
        </w:rPr>
        <w:t>weekday</w:t>
      </w:r>
      <w:r>
        <w:rPr>
          <w:spacing w:val="-4"/>
          <w:sz w:val="18"/>
        </w:rPr>
        <w:t> </w:t>
      </w:r>
      <w:r>
        <w:rPr>
          <w:sz w:val="18"/>
        </w:rPr>
        <w:t>rates</w:t>
      </w:r>
      <w:r>
        <w:rPr>
          <w:spacing w:val="-4"/>
          <w:sz w:val="18"/>
        </w:rPr>
        <w:t> </w:t>
      </w:r>
      <w:r>
        <w:rPr>
          <w:sz w:val="18"/>
        </w:rPr>
        <w:t>range</w:t>
      </w:r>
      <w:r>
        <w:rPr>
          <w:spacing w:val="-4"/>
          <w:sz w:val="18"/>
        </w:rPr>
        <w:t> </w:t>
      </w:r>
      <w:r>
        <w:rPr>
          <w:sz w:val="18"/>
        </w:rPr>
        <w:t>only</w:t>
      </w:r>
      <w:r>
        <w:rPr>
          <w:spacing w:val="-4"/>
          <w:sz w:val="18"/>
        </w:rPr>
        <w:t> </w:t>
      </w:r>
      <w:r>
        <w:rPr>
          <w:sz w:val="18"/>
        </w:rPr>
        <w:t>13.50–13.85</w:t>
      </w:r>
      <w:r>
        <w:rPr>
          <w:spacing w:val="-4"/>
          <w:sz w:val="18"/>
        </w:rPr>
        <w:t> </w:t>
      </w:r>
      <w:r>
        <w:rPr>
          <w:sz w:val="18"/>
        </w:rPr>
        <w:t>orders/day,</w:t>
      </w:r>
      <w:r>
        <w:rPr>
          <w:spacing w:val="-4"/>
          <w:sz w:val="18"/>
        </w:rPr>
        <w:t> </w:t>
      </w:r>
      <w:r>
        <w:rPr>
          <w:sz w:val="18"/>
        </w:rPr>
        <w:t>whereas</w:t>
      </w:r>
      <w:r>
        <w:rPr>
          <w:spacing w:val="-4"/>
          <w:sz w:val="18"/>
        </w:rPr>
        <w:t> </w:t>
      </w:r>
      <w:r>
        <w:rPr>
          <w:sz w:val="18"/>
        </w:rPr>
        <w:t>daily</w:t>
      </w:r>
      <w:r>
        <w:rPr>
          <w:spacing w:val="-4"/>
          <w:sz w:val="18"/>
        </w:rPr>
        <w:t> </w:t>
      </w:r>
      <w:r>
        <w:rPr>
          <w:sz w:val="18"/>
        </w:rPr>
        <w:t>counts</w:t>
      </w:r>
      <w:r>
        <w:rPr>
          <w:spacing w:val="-4"/>
          <w:sz w:val="18"/>
        </w:rPr>
        <w:t> </w:t>
      </w:r>
      <w:r>
        <w:rPr>
          <w:sz w:val="18"/>
        </w:rPr>
        <w:t>have</w:t>
      </w:r>
      <w:r>
        <w:rPr>
          <w:spacing w:val="-4"/>
          <w:sz w:val="18"/>
        </w:rPr>
        <w:t> </w:t>
      </w:r>
      <w:r>
        <w:rPr>
          <w:sz w:val="18"/>
        </w:rPr>
        <w:t>an SD of 3.55 (Q1 = 11, Q3 = 16, IQR = 5). Monthly rates vary more widely (12.80–14.94 orders/day), but one annual cycle cannot separate recurring seasonality from trend, promotions or noise. Staffing requires forecast-error and uncertainty assessment, not just</w:t>
      </w:r>
      <w:r>
        <w:rPr>
          <w:spacing w:val="-2"/>
          <w:sz w:val="18"/>
        </w:rPr>
        <w:t> </w:t>
      </w:r>
      <w:r>
        <w:rPr>
          <w:sz w:val="18"/>
        </w:rPr>
        <w:t>average demand, and calendar features earn their place only if they improve future-period predictions over simple </w:t>
      </w:r>
      <w:r>
        <w:rPr>
          <w:spacing w:val="-2"/>
          <w:sz w:val="18"/>
        </w:rPr>
        <w:t>baselines</w:t>
      </w:r>
    </w:p>
    <w:p>
      <w:pPr>
        <w:spacing w:before="1"/>
        <w:ind w:left="10" w:right="0" w:firstLine="0"/>
        <w:jc w:val="left"/>
        <w:rPr>
          <w:rFonts w:ascii="Arial" w:hAnsi="Arial"/>
          <w:i/>
          <w:sz w:val="18"/>
        </w:rPr>
      </w:pPr>
      <w:r>
        <w:rPr>
          <w:sz w:val="18"/>
        </w:rPr>
        <w:t>- which the daily variability alone does not demonstrate. </w:t>
      </w:r>
      <w:r>
        <w:rPr>
          <w:rFonts w:ascii="Arial" w:hAnsi="Arial"/>
          <w:i/>
          <w:sz w:val="18"/>
        </w:rPr>
        <w:t>Evidence: Figure 6. → MLQ-</w:t>
      </w:r>
      <w:r>
        <w:rPr>
          <w:rFonts w:ascii="Arial" w:hAnsi="Arial"/>
          <w:i/>
          <w:spacing w:val="-10"/>
          <w:sz w:val="18"/>
        </w:rPr>
        <w:t>4</w:t>
      </w:r>
    </w:p>
    <w:p>
      <w:pPr>
        <w:pStyle w:val="Heading6"/>
        <w:numPr>
          <w:ilvl w:val="0"/>
          <w:numId w:val="2"/>
        </w:numPr>
        <w:tabs>
          <w:tab w:pos="210" w:val="left" w:leader="none"/>
        </w:tabs>
        <w:spacing w:line="266" w:lineRule="auto" w:before="123" w:after="0"/>
        <w:ind w:left="10" w:right="550" w:firstLine="0"/>
        <w:jc w:val="left"/>
      </w:pPr>
      <w:r>
        <w:rPr/>
        <w:t>Finding</w:t>
      </w:r>
      <w:r>
        <w:rPr>
          <w:spacing w:val="-3"/>
        </w:rPr>
        <w:t> </w:t>
      </w:r>
      <w:r>
        <w:rPr/>
        <w:t>9:</w:t>
      </w:r>
      <w:r>
        <w:rPr>
          <w:spacing w:val="-3"/>
        </w:rPr>
        <w:t> </w:t>
      </w:r>
      <w:r>
        <w:rPr/>
        <w:t>The</w:t>
      </w:r>
      <w:r>
        <w:rPr>
          <w:spacing w:val="-3"/>
        </w:rPr>
        <w:t> </w:t>
      </w:r>
      <w:r>
        <w:rPr/>
        <w:t>warehouse-associated</w:t>
      </w:r>
      <w:r>
        <w:rPr>
          <w:spacing w:val="-3"/>
        </w:rPr>
        <w:t> </w:t>
      </w:r>
      <w:r>
        <w:rPr/>
        <w:t>reliability</w:t>
      </w:r>
      <w:r>
        <w:rPr>
          <w:spacing w:val="-3"/>
        </w:rPr>
        <w:t> </w:t>
      </w:r>
      <w:r>
        <w:rPr/>
        <w:t>difference</w:t>
      </w:r>
      <w:r>
        <w:rPr>
          <w:spacing w:val="-3"/>
        </w:rPr>
        <w:t> </w:t>
      </w:r>
      <w:r>
        <w:rPr/>
        <w:t>survives</w:t>
      </w:r>
      <w:r>
        <w:rPr>
          <w:spacing w:val="-3"/>
        </w:rPr>
        <w:t> </w:t>
      </w:r>
      <w:r>
        <w:rPr/>
        <w:t>service-mix</w:t>
      </w:r>
      <w:r>
        <w:rPr>
          <w:spacing w:val="-3"/>
        </w:rPr>
        <w:t> </w:t>
      </w:r>
      <w:r>
        <w:rPr/>
        <w:t>checks,</w:t>
      </w:r>
      <w:r>
        <w:rPr>
          <w:spacing w:val="-3"/>
        </w:rPr>
        <w:t> </w:t>
      </w:r>
      <w:r>
        <w:rPr/>
        <w:t>making</w:t>
      </w:r>
      <w:r>
        <w:rPr>
          <w:spacing w:val="-3"/>
        </w:rPr>
        <w:t> </w:t>
      </w:r>
      <w:r>
        <w:rPr/>
        <w:t>it</w:t>
      </w:r>
      <w:r>
        <w:rPr>
          <w:spacing w:val="-3"/>
        </w:rPr>
        <w:t> </w:t>
      </w:r>
      <w:r>
        <w:rPr/>
        <w:t>a</w:t>
      </w:r>
      <w:r>
        <w:rPr>
          <w:spacing w:val="-3"/>
        </w:rPr>
        <w:t> </w:t>
      </w:r>
      <w:r>
        <w:rPr/>
        <w:t>priority</w:t>
      </w:r>
      <w:r>
        <w:rPr>
          <w:spacing w:val="-3"/>
        </w:rPr>
        <w:t> </w:t>
      </w:r>
      <w:r>
        <w:rPr/>
        <w:t>for further investigation.</w:t>
      </w:r>
    </w:p>
    <w:p>
      <w:pPr>
        <w:pStyle w:val="ListParagraph"/>
        <w:numPr>
          <w:ilvl w:val="1"/>
          <w:numId w:val="2"/>
        </w:numPr>
        <w:tabs>
          <w:tab w:pos="123" w:val="left" w:leader="none"/>
        </w:tabs>
        <w:spacing w:line="266" w:lineRule="auto" w:before="101" w:after="0"/>
        <w:ind w:left="10" w:right="57" w:firstLine="0"/>
        <w:jc w:val="left"/>
        <w:rPr>
          <w:rFonts w:ascii="Arial" w:hAnsi="Arial"/>
          <w:i/>
          <w:sz w:val="18"/>
        </w:rPr>
      </w:pPr>
      <w:r>
        <w:rPr>
          <w:sz w:val="18"/>
        </w:rPr>
        <w:t>Of 5,000 completed-order deliveries, Nickolson records 92.2% OTIF on 898 deliveries versus 88.8% on the other 4,102: a 3.44-percentage-point difference with an approximate simultaneous 95% interval of [0.77, 5.70]. Its advantage persists within Express</w:t>
      </w:r>
      <w:r>
        <w:rPr>
          <w:spacing w:val="-1"/>
          <w:sz w:val="18"/>
        </w:rPr>
        <w:t> </w:t>
      </w:r>
      <w:r>
        <w:rPr>
          <w:sz w:val="18"/>
        </w:rPr>
        <w:t>(+4.54</w:t>
      </w:r>
      <w:r>
        <w:rPr>
          <w:spacing w:val="-1"/>
          <w:sz w:val="18"/>
        </w:rPr>
        <w:t> </w:t>
      </w:r>
      <w:r>
        <w:rPr>
          <w:sz w:val="18"/>
        </w:rPr>
        <w:t>points)</w:t>
      </w:r>
      <w:r>
        <w:rPr>
          <w:spacing w:val="-1"/>
          <w:sz w:val="18"/>
        </w:rPr>
        <w:t> </w:t>
      </w:r>
      <w:r>
        <w:rPr>
          <w:sz w:val="18"/>
        </w:rPr>
        <w:t>and</w:t>
      </w:r>
      <w:r>
        <w:rPr>
          <w:spacing w:val="-1"/>
          <w:sz w:val="18"/>
        </w:rPr>
        <w:t> </w:t>
      </w:r>
      <w:r>
        <w:rPr>
          <w:sz w:val="18"/>
        </w:rPr>
        <w:t>Standard</w:t>
      </w:r>
      <w:r>
        <w:rPr>
          <w:spacing w:val="-1"/>
          <w:sz w:val="18"/>
        </w:rPr>
        <w:t> </w:t>
      </w:r>
      <w:r>
        <w:rPr>
          <w:sz w:val="18"/>
        </w:rPr>
        <w:t>(+3.21</w:t>
      </w:r>
      <w:r>
        <w:rPr>
          <w:spacing w:val="-1"/>
          <w:sz w:val="18"/>
        </w:rPr>
        <w:t> </w:t>
      </w:r>
      <w:r>
        <w:rPr>
          <w:sz w:val="18"/>
        </w:rPr>
        <w:t>points),</w:t>
      </w:r>
      <w:r>
        <w:rPr>
          <w:spacing w:val="-1"/>
          <w:sz w:val="18"/>
        </w:rPr>
        <w:t> </w:t>
      </w:r>
      <w:r>
        <w:rPr>
          <w:sz w:val="18"/>
        </w:rPr>
        <w:t>and</w:t>
      </w:r>
      <w:r>
        <w:rPr>
          <w:spacing w:val="-1"/>
          <w:sz w:val="18"/>
        </w:rPr>
        <w:t> </w:t>
      </w:r>
      <w:r>
        <w:rPr>
          <w:sz w:val="18"/>
        </w:rPr>
        <w:t>service</w:t>
      </w:r>
      <w:r>
        <w:rPr>
          <w:spacing w:val="-1"/>
          <w:sz w:val="18"/>
        </w:rPr>
        <w:t> </w:t>
      </w:r>
      <w:r>
        <w:rPr>
          <w:sz w:val="18"/>
        </w:rPr>
        <w:t>standardisation</w:t>
      </w:r>
      <w:r>
        <w:rPr>
          <w:spacing w:val="-1"/>
          <w:sz w:val="18"/>
        </w:rPr>
        <w:t> </w:t>
      </w:r>
      <w:r>
        <w:rPr>
          <w:sz w:val="18"/>
        </w:rPr>
        <w:t>barely</w:t>
      </w:r>
      <w:r>
        <w:rPr>
          <w:spacing w:val="-1"/>
          <w:sz w:val="18"/>
        </w:rPr>
        <w:t> </w:t>
      </w:r>
      <w:r>
        <w:rPr>
          <w:sz w:val="18"/>
        </w:rPr>
        <w:t>changes</w:t>
      </w:r>
      <w:r>
        <w:rPr>
          <w:spacing w:val="-1"/>
          <w:sz w:val="18"/>
        </w:rPr>
        <w:t> </w:t>
      </w:r>
      <w:r>
        <w:rPr>
          <w:sz w:val="18"/>
        </w:rPr>
        <w:t>the</w:t>
      </w:r>
      <w:r>
        <w:rPr>
          <w:spacing w:val="-1"/>
          <w:sz w:val="18"/>
        </w:rPr>
        <w:t> </w:t>
      </w:r>
      <w:r>
        <w:rPr>
          <w:sz w:val="18"/>
        </w:rPr>
        <w:t>observed</w:t>
      </w:r>
      <w:r>
        <w:rPr>
          <w:spacing w:val="-1"/>
          <w:sz w:val="18"/>
        </w:rPr>
        <w:t> </w:t>
      </w:r>
      <w:r>
        <w:rPr>
          <w:sz w:val="18"/>
        </w:rPr>
        <w:t>rates,</w:t>
      </w:r>
      <w:r>
        <w:rPr>
          <w:spacing w:val="-1"/>
          <w:sz w:val="18"/>
        </w:rPr>
        <w:t> </w:t>
      </w:r>
      <w:r>
        <w:rPr>
          <w:sz w:val="18"/>
        </w:rPr>
        <w:t>so</w:t>
      </w:r>
      <w:r>
        <w:rPr>
          <w:spacing w:val="-1"/>
          <w:sz w:val="18"/>
        </w:rPr>
        <w:t> </w:t>
      </w:r>
      <w:r>
        <w:rPr>
          <w:sz w:val="18"/>
        </w:rPr>
        <w:t>service composition</w:t>
      </w:r>
      <w:r>
        <w:rPr>
          <w:spacing w:val="-3"/>
          <w:sz w:val="18"/>
        </w:rPr>
        <w:t> </w:t>
      </w:r>
      <w:r>
        <w:rPr>
          <w:sz w:val="18"/>
        </w:rPr>
        <w:t>does</w:t>
      </w:r>
      <w:r>
        <w:rPr>
          <w:spacing w:val="-3"/>
          <w:sz w:val="18"/>
        </w:rPr>
        <w:t> </w:t>
      </w:r>
      <w:r>
        <w:rPr>
          <w:sz w:val="18"/>
        </w:rPr>
        <w:t>not</w:t>
      </w:r>
      <w:r>
        <w:rPr>
          <w:spacing w:val="-3"/>
          <w:sz w:val="18"/>
        </w:rPr>
        <w:t> </w:t>
      </w:r>
      <w:r>
        <w:rPr>
          <w:sz w:val="18"/>
        </w:rPr>
        <w:t>explain</w:t>
      </w:r>
      <w:r>
        <w:rPr>
          <w:spacing w:val="-3"/>
          <w:sz w:val="18"/>
        </w:rPr>
        <w:t> </w:t>
      </w:r>
      <w:r>
        <w:rPr>
          <w:sz w:val="18"/>
        </w:rPr>
        <w:t>the</w:t>
      </w:r>
      <w:r>
        <w:rPr>
          <w:spacing w:val="-3"/>
          <w:sz w:val="18"/>
        </w:rPr>
        <w:t> </w:t>
      </w:r>
      <w:r>
        <w:rPr>
          <w:sz w:val="18"/>
        </w:rPr>
        <w:t>aggregate</w:t>
      </w:r>
      <w:r>
        <w:rPr>
          <w:spacing w:val="-3"/>
          <w:sz w:val="18"/>
        </w:rPr>
        <w:t> </w:t>
      </w:r>
      <w:r>
        <w:rPr>
          <w:sz w:val="18"/>
        </w:rPr>
        <w:t>difference.</w:t>
      </w:r>
      <w:r>
        <w:rPr>
          <w:spacing w:val="-3"/>
          <w:sz w:val="18"/>
        </w:rPr>
        <w:t> </w:t>
      </w:r>
      <w:r>
        <w:rPr>
          <w:sz w:val="18"/>
        </w:rPr>
        <w:t>Geography,</w:t>
      </w:r>
      <w:r>
        <w:rPr>
          <w:spacing w:val="-3"/>
          <w:sz w:val="18"/>
        </w:rPr>
        <w:t> </w:t>
      </w:r>
      <w:r>
        <w:rPr>
          <w:sz w:val="18"/>
        </w:rPr>
        <w:t>distance,</w:t>
      </w:r>
      <w:r>
        <w:rPr>
          <w:spacing w:val="-3"/>
          <w:sz w:val="18"/>
        </w:rPr>
        <w:t> </w:t>
      </w:r>
      <w:r>
        <w:rPr>
          <w:sz w:val="18"/>
        </w:rPr>
        <w:t>customer</w:t>
      </w:r>
      <w:r>
        <w:rPr>
          <w:spacing w:val="-3"/>
          <w:sz w:val="18"/>
        </w:rPr>
        <w:t> </w:t>
      </w:r>
      <w:r>
        <w:rPr>
          <w:sz w:val="18"/>
        </w:rPr>
        <w:t>dependence</w:t>
      </w:r>
      <w:r>
        <w:rPr>
          <w:spacing w:val="-3"/>
          <w:sz w:val="18"/>
        </w:rPr>
        <w:t> </w:t>
      </w:r>
      <w:r>
        <w:rPr>
          <w:sz w:val="18"/>
        </w:rPr>
        <w:t>and</w:t>
      </w:r>
      <w:r>
        <w:rPr>
          <w:spacing w:val="-3"/>
          <w:sz w:val="18"/>
        </w:rPr>
        <w:t> </w:t>
      </w:r>
      <w:r>
        <w:rPr>
          <w:sz w:val="18"/>
        </w:rPr>
        <w:t>other</w:t>
      </w:r>
      <w:r>
        <w:rPr>
          <w:spacing w:val="-3"/>
          <w:sz w:val="18"/>
        </w:rPr>
        <w:t> </w:t>
      </w:r>
      <w:r>
        <w:rPr>
          <w:sz w:val="18"/>
        </w:rPr>
        <w:t>case</w:t>
      </w:r>
      <w:r>
        <w:rPr>
          <w:spacing w:val="-3"/>
          <w:sz w:val="18"/>
        </w:rPr>
        <w:t> </w:t>
      </w:r>
      <w:r>
        <w:rPr>
          <w:sz w:val="18"/>
        </w:rPr>
        <w:t>mix</w:t>
      </w:r>
      <w:r>
        <w:rPr>
          <w:spacing w:val="-3"/>
          <w:sz w:val="18"/>
        </w:rPr>
        <w:t> </w:t>
      </w:r>
      <w:r>
        <w:rPr>
          <w:sz w:val="18"/>
        </w:rPr>
        <w:t>remain unresolved,</w:t>
      </w:r>
      <w:r>
        <w:rPr>
          <w:spacing w:val="-2"/>
          <w:sz w:val="18"/>
        </w:rPr>
        <w:t> </w:t>
      </w:r>
      <w:r>
        <w:rPr>
          <w:sz w:val="18"/>
        </w:rPr>
        <w:t>and</w:t>
      </w:r>
      <w:r>
        <w:rPr>
          <w:spacing w:val="-2"/>
          <w:sz w:val="18"/>
        </w:rPr>
        <w:t> </w:t>
      </w:r>
      <w:r>
        <w:rPr>
          <w:sz w:val="18"/>
        </w:rPr>
        <w:t>nearest_warehouse</w:t>
      </w:r>
      <w:r>
        <w:rPr>
          <w:spacing w:val="-2"/>
          <w:sz w:val="18"/>
        </w:rPr>
        <w:t> </w:t>
      </w:r>
      <w:r>
        <w:rPr>
          <w:sz w:val="18"/>
        </w:rPr>
        <w:t>must</w:t>
      </w:r>
      <w:r>
        <w:rPr>
          <w:spacing w:val="-2"/>
          <w:sz w:val="18"/>
        </w:rPr>
        <w:t> </w:t>
      </w:r>
      <w:r>
        <w:rPr>
          <w:sz w:val="18"/>
        </w:rPr>
        <w:t>be</w:t>
      </w:r>
      <w:r>
        <w:rPr>
          <w:spacing w:val="-2"/>
          <w:sz w:val="18"/>
        </w:rPr>
        <w:t> </w:t>
      </w:r>
      <w:r>
        <w:rPr>
          <w:sz w:val="18"/>
        </w:rPr>
        <w:t>verified</w:t>
      </w:r>
      <w:r>
        <w:rPr>
          <w:spacing w:val="-2"/>
          <w:sz w:val="18"/>
        </w:rPr>
        <w:t> </w:t>
      </w:r>
      <w:r>
        <w:rPr>
          <w:sz w:val="18"/>
        </w:rPr>
        <w:t>as</w:t>
      </w:r>
      <w:r>
        <w:rPr>
          <w:spacing w:val="-2"/>
          <w:sz w:val="18"/>
        </w:rPr>
        <w:t> </w:t>
      </w:r>
      <w:r>
        <w:rPr>
          <w:sz w:val="18"/>
        </w:rPr>
        <w:t>dispatch</w:t>
      </w:r>
      <w:r>
        <w:rPr>
          <w:spacing w:val="-2"/>
          <w:sz w:val="18"/>
        </w:rPr>
        <w:t> </w:t>
      </w:r>
      <w:r>
        <w:rPr>
          <w:sz w:val="18"/>
        </w:rPr>
        <w:t>origin</w:t>
      </w:r>
      <w:r>
        <w:rPr>
          <w:spacing w:val="-2"/>
          <w:sz w:val="18"/>
        </w:rPr>
        <w:t> </w:t>
      </w:r>
      <w:r>
        <w:rPr>
          <w:sz w:val="18"/>
        </w:rPr>
        <w:t>before</w:t>
      </w:r>
      <w:r>
        <w:rPr>
          <w:spacing w:val="-2"/>
          <w:sz w:val="18"/>
        </w:rPr>
        <w:t> </w:t>
      </w:r>
      <w:r>
        <w:rPr>
          <w:sz w:val="18"/>
        </w:rPr>
        <w:t>attributing</w:t>
      </w:r>
      <w:r>
        <w:rPr>
          <w:spacing w:val="-2"/>
          <w:sz w:val="18"/>
        </w:rPr>
        <w:t> </w:t>
      </w:r>
      <w:r>
        <w:rPr>
          <w:sz w:val="18"/>
        </w:rPr>
        <w:t>the</w:t>
      </w:r>
      <w:r>
        <w:rPr>
          <w:spacing w:val="-2"/>
          <w:sz w:val="18"/>
        </w:rPr>
        <w:t> </w:t>
      </w:r>
      <w:r>
        <w:rPr>
          <w:sz w:val="18"/>
        </w:rPr>
        <w:t>association</w:t>
      </w:r>
      <w:r>
        <w:rPr>
          <w:spacing w:val="-2"/>
          <w:sz w:val="18"/>
        </w:rPr>
        <w:t> </w:t>
      </w:r>
      <w:r>
        <w:rPr>
          <w:sz w:val="18"/>
        </w:rPr>
        <w:t>to</w:t>
      </w:r>
      <w:r>
        <w:rPr>
          <w:spacing w:val="-2"/>
          <w:sz w:val="18"/>
        </w:rPr>
        <w:t> </w:t>
      </w:r>
      <w:r>
        <w:rPr>
          <w:sz w:val="18"/>
        </w:rPr>
        <w:t>fulfilment</w:t>
      </w:r>
      <w:r>
        <w:rPr>
          <w:spacing w:val="-2"/>
          <w:sz w:val="18"/>
        </w:rPr>
        <w:t> </w:t>
      </w:r>
      <w:r>
        <w:rPr>
          <w:sz w:val="18"/>
        </w:rPr>
        <w:t>practices. </w:t>
      </w:r>
      <w:r>
        <w:rPr>
          <w:rFonts w:ascii="Arial" w:hAnsi="Arial"/>
          <w:i/>
          <w:sz w:val="18"/>
        </w:rPr>
        <w:t>Evidence: Figure 7. → MLQ-5</w:t>
      </w:r>
    </w:p>
    <w:p>
      <w:pPr>
        <w:pStyle w:val="Heading6"/>
        <w:numPr>
          <w:ilvl w:val="0"/>
          <w:numId w:val="2"/>
        </w:numPr>
        <w:tabs>
          <w:tab w:pos="310" w:val="left" w:leader="none"/>
        </w:tabs>
        <w:spacing w:line="266" w:lineRule="auto" w:before="101" w:after="0"/>
        <w:ind w:left="10" w:right="289" w:firstLine="0"/>
        <w:jc w:val="left"/>
      </w:pPr>
      <w:r>
        <w:rPr/>
        <w:t>Finding</w:t>
      </w:r>
      <w:r>
        <w:rPr>
          <w:spacing w:val="-3"/>
        </w:rPr>
        <w:t> </w:t>
      </w:r>
      <w:r>
        <w:rPr/>
        <w:t>10:</w:t>
      </w:r>
      <w:r>
        <w:rPr>
          <w:spacing w:val="-3"/>
        </w:rPr>
        <w:t> </w:t>
      </w:r>
      <w:r>
        <w:rPr/>
        <w:t>Recorded</w:t>
      </w:r>
      <w:r>
        <w:rPr>
          <w:spacing w:val="-3"/>
        </w:rPr>
        <w:t> </w:t>
      </w:r>
      <w:r>
        <w:rPr/>
        <w:t>delivery</w:t>
      </w:r>
      <w:r>
        <w:rPr>
          <w:spacing w:val="-3"/>
        </w:rPr>
        <w:t> </w:t>
      </w:r>
      <w:r>
        <w:rPr/>
        <w:t>cost</w:t>
      </w:r>
      <w:r>
        <w:rPr>
          <w:spacing w:val="-3"/>
        </w:rPr>
        <w:t> </w:t>
      </w:r>
      <w:r>
        <w:rPr/>
        <w:t>recovery</w:t>
      </w:r>
      <w:r>
        <w:rPr>
          <w:spacing w:val="-3"/>
        </w:rPr>
        <w:t> </w:t>
      </w:r>
      <w:r>
        <w:rPr/>
        <w:t>and</w:t>
      </w:r>
      <w:r>
        <w:rPr>
          <w:spacing w:val="-3"/>
        </w:rPr>
        <w:t> </w:t>
      </w:r>
      <w:r>
        <w:rPr/>
        <w:t>delivery</w:t>
      </w:r>
      <w:r>
        <w:rPr>
          <w:spacing w:val="-3"/>
        </w:rPr>
        <w:t> </w:t>
      </w:r>
      <w:r>
        <w:rPr/>
        <w:t>reliability</w:t>
      </w:r>
      <w:r>
        <w:rPr>
          <w:spacing w:val="-3"/>
        </w:rPr>
        <w:t> </w:t>
      </w:r>
      <w:r>
        <w:rPr/>
        <w:t>measure</w:t>
      </w:r>
      <w:r>
        <w:rPr>
          <w:spacing w:val="-3"/>
        </w:rPr>
        <w:t> </w:t>
      </w:r>
      <w:r>
        <w:rPr/>
        <w:t>separate</w:t>
      </w:r>
      <w:r>
        <w:rPr>
          <w:spacing w:val="-3"/>
        </w:rPr>
        <w:t> </w:t>
      </w:r>
      <w:r>
        <w:rPr/>
        <w:t>dimensions</w:t>
      </w:r>
      <w:r>
        <w:rPr>
          <w:spacing w:val="-3"/>
        </w:rPr>
        <w:t> </w:t>
      </w:r>
      <w:r>
        <w:rPr/>
        <w:t>of</w:t>
      </w:r>
      <w:r>
        <w:rPr>
          <w:spacing w:val="-3"/>
        </w:rPr>
        <w:t> </w:t>
      </w:r>
      <w:r>
        <w:rPr/>
        <w:t>operational </w:t>
      </w:r>
      <w:r>
        <w:rPr>
          <w:spacing w:val="-2"/>
        </w:rPr>
        <w:t>performance.</w:t>
      </w:r>
    </w:p>
    <w:p>
      <w:pPr>
        <w:pStyle w:val="ListParagraph"/>
        <w:numPr>
          <w:ilvl w:val="1"/>
          <w:numId w:val="2"/>
        </w:numPr>
        <w:tabs>
          <w:tab w:pos="123" w:val="left" w:leader="none"/>
        </w:tabs>
        <w:spacing w:line="266" w:lineRule="auto" w:before="101" w:after="0"/>
        <w:ind w:left="10" w:right="188" w:firstLine="0"/>
        <w:jc w:val="left"/>
        <w:rPr>
          <w:rFonts w:ascii="Arial" w:hAnsi="Arial"/>
          <w:i/>
          <w:sz w:val="18"/>
        </w:rPr>
      </w:pPr>
      <w:r>
        <w:rPr>
          <w:sz w:val="18"/>
        </w:rPr>
        <w:t>Delivery charges exceed recorded costs on all 5,000 matched deliveries (0 negative), producing a $15,095 aggregate difference and a $2.74 median. Standard (n = 4,106) and Express (n = 894) recover similar multiples of recorded cost (1.27× and 1.28×), while OTIF differs across recorded warehouse groups. These are </w:t>
      </w:r>
      <w:r>
        <w:rPr>
          <w:rFonts w:ascii="Arial" w:hAnsi="Arial"/>
          <w:b/>
          <w:sz w:val="18"/>
        </w:rPr>
        <w:t>separate dimensions, not tested as statistically independent</w:t>
      </w:r>
      <w:r>
        <w:rPr>
          <w:sz w:val="18"/>
        </w:rPr>
        <w:t>, and positive recorded contribution cannot serve as evidence of reliable fulfilment or of complete profitability.</w:t>
      </w:r>
      <w:r>
        <w:rPr>
          <w:spacing w:val="-3"/>
          <w:sz w:val="18"/>
        </w:rPr>
        <w:t> </w:t>
      </w:r>
      <w:r>
        <w:rPr>
          <w:sz w:val="18"/>
        </w:rPr>
        <w:t>Operational</w:t>
      </w:r>
      <w:r>
        <w:rPr>
          <w:spacing w:val="-3"/>
          <w:sz w:val="18"/>
        </w:rPr>
        <w:t> </w:t>
      </w:r>
      <w:r>
        <w:rPr>
          <w:sz w:val="18"/>
        </w:rPr>
        <w:t>evaluation</w:t>
      </w:r>
      <w:r>
        <w:rPr>
          <w:spacing w:val="-3"/>
          <w:sz w:val="18"/>
        </w:rPr>
        <w:t> </w:t>
      </w:r>
      <w:r>
        <w:rPr>
          <w:sz w:val="18"/>
        </w:rPr>
        <w:t>should</w:t>
      </w:r>
      <w:r>
        <w:rPr>
          <w:spacing w:val="-3"/>
          <w:sz w:val="18"/>
        </w:rPr>
        <w:t> </w:t>
      </w:r>
      <w:r>
        <w:rPr>
          <w:sz w:val="18"/>
        </w:rPr>
        <w:t>consider</w:t>
      </w:r>
      <w:r>
        <w:rPr>
          <w:spacing w:val="-3"/>
          <w:sz w:val="18"/>
        </w:rPr>
        <w:t> </w:t>
      </w:r>
      <w:r>
        <w:rPr>
          <w:sz w:val="18"/>
        </w:rPr>
        <w:t>service</w:t>
      </w:r>
      <w:r>
        <w:rPr>
          <w:spacing w:val="-3"/>
          <w:sz w:val="18"/>
        </w:rPr>
        <w:t> </w:t>
      </w:r>
      <w:r>
        <w:rPr>
          <w:sz w:val="18"/>
        </w:rPr>
        <w:t>failures</w:t>
      </w:r>
      <w:r>
        <w:rPr>
          <w:spacing w:val="-3"/>
          <w:sz w:val="18"/>
        </w:rPr>
        <w:t> </w:t>
      </w:r>
      <w:r>
        <w:rPr>
          <w:sz w:val="18"/>
        </w:rPr>
        <w:t>alongside</w:t>
      </w:r>
      <w:r>
        <w:rPr>
          <w:spacing w:val="-3"/>
          <w:sz w:val="18"/>
        </w:rPr>
        <w:t> </w:t>
      </w:r>
      <w:r>
        <w:rPr>
          <w:sz w:val="18"/>
        </w:rPr>
        <w:t>cost</w:t>
      </w:r>
      <w:r>
        <w:rPr>
          <w:spacing w:val="-3"/>
          <w:sz w:val="18"/>
        </w:rPr>
        <w:t> </w:t>
      </w:r>
      <w:r>
        <w:rPr>
          <w:sz w:val="18"/>
        </w:rPr>
        <w:t>recovery,</w:t>
      </w:r>
      <w:r>
        <w:rPr>
          <w:spacing w:val="-3"/>
          <w:sz w:val="18"/>
        </w:rPr>
        <w:t> </w:t>
      </w:r>
      <w:r>
        <w:rPr>
          <w:sz w:val="18"/>
        </w:rPr>
        <w:t>with</w:t>
      </w:r>
      <w:r>
        <w:rPr>
          <w:spacing w:val="-3"/>
          <w:sz w:val="18"/>
        </w:rPr>
        <w:t> </w:t>
      </w:r>
      <w:r>
        <w:rPr>
          <w:sz w:val="18"/>
        </w:rPr>
        <w:t>fuller</w:t>
      </w:r>
      <w:r>
        <w:rPr>
          <w:spacing w:val="-3"/>
          <w:sz w:val="18"/>
        </w:rPr>
        <w:t> </w:t>
      </w:r>
      <w:r>
        <w:rPr>
          <w:sz w:val="18"/>
        </w:rPr>
        <w:t>cost</w:t>
      </w:r>
      <w:r>
        <w:rPr>
          <w:spacing w:val="-3"/>
          <w:sz w:val="18"/>
        </w:rPr>
        <w:t> </w:t>
      </w:r>
      <w:r>
        <w:rPr>
          <w:sz w:val="18"/>
        </w:rPr>
        <w:t>information</w:t>
      </w:r>
      <w:r>
        <w:rPr>
          <w:spacing w:val="-3"/>
          <w:sz w:val="18"/>
        </w:rPr>
        <w:t> </w:t>
      </w:r>
      <w:r>
        <w:rPr>
          <w:sz w:val="18"/>
        </w:rPr>
        <w:t>before assigning monetary benefits to interventions. </w:t>
      </w:r>
      <w:r>
        <w:rPr>
          <w:rFonts w:ascii="Arial" w:hAnsi="Arial"/>
          <w:i/>
          <w:sz w:val="18"/>
        </w:rPr>
        <w:t>Evidence: Figures 7–8. → MLQ-5</w:t>
      </w:r>
    </w:p>
    <w:p>
      <w:pPr>
        <w:pStyle w:val="ListParagraph"/>
        <w:spacing w:after="0" w:line="266" w:lineRule="auto"/>
        <w:jc w:val="left"/>
        <w:rPr>
          <w:rFonts w:ascii="Arial" w:hAnsi="Arial"/>
          <w:i/>
          <w:sz w:val="18"/>
        </w:rPr>
        <w:sectPr>
          <w:headerReference w:type="default" r:id="rId24"/>
          <w:footerReference w:type="default" r:id="rId25"/>
          <w:pgSz w:w="11910" w:h="16840"/>
          <w:pgMar w:header="888" w:footer="330" w:top="1220" w:bottom="520" w:left="850" w:right="850"/>
        </w:sectPr>
      </w:pPr>
    </w:p>
    <w:p>
      <w:pPr>
        <w:pStyle w:val="BodyText"/>
        <w:spacing w:before="14"/>
        <w:rPr>
          <w:rFonts w:ascii="Arial"/>
          <w:i/>
          <w:sz w:val="15"/>
        </w:rPr>
      </w:pPr>
    </w:p>
    <w:p>
      <w:pPr>
        <w:spacing w:line="254" w:lineRule="auto" w:before="0"/>
        <w:ind w:left="10" w:right="0" w:firstLine="0"/>
        <w:jc w:val="left"/>
        <w:rPr>
          <w:sz w:val="15"/>
        </w:rPr>
      </w:pPr>
      <w:r>
        <w:rPr>
          <w:sz w:val="15"/>
        </w:rPr>
        <w:t>These</w:t>
      </w:r>
      <w:r>
        <w:rPr>
          <w:spacing w:val="-8"/>
          <w:sz w:val="15"/>
        </w:rPr>
        <w:t> </w:t>
      </w:r>
      <w:r>
        <w:rPr>
          <w:sz w:val="15"/>
        </w:rPr>
        <w:t>proposals</w:t>
      </w:r>
      <w:r>
        <w:rPr>
          <w:spacing w:val="-8"/>
          <w:sz w:val="15"/>
        </w:rPr>
        <w:t> </w:t>
      </w:r>
      <w:r>
        <w:rPr>
          <w:sz w:val="15"/>
        </w:rPr>
        <w:t>follow</w:t>
      </w:r>
      <w:r>
        <w:rPr>
          <w:spacing w:val="-8"/>
          <w:sz w:val="15"/>
        </w:rPr>
        <w:t> </w:t>
      </w:r>
      <w:r>
        <w:rPr>
          <w:sz w:val="15"/>
        </w:rPr>
        <w:t>the</w:t>
      </w:r>
      <w:r>
        <w:rPr>
          <w:spacing w:val="-8"/>
          <w:sz w:val="15"/>
        </w:rPr>
        <w:t> </w:t>
      </w:r>
      <w:r>
        <w:rPr>
          <w:sz w:val="15"/>
        </w:rPr>
        <w:t>EDA</w:t>
      </w:r>
      <w:r>
        <w:rPr>
          <w:spacing w:val="-8"/>
          <w:sz w:val="15"/>
        </w:rPr>
        <w:t> </w:t>
      </w:r>
      <w:r>
        <w:rPr>
          <w:sz w:val="15"/>
        </w:rPr>
        <w:t>findings;</w:t>
      </w:r>
      <w:r>
        <w:rPr>
          <w:spacing w:val="-8"/>
          <w:sz w:val="15"/>
        </w:rPr>
        <w:t> </w:t>
      </w:r>
      <w:r>
        <w:rPr>
          <w:sz w:val="15"/>
        </w:rPr>
        <w:t>predictive</w:t>
      </w:r>
      <w:r>
        <w:rPr>
          <w:spacing w:val="-8"/>
          <w:sz w:val="15"/>
        </w:rPr>
        <w:t> </w:t>
      </w:r>
      <w:r>
        <w:rPr>
          <w:sz w:val="15"/>
        </w:rPr>
        <w:t>performance</w:t>
      </w:r>
      <w:r>
        <w:rPr>
          <w:spacing w:val="-8"/>
          <w:sz w:val="15"/>
        </w:rPr>
        <w:t> </w:t>
      </w:r>
      <w:r>
        <w:rPr>
          <w:sz w:val="15"/>
        </w:rPr>
        <w:t>and</w:t>
      </w:r>
      <w:r>
        <w:rPr>
          <w:spacing w:val="-8"/>
          <w:sz w:val="15"/>
        </w:rPr>
        <w:t> </w:t>
      </w:r>
      <w:r>
        <w:rPr>
          <w:sz w:val="15"/>
        </w:rPr>
        <w:t>deployment</w:t>
      </w:r>
      <w:r>
        <w:rPr>
          <w:spacing w:val="-8"/>
          <w:sz w:val="15"/>
        </w:rPr>
        <w:t> </w:t>
      </w:r>
      <w:r>
        <w:rPr>
          <w:sz w:val="15"/>
        </w:rPr>
        <w:t>value</w:t>
      </w:r>
      <w:r>
        <w:rPr>
          <w:spacing w:val="-8"/>
          <w:sz w:val="15"/>
        </w:rPr>
        <w:t> </w:t>
      </w:r>
      <w:r>
        <w:rPr>
          <w:sz w:val="15"/>
        </w:rPr>
        <w:t>remain</w:t>
      </w:r>
      <w:r>
        <w:rPr>
          <w:spacing w:val="-8"/>
          <w:sz w:val="15"/>
        </w:rPr>
        <w:t> </w:t>
      </w:r>
      <w:r>
        <w:rPr>
          <w:sz w:val="15"/>
        </w:rPr>
        <w:t>to</w:t>
      </w:r>
      <w:r>
        <w:rPr>
          <w:spacing w:val="-8"/>
          <w:sz w:val="15"/>
        </w:rPr>
        <w:t> </w:t>
      </w:r>
      <w:r>
        <w:rPr>
          <w:sz w:val="15"/>
        </w:rPr>
        <w:t>be</w:t>
      </w:r>
      <w:r>
        <w:rPr>
          <w:spacing w:val="-8"/>
          <w:sz w:val="15"/>
        </w:rPr>
        <w:t> </w:t>
      </w:r>
      <w:r>
        <w:rPr>
          <w:sz w:val="15"/>
        </w:rPr>
        <w:t>tested.</w:t>
      </w:r>
      <w:r>
        <w:rPr>
          <w:spacing w:val="-8"/>
          <w:sz w:val="15"/>
        </w:rPr>
        <w:t> </w:t>
      </w:r>
      <w:r>
        <w:rPr>
          <w:sz w:val="15"/>
        </w:rPr>
        <w:t>Finding</w:t>
      </w:r>
      <w:r>
        <w:rPr>
          <w:spacing w:val="-8"/>
          <w:sz w:val="15"/>
        </w:rPr>
        <w:t> </w:t>
      </w:r>
      <w:r>
        <w:rPr>
          <w:sz w:val="15"/>
        </w:rPr>
        <w:t>numbers</w:t>
      </w:r>
      <w:r>
        <w:rPr>
          <w:spacing w:val="-8"/>
          <w:sz w:val="15"/>
        </w:rPr>
        <w:t> </w:t>
      </w:r>
      <w:r>
        <w:rPr>
          <w:sz w:val="15"/>
        </w:rPr>
        <w:t>refer</w:t>
      </w:r>
      <w:r>
        <w:rPr>
          <w:spacing w:val="-8"/>
          <w:sz w:val="15"/>
        </w:rPr>
        <w:t> </w:t>
      </w:r>
      <w:r>
        <w:rPr>
          <w:sz w:val="15"/>
        </w:rPr>
        <w:t>to</w:t>
      </w:r>
      <w:r>
        <w:rPr>
          <w:spacing w:val="-8"/>
          <w:sz w:val="15"/>
        </w:rPr>
        <w:t> </w:t>
      </w:r>
      <w:r>
        <w:rPr>
          <w:sz w:val="15"/>
        </w:rPr>
        <w:t>the</w:t>
      </w:r>
      <w:r>
        <w:rPr>
          <w:spacing w:val="-8"/>
          <w:sz w:val="15"/>
        </w:rPr>
        <w:t> </w:t>
      </w:r>
      <w:r>
        <w:rPr>
          <w:sz w:val="15"/>
        </w:rPr>
        <w:t>ten</w:t>
      </w:r>
      <w:r>
        <w:rPr>
          <w:spacing w:val="-8"/>
          <w:sz w:val="15"/>
        </w:rPr>
        <w:t> </w:t>
      </w:r>
      <w:r>
        <w:rPr>
          <w:sz w:val="15"/>
        </w:rPr>
        <w:t>synthesised findings.</w:t>
      </w:r>
      <w:r>
        <w:rPr>
          <w:spacing w:val="-1"/>
          <w:sz w:val="15"/>
        </w:rPr>
        <w:t> </w:t>
      </w:r>
      <w:r>
        <w:rPr>
          <w:sz w:val="15"/>
        </w:rPr>
        <w:t>The</w:t>
      </w:r>
      <w:r>
        <w:rPr>
          <w:spacing w:val="-1"/>
          <w:sz w:val="15"/>
        </w:rPr>
        <w:t> </w:t>
      </w:r>
      <w:r>
        <w:rPr>
          <w:sz w:val="15"/>
        </w:rPr>
        <w:t>five</w:t>
      </w:r>
      <w:r>
        <w:rPr>
          <w:spacing w:val="-1"/>
          <w:sz w:val="15"/>
        </w:rPr>
        <w:t> </w:t>
      </w:r>
      <w:r>
        <w:rPr>
          <w:sz w:val="15"/>
        </w:rPr>
        <w:t>span</w:t>
      </w:r>
      <w:r>
        <w:rPr>
          <w:spacing w:val="-1"/>
          <w:sz w:val="15"/>
        </w:rPr>
        <w:t> </w:t>
      </w:r>
      <w:r>
        <w:rPr>
          <w:sz w:val="15"/>
        </w:rPr>
        <w:t>four</w:t>
      </w:r>
      <w:r>
        <w:rPr>
          <w:spacing w:val="-1"/>
          <w:sz w:val="15"/>
        </w:rPr>
        <w:t> </w:t>
      </w:r>
      <w:r>
        <w:rPr>
          <w:sz w:val="15"/>
        </w:rPr>
        <w:t>problem</w:t>
      </w:r>
      <w:r>
        <w:rPr>
          <w:spacing w:val="-1"/>
          <w:sz w:val="15"/>
        </w:rPr>
        <w:t> </w:t>
      </w:r>
      <w:r>
        <w:rPr>
          <w:sz w:val="15"/>
        </w:rPr>
        <w:t>types</w:t>
      </w:r>
      <w:r>
        <w:rPr>
          <w:spacing w:val="-1"/>
          <w:sz w:val="15"/>
        </w:rPr>
        <w:t> </w:t>
      </w:r>
      <w:r>
        <w:rPr>
          <w:sz w:val="15"/>
        </w:rPr>
        <w:t>-</w:t>
      </w:r>
      <w:r>
        <w:rPr>
          <w:spacing w:val="-1"/>
          <w:sz w:val="15"/>
        </w:rPr>
        <w:t> </w:t>
      </w:r>
      <w:r>
        <w:rPr>
          <w:sz w:val="15"/>
        </w:rPr>
        <w:t>regression</w:t>
      </w:r>
      <w:r>
        <w:rPr>
          <w:spacing w:val="-1"/>
          <w:sz w:val="15"/>
        </w:rPr>
        <w:t> </w:t>
      </w:r>
      <w:r>
        <w:rPr>
          <w:sz w:val="15"/>
        </w:rPr>
        <w:t>(MLQ-1),</w:t>
      </w:r>
      <w:r>
        <w:rPr>
          <w:spacing w:val="-1"/>
          <w:sz w:val="15"/>
        </w:rPr>
        <w:t> </w:t>
      </w:r>
      <w:r>
        <w:rPr>
          <w:sz w:val="15"/>
        </w:rPr>
        <w:t>binary</w:t>
      </w:r>
      <w:r>
        <w:rPr>
          <w:spacing w:val="-1"/>
          <w:sz w:val="15"/>
        </w:rPr>
        <w:t> </w:t>
      </w:r>
      <w:r>
        <w:rPr>
          <w:sz w:val="15"/>
        </w:rPr>
        <w:t>classification</w:t>
      </w:r>
      <w:r>
        <w:rPr>
          <w:spacing w:val="-1"/>
          <w:sz w:val="15"/>
        </w:rPr>
        <w:t> </w:t>
      </w:r>
      <w:r>
        <w:rPr>
          <w:sz w:val="15"/>
        </w:rPr>
        <w:t>(MLQ-2,</w:t>
      </w:r>
      <w:r>
        <w:rPr>
          <w:spacing w:val="-1"/>
          <w:sz w:val="15"/>
        </w:rPr>
        <w:t> </w:t>
      </w:r>
      <w:r>
        <w:rPr>
          <w:sz w:val="15"/>
        </w:rPr>
        <w:t>MLQ-5),</w:t>
      </w:r>
      <w:r>
        <w:rPr>
          <w:spacing w:val="-1"/>
          <w:sz w:val="15"/>
        </w:rPr>
        <w:t> </w:t>
      </w:r>
      <w:r>
        <w:rPr>
          <w:sz w:val="15"/>
        </w:rPr>
        <w:t>a</w:t>
      </w:r>
      <w:r>
        <w:rPr>
          <w:spacing w:val="-1"/>
          <w:sz w:val="15"/>
        </w:rPr>
        <w:t> </w:t>
      </w:r>
      <w:r>
        <w:rPr>
          <w:sz w:val="15"/>
        </w:rPr>
        <w:t>two-stage</w:t>
      </w:r>
      <w:r>
        <w:rPr>
          <w:spacing w:val="-1"/>
          <w:sz w:val="15"/>
        </w:rPr>
        <w:t> </w:t>
      </w:r>
      <w:r>
        <w:rPr>
          <w:sz w:val="15"/>
        </w:rPr>
        <w:t>ordinal</w:t>
      </w:r>
      <w:r>
        <w:rPr>
          <w:spacing w:val="-1"/>
          <w:sz w:val="15"/>
        </w:rPr>
        <w:t> </w:t>
      </w:r>
      <w:r>
        <w:rPr>
          <w:sz w:val="15"/>
        </w:rPr>
        <w:t>model</w:t>
      </w:r>
      <w:r>
        <w:rPr>
          <w:spacing w:val="-1"/>
          <w:sz w:val="15"/>
        </w:rPr>
        <w:t> </w:t>
      </w:r>
      <w:r>
        <w:rPr>
          <w:sz w:val="15"/>
        </w:rPr>
        <w:t>(MLQ-3)</w:t>
      </w:r>
      <w:r>
        <w:rPr>
          <w:spacing w:val="-1"/>
          <w:sz w:val="15"/>
        </w:rPr>
        <w:t> </w:t>
      </w:r>
      <w:r>
        <w:rPr>
          <w:sz w:val="15"/>
        </w:rPr>
        <w:t>and</w:t>
      </w:r>
      <w:r>
        <w:rPr>
          <w:spacing w:val="-1"/>
          <w:sz w:val="15"/>
        </w:rPr>
        <w:t> </w:t>
      </w:r>
      <w:r>
        <w:rPr>
          <w:sz w:val="15"/>
        </w:rPr>
        <w:t>count</w:t>
      </w:r>
    </w:p>
    <w:p>
      <w:pPr>
        <w:spacing w:before="0"/>
        <w:ind w:left="10" w:right="0" w:firstLine="0"/>
        <w:jc w:val="left"/>
        <w:rPr>
          <w:sz w:val="15"/>
        </w:rPr>
      </w:pPr>
      <w:r>
        <w:rPr>
          <w:spacing w:val="-2"/>
          <w:sz w:val="15"/>
        </w:rPr>
        <w:t>time-series</w:t>
      </w:r>
      <w:r>
        <w:rPr>
          <w:spacing w:val="3"/>
          <w:sz w:val="15"/>
        </w:rPr>
        <w:t> </w:t>
      </w:r>
      <w:r>
        <w:rPr>
          <w:spacing w:val="-2"/>
          <w:sz w:val="15"/>
        </w:rPr>
        <w:t>forecasting</w:t>
      </w:r>
      <w:r>
        <w:rPr>
          <w:spacing w:val="4"/>
          <w:sz w:val="15"/>
        </w:rPr>
        <w:t> </w:t>
      </w:r>
      <w:r>
        <w:rPr>
          <w:spacing w:val="-2"/>
          <w:sz w:val="15"/>
        </w:rPr>
        <w:t>(MLQ-4)</w:t>
      </w:r>
      <w:r>
        <w:rPr>
          <w:spacing w:val="3"/>
          <w:sz w:val="15"/>
        </w:rPr>
        <w:t> </w:t>
      </w:r>
      <w:r>
        <w:rPr>
          <w:spacing w:val="-2"/>
          <w:sz w:val="15"/>
        </w:rPr>
        <w:t>-</w:t>
      </w:r>
      <w:r>
        <w:rPr>
          <w:spacing w:val="4"/>
          <w:sz w:val="15"/>
        </w:rPr>
        <w:t> </w:t>
      </w:r>
      <w:r>
        <w:rPr>
          <w:spacing w:val="-2"/>
          <w:sz w:val="15"/>
        </w:rPr>
        <w:t>and</w:t>
      </w:r>
      <w:r>
        <w:rPr>
          <w:spacing w:val="4"/>
          <w:sz w:val="15"/>
        </w:rPr>
        <w:t> </w:t>
      </w:r>
      <w:r>
        <w:rPr>
          <w:spacing w:val="-2"/>
          <w:sz w:val="15"/>
        </w:rPr>
        <w:t>every</w:t>
      </w:r>
      <w:r>
        <w:rPr>
          <w:spacing w:val="3"/>
          <w:sz w:val="15"/>
        </w:rPr>
        <w:t> </w:t>
      </w:r>
      <w:r>
        <w:rPr>
          <w:spacing w:val="-2"/>
          <w:sz w:val="15"/>
        </w:rPr>
        <w:t>question</w:t>
      </w:r>
      <w:r>
        <w:rPr>
          <w:spacing w:val="4"/>
          <w:sz w:val="15"/>
        </w:rPr>
        <w:t> </w:t>
      </w:r>
      <w:r>
        <w:rPr>
          <w:spacing w:val="-2"/>
          <w:sz w:val="15"/>
        </w:rPr>
        <w:t>uses</w:t>
      </w:r>
      <w:r>
        <w:rPr>
          <w:spacing w:val="4"/>
          <w:sz w:val="15"/>
        </w:rPr>
        <w:t> </w:t>
      </w:r>
      <w:r>
        <w:rPr>
          <w:spacing w:val="-2"/>
          <w:sz w:val="15"/>
        </w:rPr>
        <w:t>only</w:t>
      </w:r>
      <w:r>
        <w:rPr>
          <w:spacing w:val="3"/>
          <w:sz w:val="15"/>
        </w:rPr>
        <w:t> </w:t>
      </w:r>
      <w:r>
        <w:rPr>
          <w:spacing w:val="-2"/>
          <w:sz w:val="15"/>
        </w:rPr>
        <w:t>decision-time</w:t>
      </w:r>
      <w:r>
        <w:rPr>
          <w:spacing w:val="4"/>
          <w:sz w:val="15"/>
        </w:rPr>
        <w:t> </w:t>
      </w:r>
      <w:r>
        <w:rPr>
          <w:spacing w:val="-2"/>
          <w:sz w:val="15"/>
        </w:rPr>
        <w:t>predictors</w:t>
      </w:r>
      <w:r>
        <w:rPr>
          <w:spacing w:val="4"/>
          <w:sz w:val="15"/>
        </w:rPr>
        <w:t> </w:t>
      </w:r>
      <w:r>
        <w:rPr>
          <w:spacing w:val="-2"/>
          <w:sz w:val="15"/>
        </w:rPr>
        <w:t>with</w:t>
      </w:r>
      <w:r>
        <w:rPr>
          <w:spacing w:val="3"/>
          <w:sz w:val="15"/>
        </w:rPr>
        <w:t> </w:t>
      </w:r>
      <w:r>
        <w:rPr>
          <w:spacing w:val="-2"/>
          <w:sz w:val="15"/>
        </w:rPr>
        <w:t>leakage-safe,</w:t>
      </w:r>
      <w:r>
        <w:rPr>
          <w:spacing w:val="4"/>
          <w:sz w:val="15"/>
        </w:rPr>
        <w:t> </w:t>
      </w:r>
      <w:r>
        <w:rPr>
          <w:spacing w:val="-2"/>
          <w:sz w:val="15"/>
        </w:rPr>
        <w:t>chronological</w:t>
      </w:r>
      <w:r>
        <w:rPr>
          <w:spacing w:val="4"/>
          <w:sz w:val="15"/>
        </w:rPr>
        <w:t> </w:t>
      </w:r>
      <w:r>
        <w:rPr>
          <w:spacing w:val="-2"/>
          <w:sz w:val="15"/>
        </w:rPr>
        <w:t>validation.</w:t>
      </w:r>
    </w:p>
    <w:p>
      <w:pPr>
        <w:pStyle w:val="Heading5"/>
        <w:spacing w:line="261" w:lineRule="auto" w:before="108"/>
      </w:pPr>
      <w:r>
        <w:rPr>
          <w:color w:val="183D60"/>
        </w:rPr>
        <w:t>MLQ-1: Can rolling three-month purchasing behaviour predict a customer's next-month paid value better </w:t>
      </w:r>
      <w:r>
        <w:rPr>
          <w:color w:val="183D60"/>
        </w:rPr>
        <w:t>than historical baselines?</w:t>
      </w:r>
    </w:p>
    <w:p>
      <w:pPr>
        <w:spacing w:line="254" w:lineRule="auto" w:before="85"/>
        <w:ind w:left="10" w:right="0" w:firstLine="0"/>
        <w:jc w:val="left"/>
        <w:rPr>
          <w:sz w:val="15"/>
        </w:rPr>
      </w:pPr>
      <w:r>
        <w:rPr>
          <w:rFonts w:ascii="Arial"/>
          <w:b/>
          <w:sz w:val="15"/>
        </w:rPr>
        <w:t>EDA</w:t>
      </w:r>
      <w:r>
        <w:rPr>
          <w:rFonts w:ascii="Arial"/>
          <w:b/>
          <w:spacing w:val="-8"/>
          <w:sz w:val="15"/>
        </w:rPr>
        <w:t> </w:t>
      </w:r>
      <w:r>
        <w:rPr>
          <w:rFonts w:ascii="Arial"/>
          <w:b/>
          <w:sz w:val="15"/>
        </w:rPr>
        <w:t>evidence:</w:t>
      </w:r>
      <w:r>
        <w:rPr>
          <w:rFonts w:ascii="Arial"/>
          <w:b/>
          <w:spacing w:val="-8"/>
          <w:sz w:val="15"/>
        </w:rPr>
        <w:t> </w:t>
      </w:r>
      <w:r>
        <w:rPr>
          <w:rFonts w:ascii="Arial"/>
          <w:b/>
          <w:sz w:val="15"/>
        </w:rPr>
        <w:t>Figure</w:t>
      </w:r>
      <w:r>
        <w:rPr>
          <w:rFonts w:ascii="Arial"/>
          <w:b/>
          <w:spacing w:val="-8"/>
          <w:sz w:val="15"/>
        </w:rPr>
        <w:t> </w:t>
      </w:r>
      <w:r>
        <w:rPr>
          <w:rFonts w:ascii="Arial"/>
          <w:b/>
          <w:sz w:val="15"/>
        </w:rPr>
        <w:t>1;</w:t>
      </w:r>
      <w:r>
        <w:rPr>
          <w:rFonts w:ascii="Arial"/>
          <w:b/>
          <w:spacing w:val="-8"/>
          <w:sz w:val="15"/>
        </w:rPr>
        <w:t> </w:t>
      </w:r>
      <w:r>
        <w:rPr>
          <w:rFonts w:ascii="Arial"/>
          <w:b/>
          <w:sz w:val="15"/>
        </w:rPr>
        <w:t>Finding</w:t>
      </w:r>
      <w:r>
        <w:rPr>
          <w:rFonts w:ascii="Arial"/>
          <w:b/>
          <w:spacing w:val="-8"/>
          <w:sz w:val="15"/>
        </w:rPr>
        <w:t> </w:t>
      </w:r>
      <w:r>
        <w:rPr>
          <w:rFonts w:ascii="Arial"/>
          <w:b/>
          <w:sz w:val="15"/>
        </w:rPr>
        <w:t>1,</w:t>
      </w:r>
      <w:r>
        <w:rPr>
          <w:rFonts w:ascii="Arial"/>
          <w:b/>
          <w:spacing w:val="-8"/>
          <w:sz w:val="15"/>
        </w:rPr>
        <w:t> </w:t>
      </w:r>
      <w:r>
        <w:rPr>
          <w:rFonts w:ascii="Arial"/>
          <w:b/>
          <w:sz w:val="15"/>
        </w:rPr>
        <w:t>with</w:t>
      </w:r>
      <w:r>
        <w:rPr>
          <w:rFonts w:ascii="Arial"/>
          <w:b/>
          <w:spacing w:val="-8"/>
          <w:sz w:val="15"/>
        </w:rPr>
        <w:t> </w:t>
      </w:r>
      <w:r>
        <w:rPr>
          <w:rFonts w:ascii="Arial"/>
          <w:b/>
          <w:sz w:val="15"/>
        </w:rPr>
        <w:t>Finding</w:t>
      </w:r>
      <w:r>
        <w:rPr>
          <w:rFonts w:ascii="Arial"/>
          <w:b/>
          <w:spacing w:val="-8"/>
          <w:sz w:val="15"/>
        </w:rPr>
        <w:t> </w:t>
      </w:r>
      <w:r>
        <w:rPr>
          <w:rFonts w:ascii="Arial"/>
          <w:b/>
          <w:sz w:val="15"/>
        </w:rPr>
        <w:t>2</w:t>
      </w:r>
      <w:r>
        <w:rPr>
          <w:rFonts w:ascii="Arial"/>
          <w:b/>
          <w:spacing w:val="-8"/>
          <w:sz w:val="15"/>
        </w:rPr>
        <w:t> </w:t>
      </w:r>
      <w:r>
        <w:rPr>
          <w:rFonts w:ascii="Arial"/>
          <w:b/>
          <w:sz w:val="15"/>
        </w:rPr>
        <w:t>as</w:t>
      </w:r>
      <w:r>
        <w:rPr>
          <w:rFonts w:ascii="Arial"/>
          <w:b/>
          <w:spacing w:val="-8"/>
          <w:sz w:val="15"/>
        </w:rPr>
        <w:t> </w:t>
      </w:r>
      <w:r>
        <w:rPr>
          <w:rFonts w:ascii="Arial"/>
          <w:b/>
          <w:sz w:val="15"/>
        </w:rPr>
        <w:t>feature</w:t>
      </w:r>
      <w:r>
        <w:rPr>
          <w:rFonts w:ascii="Arial"/>
          <w:b/>
          <w:spacing w:val="-8"/>
          <w:sz w:val="15"/>
        </w:rPr>
        <w:t> </w:t>
      </w:r>
      <w:r>
        <w:rPr>
          <w:rFonts w:ascii="Arial"/>
          <w:b/>
          <w:sz w:val="15"/>
        </w:rPr>
        <w:t>motivation:</w:t>
      </w:r>
      <w:r>
        <w:rPr>
          <w:rFonts w:ascii="Arial"/>
          <w:b/>
          <w:spacing w:val="-8"/>
          <w:sz w:val="15"/>
        </w:rPr>
        <w:t> </w:t>
      </w:r>
      <w:r>
        <w:rPr>
          <w:sz w:val="15"/>
        </w:rPr>
        <w:t>the</w:t>
      </w:r>
      <w:r>
        <w:rPr>
          <w:spacing w:val="-8"/>
          <w:sz w:val="15"/>
        </w:rPr>
        <w:t> </w:t>
      </w:r>
      <w:r>
        <w:rPr>
          <w:sz w:val="15"/>
        </w:rPr>
        <w:t>top</w:t>
      </w:r>
      <w:r>
        <w:rPr>
          <w:spacing w:val="-8"/>
          <w:sz w:val="15"/>
        </w:rPr>
        <w:t> </w:t>
      </w:r>
      <w:r>
        <w:rPr>
          <w:sz w:val="15"/>
        </w:rPr>
        <w:t>10%</w:t>
      </w:r>
      <w:r>
        <w:rPr>
          <w:spacing w:val="-8"/>
          <w:sz w:val="15"/>
        </w:rPr>
        <w:t> </w:t>
      </w:r>
      <w:r>
        <w:rPr>
          <w:sz w:val="15"/>
        </w:rPr>
        <w:t>of</w:t>
      </w:r>
      <w:r>
        <w:rPr>
          <w:spacing w:val="-8"/>
          <w:sz w:val="15"/>
        </w:rPr>
        <w:t> </w:t>
      </w:r>
      <w:r>
        <w:rPr>
          <w:sz w:val="15"/>
        </w:rPr>
        <w:t>customers</w:t>
      </w:r>
      <w:r>
        <w:rPr>
          <w:spacing w:val="-8"/>
          <w:sz w:val="15"/>
        </w:rPr>
        <w:t> </w:t>
      </w:r>
      <w:r>
        <w:rPr>
          <w:sz w:val="15"/>
        </w:rPr>
        <w:t>contribute</w:t>
      </w:r>
      <w:r>
        <w:rPr>
          <w:spacing w:val="-8"/>
          <w:sz w:val="15"/>
        </w:rPr>
        <w:t> </w:t>
      </w:r>
      <w:r>
        <w:rPr>
          <w:sz w:val="15"/>
        </w:rPr>
        <w:t>17.5%</w:t>
      </w:r>
      <w:r>
        <w:rPr>
          <w:spacing w:val="-8"/>
          <w:sz w:val="15"/>
        </w:rPr>
        <w:t> </w:t>
      </w:r>
      <w:r>
        <w:rPr>
          <w:sz w:val="15"/>
        </w:rPr>
        <w:t>of</w:t>
      </w:r>
      <w:r>
        <w:rPr>
          <w:spacing w:val="-8"/>
          <w:sz w:val="15"/>
        </w:rPr>
        <w:t> </w:t>
      </w:r>
      <w:r>
        <w:rPr>
          <w:sz w:val="15"/>
        </w:rPr>
        <w:t>paid</w:t>
      </w:r>
      <w:r>
        <w:rPr>
          <w:spacing w:val="-8"/>
          <w:sz w:val="15"/>
        </w:rPr>
        <w:t> </w:t>
      </w:r>
      <w:r>
        <w:rPr>
          <w:sz w:val="15"/>
        </w:rPr>
        <w:t>value</w:t>
      </w:r>
      <w:r>
        <w:rPr>
          <w:spacing w:val="-8"/>
          <w:sz w:val="15"/>
        </w:rPr>
        <w:t> </w:t>
      </w:r>
      <w:r>
        <w:rPr>
          <w:sz w:val="15"/>
        </w:rPr>
        <w:t>versus</w:t>
      </w:r>
      <w:r>
        <w:rPr>
          <w:spacing w:val="-8"/>
          <w:sz w:val="15"/>
        </w:rPr>
        <w:t> </w:t>
      </w:r>
      <w:r>
        <w:rPr>
          <w:sz w:val="15"/>
        </w:rPr>
        <w:t>26.2%</w:t>
      </w:r>
      <w:r>
        <w:rPr>
          <w:spacing w:val="-8"/>
          <w:sz w:val="15"/>
        </w:rPr>
        <w:t> </w:t>
      </w:r>
      <w:r>
        <w:rPr>
          <w:sz w:val="15"/>
        </w:rPr>
        <w:t>for</w:t>
      </w:r>
      <w:r>
        <w:rPr>
          <w:spacing w:val="-8"/>
          <w:sz w:val="15"/>
        </w:rPr>
        <w:t> </w:t>
      </w:r>
      <w:r>
        <w:rPr>
          <w:sz w:val="15"/>
        </w:rPr>
        <w:t>the top</w:t>
      </w:r>
      <w:r>
        <w:rPr>
          <w:spacing w:val="-4"/>
          <w:sz w:val="15"/>
        </w:rPr>
        <w:t> </w:t>
      </w:r>
      <w:r>
        <w:rPr>
          <w:sz w:val="15"/>
        </w:rPr>
        <w:t>10%</w:t>
      </w:r>
      <w:r>
        <w:rPr>
          <w:spacing w:val="-4"/>
          <w:sz w:val="15"/>
        </w:rPr>
        <w:t> </w:t>
      </w:r>
      <w:r>
        <w:rPr>
          <w:sz w:val="15"/>
        </w:rPr>
        <w:t>of</w:t>
      </w:r>
      <w:r>
        <w:rPr>
          <w:spacing w:val="-4"/>
          <w:sz w:val="15"/>
        </w:rPr>
        <w:t> </w:t>
      </w:r>
      <w:r>
        <w:rPr>
          <w:sz w:val="15"/>
        </w:rPr>
        <w:t>orders</w:t>
      </w:r>
      <w:r>
        <w:rPr>
          <w:spacing w:val="-4"/>
          <w:sz w:val="15"/>
        </w:rPr>
        <w:t> </w:t>
      </w:r>
      <w:r>
        <w:rPr>
          <w:sz w:val="15"/>
        </w:rPr>
        <w:t>(Gini</w:t>
      </w:r>
      <w:r>
        <w:rPr>
          <w:spacing w:val="-4"/>
          <w:sz w:val="15"/>
        </w:rPr>
        <w:t> </w:t>
      </w:r>
      <w:r>
        <w:rPr>
          <w:sz w:val="15"/>
        </w:rPr>
        <w:t>0.22</w:t>
      </w:r>
      <w:r>
        <w:rPr>
          <w:spacing w:val="-4"/>
          <w:sz w:val="15"/>
        </w:rPr>
        <w:t> </w:t>
      </w:r>
      <w:r>
        <w:rPr>
          <w:sz w:val="15"/>
        </w:rPr>
        <w:t>vs</w:t>
      </w:r>
      <w:r>
        <w:rPr>
          <w:spacing w:val="-4"/>
          <w:sz w:val="15"/>
        </w:rPr>
        <w:t> </w:t>
      </w:r>
      <w:r>
        <w:rPr>
          <w:sz w:val="15"/>
        </w:rPr>
        <w:t>0.38),</w:t>
      </w:r>
      <w:r>
        <w:rPr>
          <w:spacing w:val="-4"/>
          <w:sz w:val="15"/>
        </w:rPr>
        <w:t> </w:t>
      </w:r>
      <w:r>
        <w:rPr>
          <w:sz w:val="15"/>
        </w:rPr>
        <w:t>so</w:t>
      </w:r>
      <w:r>
        <w:rPr>
          <w:spacing w:val="-4"/>
          <w:sz w:val="15"/>
        </w:rPr>
        <w:t> </w:t>
      </w:r>
      <w:r>
        <w:rPr>
          <w:sz w:val="15"/>
        </w:rPr>
        <w:t>order</w:t>
      </w:r>
      <w:r>
        <w:rPr>
          <w:spacing w:val="-4"/>
          <w:sz w:val="15"/>
        </w:rPr>
        <w:t> </w:t>
      </w:r>
      <w:r>
        <w:rPr>
          <w:sz w:val="15"/>
        </w:rPr>
        <w:t>concentration</w:t>
      </w:r>
      <w:r>
        <w:rPr>
          <w:spacing w:val="-4"/>
          <w:sz w:val="15"/>
        </w:rPr>
        <w:t> </w:t>
      </w:r>
      <w:r>
        <w:rPr>
          <w:sz w:val="15"/>
        </w:rPr>
        <w:t>overstates</w:t>
      </w:r>
      <w:r>
        <w:rPr>
          <w:spacing w:val="-4"/>
          <w:sz w:val="15"/>
        </w:rPr>
        <w:t> </w:t>
      </w:r>
      <w:r>
        <w:rPr>
          <w:sz w:val="15"/>
        </w:rPr>
        <w:t>customer</w:t>
      </w:r>
      <w:r>
        <w:rPr>
          <w:spacing w:val="-4"/>
          <w:sz w:val="15"/>
        </w:rPr>
        <w:t> </w:t>
      </w:r>
      <w:r>
        <w:rPr>
          <w:sz w:val="15"/>
        </w:rPr>
        <w:t>dependence;</w:t>
      </w:r>
      <w:r>
        <w:rPr>
          <w:spacing w:val="-4"/>
          <w:sz w:val="15"/>
        </w:rPr>
        <w:t> </w:t>
      </w:r>
      <w:r>
        <w:rPr>
          <w:sz w:val="15"/>
        </w:rPr>
        <w:t>the</w:t>
      </w:r>
      <w:r>
        <w:rPr>
          <w:spacing w:val="-4"/>
          <w:sz w:val="15"/>
        </w:rPr>
        <w:t> </w:t>
      </w:r>
      <w:r>
        <w:rPr>
          <w:sz w:val="15"/>
        </w:rPr>
        <w:t>Figure</w:t>
      </w:r>
      <w:r>
        <w:rPr>
          <w:spacing w:val="-4"/>
          <w:sz w:val="15"/>
        </w:rPr>
        <w:t> </w:t>
      </w:r>
      <w:r>
        <w:rPr>
          <w:sz w:val="15"/>
        </w:rPr>
        <w:t>2</w:t>
      </w:r>
      <w:r>
        <w:rPr>
          <w:spacing w:val="-4"/>
          <w:sz w:val="15"/>
        </w:rPr>
        <w:t> </w:t>
      </w:r>
      <w:r>
        <w:rPr>
          <w:sz w:val="15"/>
        </w:rPr>
        <w:t>decomposition</w:t>
      </w:r>
      <w:r>
        <w:rPr>
          <w:spacing w:val="-4"/>
          <w:sz w:val="15"/>
        </w:rPr>
        <w:t> </w:t>
      </w:r>
      <w:r>
        <w:rPr>
          <w:sz w:val="15"/>
        </w:rPr>
        <w:t>(weighted-price</w:t>
      </w:r>
      <w:r>
        <w:rPr>
          <w:spacing w:val="-4"/>
          <w:sz w:val="15"/>
        </w:rPr>
        <w:t> </w:t>
      </w:r>
      <w:r>
        <w:rPr>
          <w:sz w:val="15"/>
        </w:rPr>
        <w:t>composition</w:t>
      </w:r>
      <w:r>
        <w:rPr>
          <w:spacing w:val="-4"/>
          <w:sz w:val="15"/>
        </w:rPr>
        <w:t> </w:t>
      </w:r>
      <w:r>
        <w:rPr>
          <w:sz w:val="15"/>
        </w:rPr>
        <w:t>= 57.0%</w:t>
      </w:r>
      <w:r>
        <w:rPr>
          <w:spacing w:val="-5"/>
          <w:sz w:val="15"/>
        </w:rPr>
        <w:t> </w:t>
      </w:r>
      <w:r>
        <w:rPr>
          <w:sz w:val="15"/>
        </w:rPr>
        <w:t>of</w:t>
      </w:r>
      <w:r>
        <w:rPr>
          <w:spacing w:val="-5"/>
          <w:sz w:val="15"/>
        </w:rPr>
        <w:t> </w:t>
      </w:r>
      <w:r>
        <w:rPr>
          <w:sz w:val="15"/>
        </w:rPr>
        <w:t>log</w:t>
      </w:r>
      <w:r>
        <w:rPr>
          <w:spacing w:val="-5"/>
          <w:sz w:val="15"/>
        </w:rPr>
        <w:t> </w:t>
      </w:r>
      <w:r>
        <w:rPr>
          <w:sz w:val="15"/>
        </w:rPr>
        <w:t>gross-value</w:t>
      </w:r>
      <w:r>
        <w:rPr>
          <w:spacing w:val="-5"/>
          <w:sz w:val="15"/>
        </w:rPr>
        <w:t> </w:t>
      </w:r>
      <w:r>
        <w:rPr>
          <w:sz w:val="15"/>
        </w:rPr>
        <w:t>variance)</w:t>
      </w:r>
      <w:r>
        <w:rPr>
          <w:spacing w:val="-5"/>
          <w:sz w:val="15"/>
        </w:rPr>
        <w:t> </w:t>
      </w:r>
      <w:r>
        <w:rPr>
          <w:sz w:val="15"/>
        </w:rPr>
        <w:t>motivates</w:t>
      </w:r>
      <w:r>
        <w:rPr>
          <w:spacing w:val="-5"/>
          <w:sz w:val="15"/>
        </w:rPr>
        <w:t> </w:t>
      </w:r>
      <w:r>
        <w:rPr>
          <w:sz w:val="15"/>
        </w:rPr>
        <w:t>lagged</w:t>
      </w:r>
      <w:r>
        <w:rPr>
          <w:spacing w:val="-5"/>
          <w:sz w:val="15"/>
        </w:rPr>
        <w:t> </w:t>
      </w:r>
      <w:r>
        <w:rPr>
          <w:sz w:val="15"/>
        </w:rPr>
        <w:t>basket-composition</w:t>
      </w:r>
      <w:r>
        <w:rPr>
          <w:spacing w:val="-5"/>
          <w:sz w:val="15"/>
        </w:rPr>
        <w:t> </w:t>
      </w:r>
      <w:r>
        <w:rPr>
          <w:sz w:val="15"/>
        </w:rPr>
        <w:t>features.</w:t>
      </w:r>
      <w:r>
        <w:rPr>
          <w:spacing w:val="-5"/>
          <w:sz w:val="15"/>
        </w:rPr>
        <w:t> </w:t>
      </w:r>
      <w:r>
        <w:rPr>
          <w:sz w:val="15"/>
        </w:rPr>
        <w:t>Whether</w:t>
      </w:r>
      <w:r>
        <w:rPr>
          <w:spacing w:val="-5"/>
          <w:sz w:val="15"/>
        </w:rPr>
        <w:t> </w:t>
      </w:r>
      <w:r>
        <w:rPr>
          <w:sz w:val="15"/>
        </w:rPr>
        <w:t>a</w:t>
      </w:r>
      <w:r>
        <w:rPr>
          <w:spacing w:val="-5"/>
          <w:sz w:val="15"/>
        </w:rPr>
        <w:t> </w:t>
      </w:r>
      <w:r>
        <w:rPr>
          <w:sz w:val="15"/>
        </w:rPr>
        <w:t>customer's</w:t>
      </w:r>
      <w:r>
        <w:rPr>
          <w:spacing w:val="-5"/>
          <w:sz w:val="15"/>
        </w:rPr>
        <w:t> </w:t>
      </w:r>
      <w:r>
        <w:rPr>
          <w:sz w:val="15"/>
        </w:rPr>
        <w:t>spending</w:t>
      </w:r>
      <w:r>
        <w:rPr>
          <w:spacing w:val="-5"/>
          <w:sz w:val="15"/>
        </w:rPr>
        <w:t> </w:t>
      </w:r>
      <w:r>
        <w:rPr>
          <w:rFonts w:ascii="Arial"/>
          <w:i/>
          <w:sz w:val="15"/>
        </w:rPr>
        <w:t>persists</w:t>
      </w:r>
      <w:r>
        <w:rPr>
          <w:rFonts w:ascii="Arial"/>
          <w:i/>
          <w:spacing w:val="-5"/>
          <w:sz w:val="15"/>
        </w:rPr>
        <w:t> </w:t>
      </w:r>
      <w:r>
        <w:rPr>
          <w:sz w:val="15"/>
        </w:rPr>
        <w:t>month</w:t>
      </w:r>
      <w:r>
        <w:rPr>
          <w:spacing w:val="-5"/>
          <w:sz w:val="15"/>
        </w:rPr>
        <w:t> </w:t>
      </w:r>
      <w:r>
        <w:rPr>
          <w:sz w:val="15"/>
        </w:rPr>
        <w:t>to</w:t>
      </w:r>
      <w:r>
        <w:rPr>
          <w:spacing w:val="-5"/>
          <w:sz w:val="15"/>
        </w:rPr>
        <w:t> </w:t>
      </w:r>
      <w:r>
        <w:rPr>
          <w:sz w:val="15"/>
        </w:rPr>
        <w:t>month</w:t>
      </w:r>
      <w:r>
        <w:rPr>
          <w:spacing w:val="-5"/>
          <w:sz w:val="15"/>
        </w:rPr>
        <w:t> </w:t>
      </w:r>
      <w:r>
        <w:rPr>
          <w:sz w:val="15"/>
        </w:rPr>
        <w:t>is</w:t>
      </w:r>
      <w:r>
        <w:rPr>
          <w:spacing w:val="-5"/>
          <w:sz w:val="15"/>
        </w:rPr>
        <w:t> </w:t>
      </w:r>
      <w:r>
        <w:rPr>
          <w:sz w:val="15"/>
        </w:rPr>
        <w:t>left</w:t>
      </w:r>
      <w:r>
        <w:rPr>
          <w:spacing w:val="-5"/>
          <w:sz w:val="15"/>
        </w:rPr>
        <w:t> </w:t>
      </w:r>
      <w:r>
        <w:rPr>
          <w:sz w:val="15"/>
        </w:rPr>
        <w:t>explicitly untested - the gap this question targets.</w:t>
      </w:r>
    </w:p>
    <w:p>
      <w:pPr>
        <w:spacing w:line="254" w:lineRule="auto" w:before="73"/>
        <w:ind w:left="10" w:right="0" w:firstLine="0"/>
        <w:jc w:val="left"/>
        <w:rPr>
          <w:sz w:val="15"/>
        </w:rPr>
      </w:pPr>
      <w:r>
        <w:rPr>
          <w:rFonts w:ascii="Arial"/>
          <w:b/>
          <w:sz w:val="15"/>
        </w:rPr>
        <w:t>Business</w:t>
      </w:r>
      <w:r>
        <w:rPr>
          <w:rFonts w:ascii="Arial"/>
          <w:b/>
          <w:spacing w:val="-9"/>
          <w:sz w:val="15"/>
        </w:rPr>
        <w:t> </w:t>
      </w:r>
      <w:r>
        <w:rPr>
          <w:rFonts w:ascii="Arial"/>
          <w:b/>
          <w:sz w:val="15"/>
        </w:rPr>
        <w:t>decision:</w:t>
      </w:r>
      <w:r>
        <w:rPr>
          <w:rFonts w:ascii="Arial"/>
          <w:b/>
          <w:spacing w:val="-9"/>
          <w:sz w:val="15"/>
        </w:rPr>
        <w:t> </w:t>
      </w:r>
      <w:r>
        <w:rPr>
          <w:sz w:val="15"/>
        </w:rPr>
        <w:t>Whether</w:t>
      </w:r>
      <w:r>
        <w:rPr>
          <w:spacing w:val="-9"/>
          <w:sz w:val="15"/>
        </w:rPr>
        <w:t> </w:t>
      </w:r>
      <w:r>
        <w:rPr>
          <w:sz w:val="15"/>
        </w:rPr>
        <w:t>predicted</w:t>
      </w:r>
      <w:r>
        <w:rPr>
          <w:spacing w:val="-9"/>
          <w:sz w:val="15"/>
        </w:rPr>
        <w:t> </w:t>
      </w:r>
      <w:r>
        <w:rPr>
          <w:sz w:val="15"/>
        </w:rPr>
        <w:t>near-term</w:t>
      </w:r>
      <w:r>
        <w:rPr>
          <w:spacing w:val="-9"/>
          <w:sz w:val="15"/>
        </w:rPr>
        <w:t> </w:t>
      </w:r>
      <w:r>
        <w:rPr>
          <w:sz w:val="15"/>
        </w:rPr>
        <w:t>customer</w:t>
      </w:r>
      <w:r>
        <w:rPr>
          <w:spacing w:val="-9"/>
          <w:sz w:val="15"/>
        </w:rPr>
        <w:t> </w:t>
      </w:r>
      <w:r>
        <w:rPr>
          <w:sz w:val="15"/>
        </w:rPr>
        <w:t>value</w:t>
      </w:r>
      <w:r>
        <w:rPr>
          <w:spacing w:val="-9"/>
          <w:sz w:val="15"/>
        </w:rPr>
        <w:t> </w:t>
      </w:r>
      <w:r>
        <w:rPr>
          <w:sz w:val="15"/>
        </w:rPr>
        <w:t>is</w:t>
      </w:r>
      <w:r>
        <w:rPr>
          <w:spacing w:val="-9"/>
          <w:sz w:val="15"/>
        </w:rPr>
        <w:t> </w:t>
      </w:r>
      <w:r>
        <w:rPr>
          <w:sz w:val="15"/>
        </w:rPr>
        <w:t>stable</w:t>
      </w:r>
      <w:r>
        <w:rPr>
          <w:spacing w:val="-9"/>
          <w:sz w:val="15"/>
        </w:rPr>
        <w:t> </w:t>
      </w:r>
      <w:r>
        <w:rPr>
          <w:sz w:val="15"/>
        </w:rPr>
        <w:t>enough</w:t>
      </w:r>
      <w:r>
        <w:rPr>
          <w:spacing w:val="-9"/>
          <w:sz w:val="15"/>
        </w:rPr>
        <w:t> </w:t>
      </w:r>
      <w:r>
        <w:rPr>
          <w:sz w:val="15"/>
        </w:rPr>
        <w:t>to</w:t>
      </w:r>
      <w:r>
        <w:rPr>
          <w:spacing w:val="-9"/>
          <w:sz w:val="15"/>
        </w:rPr>
        <w:t> </w:t>
      </w:r>
      <w:r>
        <w:rPr>
          <w:sz w:val="15"/>
        </w:rPr>
        <w:t>prioritise</w:t>
      </w:r>
      <w:r>
        <w:rPr>
          <w:spacing w:val="-9"/>
          <w:sz w:val="15"/>
        </w:rPr>
        <w:t> </w:t>
      </w:r>
      <w:r>
        <w:rPr>
          <w:sz w:val="15"/>
        </w:rPr>
        <w:t>engagement</w:t>
      </w:r>
      <w:r>
        <w:rPr>
          <w:spacing w:val="-9"/>
          <w:sz w:val="15"/>
        </w:rPr>
        <w:t> </w:t>
      </w:r>
      <w:r>
        <w:rPr>
          <w:sz w:val="15"/>
        </w:rPr>
        <w:t>and</w:t>
      </w:r>
      <w:r>
        <w:rPr>
          <w:spacing w:val="-9"/>
          <w:sz w:val="15"/>
        </w:rPr>
        <w:t> </w:t>
      </w:r>
      <w:r>
        <w:rPr>
          <w:sz w:val="15"/>
        </w:rPr>
        <w:t>assortment</w:t>
      </w:r>
      <w:r>
        <w:rPr>
          <w:spacing w:val="-9"/>
          <w:sz w:val="15"/>
        </w:rPr>
        <w:t> </w:t>
      </w:r>
      <w:r>
        <w:rPr>
          <w:sz w:val="15"/>
        </w:rPr>
        <w:t>attention</w:t>
      </w:r>
      <w:r>
        <w:rPr>
          <w:spacing w:val="-9"/>
          <w:sz w:val="15"/>
        </w:rPr>
        <w:t> </w:t>
      </w:r>
      <w:r>
        <w:rPr>
          <w:sz w:val="15"/>
        </w:rPr>
        <w:t>within</w:t>
      </w:r>
      <w:r>
        <w:rPr>
          <w:spacing w:val="-9"/>
          <w:sz w:val="15"/>
        </w:rPr>
        <w:t> </w:t>
      </w:r>
      <w:r>
        <w:rPr>
          <w:sz w:val="15"/>
        </w:rPr>
        <w:t>a</w:t>
      </w:r>
      <w:r>
        <w:rPr>
          <w:spacing w:val="-9"/>
          <w:sz w:val="15"/>
        </w:rPr>
        <w:t> </w:t>
      </w:r>
      <w:r>
        <w:rPr>
          <w:sz w:val="15"/>
        </w:rPr>
        <w:t>fixed</w:t>
      </w:r>
      <w:r>
        <w:rPr>
          <w:spacing w:val="-9"/>
          <w:sz w:val="15"/>
        </w:rPr>
        <w:t> </w:t>
      </w:r>
      <w:r>
        <w:rPr>
          <w:sz w:val="15"/>
        </w:rPr>
        <w:t>contact </w:t>
      </w:r>
      <w:r>
        <w:rPr>
          <w:spacing w:val="-2"/>
          <w:sz w:val="15"/>
        </w:rPr>
        <w:t>capacity.</w:t>
      </w:r>
    </w:p>
    <w:p>
      <w:pPr>
        <w:spacing w:before="73"/>
        <w:ind w:left="10" w:right="0" w:firstLine="0"/>
        <w:jc w:val="left"/>
        <w:rPr>
          <w:rFonts w:ascii="Arial"/>
          <w:b/>
          <w:sz w:val="15"/>
        </w:rPr>
      </w:pPr>
      <w:r>
        <w:rPr>
          <w:rFonts w:ascii="Arial"/>
          <w:b/>
          <w:spacing w:val="-2"/>
          <w:sz w:val="15"/>
        </w:rPr>
        <w:t>Problem</w:t>
      </w:r>
      <w:r>
        <w:rPr>
          <w:rFonts w:ascii="Arial"/>
          <w:b/>
          <w:spacing w:val="2"/>
          <w:sz w:val="15"/>
        </w:rPr>
        <w:t> </w:t>
      </w:r>
      <w:r>
        <w:rPr>
          <w:rFonts w:ascii="Arial"/>
          <w:b/>
          <w:spacing w:val="-2"/>
          <w:sz w:val="15"/>
        </w:rPr>
        <w:t>type</w:t>
      </w:r>
      <w:r>
        <w:rPr>
          <w:rFonts w:ascii="Arial"/>
          <w:b/>
          <w:spacing w:val="2"/>
          <w:sz w:val="15"/>
        </w:rPr>
        <w:t> </w:t>
      </w:r>
      <w:r>
        <w:rPr>
          <w:rFonts w:ascii="Arial"/>
          <w:b/>
          <w:spacing w:val="-2"/>
          <w:sz w:val="15"/>
        </w:rPr>
        <w:t>and</w:t>
      </w:r>
      <w:r>
        <w:rPr>
          <w:rFonts w:ascii="Arial"/>
          <w:b/>
          <w:spacing w:val="2"/>
          <w:sz w:val="15"/>
        </w:rPr>
        <w:t> </w:t>
      </w:r>
      <w:r>
        <w:rPr>
          <w:rFonts w:ascii="Arial"/>
          <w:b/>
          <w:spacing w:val="-2"/>
          <w:sz w:val="15"/>
        </w:rPr>
        <w:t>analysis</w:t>
      </w:r>
      <w:r>
        <w:rPr>
          <w:rFonts w:ascii="Arial"/>
          <w:b/>
          <w:spacing w:val="1"/>
          <w:sz w:val="15"/>
        </w:rPr>
        <w:t> </w:t>
      </w:r>
      <w:r>
        <w:rPr>
          <w:rFonts w:ascii="Arial"/>
          <w:b/>
          <w:spacing w:val="-2"/>
          <w:sz w:val="15"/>
        </w:rPr>
        <w:t>unit:</w:t>
      </w:r>
      <w:r>
        <w:rPr>
          <w:rFonts w:ascii="Arial"/>
          <w:b/>
          <w:spacing w:val="2"/>
          <w:sz w:val="15"/>
        </w:rPr>
        <w:t> </w:t>
      </w:r>
      <w:r>
        <w:rPr>
          <w:rFonts w:ascii="Arial"/>
          <w:b/>
          <w:spacing w:val="-2"/>
          <w:sz w:val="15"/>
        </w:rPr>
        <w:t>Regression;</w:t>
      </w:r>
      <w:r>
        <w:rPr>
          <w:rFonts w:ascii="Arial"/>
          <w:b/>
          <w:spacing w:val="2"/>
          <w:sz w:val="15"/>
        </w:rPr>
        <w:t> </w:t>
      </w:r>
      <w:r>
        <w:rPr>
          <w:rFonts w:ascii="Arial"/>
          <w:b/>
          <w:spacing w:val="-2"/>
          <w:sz w:val="15"/>
        </w:rPr>
        <w:t>one</w:t>
      </w:r>
      <w:r>
        <w:rPr>
          <w:rFonts w:ascii="Arial"/>
          <w:b/>
          <w:spacing w:val="2"/>
          <w:sz w:val="15"/>
        </w:rPr>
        <w:t> </w:t>
      </w:r>
      <w:r>
        <w:rPr>
          <w:rFonts w:ascii="Arial"/>
          <w:b/>
          <w:spacing w:val="-2"/>
          <w:sz w:val="15"/>
        </w:rPr>
        <w:t>customer-month.</w:t>
      </w:r>
    </w:p>
    <w:p>
      <w:pPr>
        <w:spacing w:before="84"/>
        <w:ind w:left="10" w:right="0" w:firstLine="0"/>
        <w:jc w:val="left"/>
        <w:rPr>
          <w:sz w:val="15"/>
        </w:rPr>
      </w:pPr>
      <w:r>
        <w:rPr>
          <w:rFonts w:ascii="Arial"/>
          <w:b/>
          <w:spacing w:val="-2"/>
          <w:sz w:val="15"/>
        </w:rPr>
        <w:t>Target</w:t>
      </w:r>
      <w:r>
        <w:rPr>
          <w:rFonts w:ascii="Arial"/>
          <w:b/>
          <w:spacing w:val="2"/>
          <w:sz w:val="15"/>
        </w:rPr>
        <w:t> </w:t>
      </w:r>
      <w:r>
        <w:rPr>
          <w:rFonts w:ascii="Arial"/>
          <w:b/>
          <w:spacing w:val="-2"/>
          <w:sz w:val="15"/>
        </w:rPr>
        <w:t>or</w:t>
      </w:r>
      <w:r>
        <w:rPr>
          <w:rFonts w:ascii="Arial"/>
          <w:b/>
          <w:spacing w:val="3"/>
          <w:sz w:val="15"/>
        </w:rPr>
        <w:t> </w:t>
      </w:r>
      <w:r>
        <w:rPr>
          <w:rFonts w:ascii="Arial"/>
          <w:b/>
          <w:spacing w:val="-2"/>
          <w:sz w:val="15"/>
        </w:rPr>
        <w:t>unsupervised</w:t>
      </w:r>
      <w:r>
        <w:rPr>
          <w:rFonts w:ascii="Arial"/>
          <w:b/>
          <w:spacing w:val="3"/>
          <w:sz w:val="15"/>
        </w:rPr>
        <w:t> </w:t>
      </w:r>
      <w:r>
        <w:rPr>
          <w:rFonts w:ascii="Arial"/>
          <w:b/>
          <w:spacing w:val="-2"/>
          <w:sz w:val="15"/>
        </w:rPr>
        <w:t>objective:</w:t>
      </w:r>
      <w:r>
        <w:rPr>
          <w:rFonts w:ascii="Arial"/>
          <w:b/>
          <w:spacing w:val="2"/>
          <w:sz w:val="15"/>
        </w:rPr>
        <w:t> </w:t>
      </w:r>
      <w:r>
        <w:rPr>
          <w:spacing w:val="-2"/>
          <w:sz w:val="15"/>
        </w:rPr>
        <w:t>The</w:t>
      </w:r>
      <w:r>
        <w:rPr>
          <w:spacing w:val="3"/>
          <w:sz w:val="15"/>
        </w:rPr>
        <w:t> </w:t>
      </w:r>
      <w:r>
        <w:rPr>
          <w:spacing w:val="-2"/>
          <w:sz w:val="15"/>
        </w:rPr>
        <w:t>following</w:t>
      </w:r>
      <w:r>
        <w:rPr>
          <w:spacing w:val="3"/>
          <w:sz w:val="15"/>
        </w:rPr>
        <w:t> </w:t>
      </w:r>
      <w:r>
        <w:rPr>
          <w:spacing w:val="-2"/>
          <w:sz w:val="15"/>
        </w:rPr>
        <w:t>complete</w:t>
      </w:r>
      <w:r>
        <w:rPr>
          <w:spacing w:val="3"/>
          <w:sz w:val="15"/>
        </w:rPr>
        <w:t> </w:t>
      </w:r>
      <w:r>
        <w:rPr>
          <w:spacing w:val="-2"/>
          <w:sz w:val="15"/>
        </w:rPr>
        <w:t>calendar</w:t>
      </w:r>
      <w:r>
        <w:rPr>
          <w:spacing w:val="2"/>
          <w:sz w:val="15"/>
        </w:rPr>
        <w:t> </w:t>
      </w:r>
      <w:r>
        <w:rPr>
          <w:spacing w:val="-2"/>
          <w:sz w:val="15"/>
        </w:rPr>
        <w:t>month's</w:t>
      </w:r>
      <w:r>
        <w:rPr>
          <w:spacing w:val="3"/>
          <w:sz w:val="15"/>
        </w:rPr>
        <w:t> </w:t>
      </w:r>
      <w:r>
        <w:rPr>
          <w:spacing w:val="-2"/>
          <w:sz w:val="15"/>
        </w:rPr>
        <w:t>total</w:t>
      </w:r>
      <w:r>
        <w:rPr>
          <w:spacing w:val="3"/>
          <w:sz w:val="15"/>
        </w:rPr>
        <w:t> </w:t>
      </w:r>
      <w:r>
        <w:rPr>
          <w:spacing w:val="-2"/>
          <w:sz w:val="15"/>
        </w:rPr>
        <w:t>paid</w:t>
      </w:r>
      <w:r>
        <w:rPr>
          <w:spacing w:val="3"/>
          <w:sz w:val="15"/>
        </w:rPr>
        <w:t> </w:t>
      </w:r>
      <w:r>
        <w:rPr>
          <w:spacing w:val="-2"/>
          <w:sz w:val="15"/>
        </w:rPr>
        <w:t>order</w:t>
      </w:r>
      <w:r>
        <w:rPr>
          <w:spacing w:val="2"/>
          <w:sz w:val="15"/>
        </w:rPr>
        <w:t> </w:t>
      </w:r>
      <w:r>
        <w:rPr>
          <w:spacing w:val="-2"/>
          <w:sz w:val="15"/>
        </w:rPr>
        <w:t>value</w:t>
      </w:r>
      <w:r>
        <w:rPr>
          <w:spacing w:val="3"/>
          <w:sz w:val="15"/>
        </w:rPr>
        <w:t> </w:t>
      </w:r>
      <w:r>
        <w:rPr>
          <w:spacing w:val="-2"/>
          <w:sz w:val="15"/>
        </w:rPr>
        <w:t>per</w:t>
      </w:r>
      <w:r>
        <w:rPr>
          <w:spacing w:val="3"/>
          <w:sz w:val="15"/>
        </w:rPr>
        <w:t> </w:t>
      </w:r>
      <w:r>
        <w:rPr>
          <w:spacing w:val="-2"/>
          <w:sz w:val="15"/>
        </w:rPr>
        <w:t>customer,</w:t>
      </w:r>
      <w:r>
        <w:rPr>
          <w:spacing w:val="3"/>
          <w:sz w:val="15"/>
        </w:rPr>
        <w:t> </w:t>
      </w:r>
      <w:r>
        <w:rPr>
          <w:spacing w:val="-2"/>
          <w:sz w:val="15"/>
        </w:rPr>
        <w:t>including</w:t>
      </w:r>
      <w:r>
        <w:rPr>
          <w:spacing w:val="2"/>
          <w:sz w:val="15"/>
        </w:rPr>
        <w:t> </w:t>
      </w:r>
      <w:r>
        <w:rPr>
          <w:spacing w:val="-2"/>
          <w:sz w:val="15"/>
        </w:rPr>
        <w:t>zero-spend</w:t>
      </w:r>
      <w:r>
        <w:rPr>
          <w:spacing w:val="3"/>
          <w:sz w:val="15"/>
        </w:rPr>
        <w:t> </w:t>
      </w:r>
      <w:r>
        <w:rPr>
          <w:spacing w:val="-2"/>
          <w:sz w:val="15"/>
        </w:rPr>
        <w:t>months.</w:t>
      </w:r>
    </w:p>
    <w:p>
      <w:pPr>
        <w:spacing w:line="254" w:lineRule="auto" w:before="83"/>
        <w:ind w:left="10" w:right="1" w:firstLine="0"/>
        <w:jc w:val="left"/>
        <w:rPr>
          <w:sz w:val="15"/>
        </w:rPr>
      </w:pPr>
      <w:r>
        <w:rPr>
          <w:rFonts w:ascii="Arial"/>
          <w:b/>
          <w:sz w:val="15"/>
        </w:rPr>
        <w:t>Decision-time</w:t>
      </w:r>
      <w:r>
        <w:rPr>
          <w:rFonts w:ascii="Arial"/>
          <w:b/>
          <w:spacing w:val="-10"/>
          <w:sz w:val="15"/>
        </w:rPr>
        <w:t> </w:t>
      </w:r>
      <w:r>
        <w:rPr>
          <w:rFonts w:ascii="Arial"/>
          <w:b/>
          <w:sz w:val="15"/>
        </w:rPr>
        <w:t>predictors:</w:t>
      </w:r>
      <w:r>
        <w:rPr>
          <w:rFonts w:ascii="Arial"/>
          <w:b/>
          <w:spacing w:val="-10"/>
          <w:sz w:val="15"/>
        </w:rPr>
        <w:t> </w:t>
      </w:r>
      <w:r>
        <w:rPr>
          <w:sz w:val="15"/>
        </w:rPr>
        <w:t>From</w:t>
      </w:r>
      <w:r>
        <w:rPr>
          <w:spacing w:val="-10"/>
          <w:sz w:val="15"/>
        </w:rPr>
        <w:t> </w:t>
      </w:r>
      <w:r>
        <w:rPr>
          <w:sz w:val="15"/>
        </w:rPr>
        <w:t>the</w:t>
      </w:r>
      <w:r>
        <w:rPr>
          <w:spacing w:val="-10"/>
          <w:sz w:val="15"/>
        </w:rPr>
        <w:t> </w:t>
      </w:r>
      <w:r>
        <w:rPr>
          <w:sz w:val="15"/>
        </w:rPr>
        <w:t>preceding</w:t>
      </w:r>
      <w:r>
        <w:rPr>
          <w:spacing w:val="-10"/>
          <w:sz w:val="15"/>
        </w:rPr>
        <w:t> </w:t>
      </w:r>
      <w:r>
        <w:rPr>
          <w:sz w:val="15"/>
        </w:rPr>
        <w:t>three</w:t>
      </w:r>
      <w:r>
        <w:rPr>
          <w:spacing w:val="-10"/>
          <w:sz w:val="15"/>
        </w:rPr>
        <w:t> </w:t>
      </w:r>
      <w:r>
        <w:rPr>
          <w:sz w:val="15"/>
        </w:rPr>
        <w:t>complete</w:t>
      </w:r>
      <w:r>
        <w:rPr>
          <w:spacing w:val="-10"/>
          <w:sz w:val="15"/>
        </w:rPr>
        <w:t> </w:t>
      </w:r>
      <w:r>
        <w:rPr>
          <w:sz w:val="15"/>
        </w:rPr>
        <w:t>months</w:t>
      </w:r>
      <w:r>
        <w:rPr>
          <w:spacing w:val="-10"/>
          <w:sz w:val="15"/>
        </w:rPr>
        <w:t> </w:t>
      </w:r>
      <w:r>
        <w:rPr>
          <w:sz w:val="15"/>
        </w:rPr>
        <w:t>only:</w:t>
      </w:r>
      <w:r>
        <w:rPr>
          <w:spacing w:val="-10"/>
          <w:sz w:val="15"/>
        </w:rPr>
        <w:t> </w:t>
      </w:r>
      <w:r>
        <w:rPr>
          <w:sz w:val="15"/>
        </w:rPr>
        <w:t>recency,</w:t>
      </w:r>
      <w:r>
        <w:rPr>
          <w:spacing w:val="-10"/>
          <w:sz w:val="15"/>
        </w:rPr>
        <w:t> </w:t>
      </w:r>
      <w:r>
        <w:rPr>
          <w:sz w:val="15"/>
        </w:rPr>
        <w:t>purchase</w:t>
      </w:r>
      <w:r>
        <w:rPr>
          <w:spacing w:val="-10"/>
          <w:sz w:val="15"/>
        </w:rPr>
        <w:t> </w:t>
      </w:r>
      <w:r>
        <w:rPr>
          <w:sz w:val="15"/>
        </w:rPr>
        <w:t>frequency,</w:t>
      </w:r>
      <w:r>
        <w:rPr>
          <w:spacing w:val="-10"/>
          <w:sz w:val="15"/>
        </w:rPr>
        <w:t> </w:t>
      </w:r>
      <w:r>
        <w:rPr>
          <w:sz w:val="15"/>
        </w:rPr>
        <w:t>total</w:t>
      </w:r>
      <w:r>
        <w:rPr>
          <w:spacing w:val="-10"/>
          <w:sz w:val="15"/>
        </w:rPr>
        <w:t> </w:t>
      </w:r>
      <w:r>
        <w:rPr>
          <w:sz w:val="15"/>
        </w:rPr>
        <w:t>and</w:t>
      </w:r>
      <w:r>
        <w:rPr>
          <w:spacing w:val="-10"/>
          <w:sz w:val="15"/>
        </w:rPr>
        <w:t> </w:t>
      </w:r>
      <w:r>
        <w:rPr>
          <w:sz w:val="15"/>
        </w:rPr>
        <w:t>median</w:t>
      </w:r>
      <w:r>
        <w:rPr>
          <w:spacing w:val="-10"/>
          <w:sz w:val="15"/>
        </w:rPr>
        <w:t> </w:t>
      </w:r>
      <w:r>
        <w:rPr>
          <w:sz w:val="15"/>
        </w:rPr>
        <w:t>spend,</w:t>
      </w:r>
      <w:r>
        <w:rPr>
          <w:spacing w:val="-10"/>
          <w:sz w:val="15"/>
        </w:rPr>
        <w:t> </w:t>
      </w:r>
      <w:r>
        <w:rPr>
          <w:sz w:val="15"/>
        </w:rPr>
        <w:t>basket</w:t>
      </w:r>
      <w:r>
        <w:rPr>
          <w:spacing w:val="-10"/>
          <w:sz w:val="15"/>
        </w:rPr>
        <w:t> </w:t>
      </w:r>
      <w:r>
        <w:rPr>
          <w:sz w:val="15"/>
        </w:rPr>
        <w:t>quantity, weighted unit price and category spending shares. Customers with no prior-window purchases are handled explicitly.</w:t>
      </w:r>
    </w:p>
    <w:p>
      <w:pPr>
        <w:spacing w:line="254" w:lineRule="auto" w:before="73"/>
        <w:ind w:left="10" w:right="166" w:firstLine="0"/>
        <w:jc w:val="left"/>
        <w:rPr>
          <w:sz w:val="15"/>
        </w:rPr>
      </w:pPr>
      <w:r>
        <w:rPr>
          <w:rFonts w:ascii="Arial"/>
          <w:b/>
          <w:sz w:val="15"/>
        </w:rPr>
        <w:t>Validation</w:t>
      </w:r>
      <w:r>
        <w:rPr>
          <w:rFonts w:ascii="Arial"/>
          <w:b/>
          <w:spacing w:val="-8"/>
          <w:sz w:val="15"/>
        </w:rPr>
        <w:t> </w:t>
      </w:r>
      <w:r>
        <w:rPr>
          <w:rFonts w:ascii="Arial"/>
          <w:b/>
          <w:sz w:val="15"/>
        </w:rPr>
        <w:t>split</w:t>
      </w:r>
      <w:r>
        <w:rPr>
          <w:rFonts w:ascii="Arial"/>
          <w:b/>
          <w:spacing w:val="-8"/>
          <w:sz w:val="15"/>
        </w:rPr>
        <w:t> </w:t>
      </w:r>
      <w:r>
        <w:rPr>
          <w:rFonts w:ascii="Arial"/>
          <w:b/>
          <w:sz w:val="15"/>
        </w:rPr>
        <w:t>and</w:t>
      </w:r>
      <w:r>
        <w:rPr>
          <w:rFonts w:ascii="Arial"/>
          <w:b/>
          <w:spacing w:val="-8"/>
          <w:sz w:val="15"/>
        </w:rPr>
        <w:t> </w:t>
      </w:r>
      <w:r>
        <w:rPr>
          <w:rFonts w:ascii="Arial"/>
          <w:b/>
          <w:sz w:val="15"/>
        </w:rPr>
        <w:t>metric:</w:t>
      </w:r>
      <w:r>
        <w:rPr>
          <w:rFonts w:ascii="Arial"/>
          <w:b/>
          <w:spacing w:val="-8"/>
          <w:sz w:val="15"/>
        </w:rPr>
        <w:t> </w:t>
      </w:r>
      <w:r>
        <w:rPr>
          <w:sz w:val="15"/>
        </w:rPr>
        <w:t>Rolling</w:t>
      </w:r>
      <w:r>
        <w:rPr>
          <w:spacing w:val="-8"/>
          <w:sz w:val="15"/>
        </w:rPr>
        <w:t> </w:t>
      </w:r>
      <w:r>
        <w:rPr>
          <w:sz w:val="15"/>
        </w:rPr>
        <w:t>monthly</w:t>
      </w:r>
      <w:r>
        <w:rPr>
          <w:spacing w:val="-8"/>
          <w:sz w:val="15"/>
        </w:rPr>
        <w:t> </w:t>
      </w:r>
      <w:r>
        <w:rPr>
          <w:sz w:val="15"/>
        </w:rPr>
        <w:t>forecast</w:t>
      </w:r>
      <w:r>
        <w:rPr>
          <w:spacing w:val="-8"/>
          <w:sz w:val="15"/>
        </w:rPr>
        <w:t> </w:t>
      </w:r>
      <w:r>
        <w:rPr>
          <w:sz w:val="15"/>
        </w:rPr>
        <w:t>origins</w:t>
      </w:r>
      <w:r>
        <w:rPr>
          <w:spacing w:val="-8"/>
          <w:sz w:val="15"/>
        </w:rPr>
        <w:t> </w:t>
      </w:r>
      <w:r>
        <w:rPr>
          <w:sz w:val="15"/>
        </w:rPr>
        <w:t>with</w:t>
      </w:r>
      <w:r>
        <w:rPr>
          <w:spacing w:val="-8"/>
          <w:sz w:val="15"/>
        </w:rPr>
        <w:t> </w:t>
      </w:r>
      <w:r>
        <w:rPr>
          <w:sz w:val="15"/>
        </w:rPr>
        <w:t>outcomes</w:t>
      </w:r>
      <w:r>
        <w:rPr>
          <w:spacing w:val="-8"/>
          <w:sz w:val="15"/>
        </w:rPr>
        <w:t> </w:t>
      </w:r>
      <w:r>
        <w:rPr>
          <w:sz w:val="15"/>
        </w:rPr>
        <w:t>fully</w:t>
      </w:r>
      <w:r>
        <w:rPr>
          <w:spacing w:val="-8"/>
          <w:sz w:val="15"/>
        </w:rPr>
        <w:t> </w:t>
      </w:r>
      <w:r>
        <w:rPr>
          <w:sz w:val="15"/>
        </w:rPr>
        <w:t>observed</w:t>
      </w:r>
      <w:r>
        <w:rPr>
          <w:spacing w:val="-8"/>
          <w:sz w:val="15"/>
        </w:rPr>
        <w:t> </w:t>
      </w:r>
      <w:r>
        <w:rPr>
          <w:sz w:val="15"/>
        </w:rPr>
        <w:t>before</w:t>
      </w:r>
      <w:r>
        <w:rPr>
          <w:spacing w:val="-8"/>
          <w:sz w:val="15"/>
        </w:rPr>
        <w:t> </w:t>
      </w:r>
      <w:r>
        <w:rPr>
          <w:sz w:val="15"/>
        </w:rPr>
        <w:t>each</w:t>
      </w:r>
      <w:r>
        <w:rPr>
          <w:spacing w:val="-8"/>
          <w:sz w:val="15"/>
        </w:rPr>
        <w:t> </w:t>
      </w:r>
      <w:r>
        <w:rPr>
          <w:sz w:val="15"/>
        </w:rPr>
        <w:t>origin;</w:t>
      </w:r>
      <w:r>
        <w:rPr>
          <w:spacing w:val="-8"/>
          <w:sz w:val="15"/>
        </w:rPr>
        <w:t> </w:t>
      </w:r>
      <w:r>
        <w:rPr>
          <w:sz w:val="15"/>
        </w:rPr>
        <w:t>MAE</w:t>
      </w:r>
      <w:r>
        <w:rPr>
          <w:spacing w:val="-8"/>
          <w:sz w:val="15"/>
        </w:rPr>
        <w:t> </w:t>
      </w:r>
      <w:r>
        <w:rPr>
          <w:sz w:val="15"/>
        </w:rPr>
        <w:t>and</w:t>
      </w:r>
      <w:r>
        <w:rPr>
          <w:spacing w:val="-8"/>
          <w:sz w:val="15"/>
        </w:rPr>
        <w:t> </w:t>
      </w:r>
      <w:r>
        <w:rPr>
          <w:sz w:val="15"/>
        </w:rPr>
        <w:t>mean</w:t>
      </w:r>
      <w:r>
        <w:rPr>
          <w:spacing w:val="-8"/>
          <w:sz w:val="15"/>
        </w:rPr>
        <w:t> </w:t>
      </w:r>
      <w:r>
        <w:rPr>
          <w:sz w:val="15"/>
        </w:rPr>
        <w:t>signed</w:t>
      </w:r>
      <w:r>
        <w:rPr>
          <w:spacing w:val="-8"/>
          <w:sz w:val="15"/>
        </w:rPr>
        <w:t> </w:t>
      </w:r>
      <w:r>
        <w:rPr>
          <w:sz w:val="15"/>
        </w:rPr>
        <w:t>error</w:t>
      </w:r>
      <w:r>
        <w:rPr>
          <w:spacing w:val="-8"/>
          <w:sz w:val="15"/>
        </w:rPr>
        <w:t> </w:t>
      </w:r>
      <w:r>
        <w:rPr>
          <w:sz w:val="15"/>
        </w:rPr>
        <w:t>(bias)</w:t>
      </w:r>
      <w:r>
        <w:rPr>
          <w:spacing w:val="-8"/>
          <w:sz w:val="15"/>
        </w:rPr>
        <w:t> </w:t>
      </w:r>
      <w:r>
        <w:rPr>
          <w:sz w:val="15"/>
        </w:rPr>
        <w:t>against previous-month and trailing-three-month-mean baselines. For a fixed contact budget, also report top-decile value capture and precision at K against an explicit high-value event (e.g. next-month paid value in the top decile), since "precision at a budget" is undefined for a raw continuous target.</w:t>
      </w:r>
    </w:p>
    <w:p>
      <w:pPr>
        <w:spacing w:line="254" w:lineRule="auto" w:before="74"/>
        <w:ind w:left="10" w:right="338" w:firstLine="0"/>
        <w:jc w:val="left"/>
        <w:rPr>
          <w:sz w:val="15"/>
        </w:rPr>
      </w:pPr>
      <w:r>
        <w:rPr>
          <w:rFonts w:ascii="Arial"/>
          <w:b/>
          <w:sz w:val="15"/>
        </w:rPr>
        <w:t>Leakage,</w:t>
      </w:r>
      <w:r>
        <w:rPr>
          <w:rFonts w:ascii="Arial"/>
          <w:b/>
          <w:spacing w:val="-8"/>
          <w:sz w:val="15"/>
        </w:rPr>
        <w:t> </w:t>
      </w:r>
      <w:r>
        <w:rPr>
          <w:rFonts w:ascii="Arial"/>
          <w:b/>
          <w:sz w:val="15"/>
        </w:rPr>
        <w:t>fairness</w:t>
      </w:r>
      <w:r>
        <w:rPr>
          <w:rFonts w:ascii="Arial"/>
          <w:b/>
          <w:spacing w:val="-8"/>
          <w:sz w:val="15"/>
        </w:rPr>
        <w:t> </w:t>
      </w:r>
      <w:r>
        <w:rPr>
          <w:rFonts w:ascii="Arial"/>
          <w:b/>
          <w:sz w:val="15"/>
        </w:rPr>
        <w:t>or</w:t>
      </w:r>
      <w:r>
        <w:rPr>
          <w:rFonts w:ascii="Arial"/>
          <w:b/>
          <w:spacing w:val="-8"/>
          <w:sz w:val="15"/>
        </w:rPr>
        <w:t> </w:t>
      </w:r>
      <w:r>
        <w:rPr>
          <w:rFonts w:ascii="Arial"/>
          <w:b/>
          <w:sz w:val="15"/>
        </w:rPr>
        <w:t>deployment</w:t>
      </w:r>
      <w:r>
        <w:rPr>
          <w:rFonts w:ascii="Arial"/>
          <w:b/>
          <w:spacing w:val="-8"/>
          <w:sz w:val="15"/>
        </w:rPr>
        <w:t> </w:t>
      </w:r>
      <w:r>
        <w:rPr>
          <w:rFonts w:ascii="Arial"/>
          <w:b/>
          <w:sz w:val="15"/>
        </w:rPr>
        <w:t>risk:</w:t>
      </w:r>
      <w:r>
        <w:rPr>
          <w:rFonts w:ascii="Arial"/>
          <w:b/>
          <w:spacing w:val="-8"/>
          <w:sz w:val="15"/>
        </w:rPr>
        <w:t> </w:t>
      </w:r>
      <w:r>
        <w:rPr>
          <w:sz w:val="15"/>
        </w:rPr>
        <w:t>Exclude</w:t>
      </w:r>
      <w:r>
        <w:rPr>
          <w:spacing w:val="-8"/>
          <w:sz w:val="15"/>
        </w:rPr>
        <w:t> </w:t>
      </w:r>
      <w:r>
        <w:rPr>
          <w:sz w:val="15"/>
        </w:rPr>
        <w:t>future</w:t>
      </w:r>
      <w:r>
        <w:rPr>
          <w:spacing w:val="-8"/>
          <w:sz w:val="15"/>
        </w:rPr>
        <w:t> </w:t>
      </w:r>
      <w:r>
        <w:rPr>
          <w:sz w:val="15"/>
        </w:rPr>
        <w:t>transactions</w:t>
      </w:r>
      <w:r>
        <w:rPr>
          <w:spacing w:val="-8"/>
          <w:sz w:val="15"/>
        </w:rPr>
        <w:t> </w:t>
      </w:r>
      <w:r>
        <w:rPr>
          <w:sz w:val="15"/>
        </w:rPr>
        <w:t>and</w:t>
      </w:r>
      <w:r>
        <w:rPr>
          <w:spacing w:val="-8"/>
          <w:sz w:val="15"/>
        </w:rPr>
        <w:t> </w:t>
      </w:r>
      <w:r>
        <w:rPr>
          <w:sz w:val="15"/>
        </w:rPr>
        <w:t>any</w:t>
      </w:r>
      <w:r>
        <w:rPr>
          <w:spacing w:val="-8"/>
          <w:sz w:val="15"/>
        </w:rPr>
        <w:t> </w:t>
      </w:r>
      <w:r>
        <w:rPr>
          <w:sz w:val="15"/>
        </w:rPr>
        <w:t>full-period</w:t>
      </w:r>
      <w:r>
        <w:rPr>
          <w:spacing w:val="-8"/>
          <w:sz w:val="15"/>
        </w:rPr>
        <w:t> </w:t>
      </w:r>
      <w:r>
        <w:rPr>
          <w:sz w:val="15"/>
        </w:rPr>
        <w:t>customer</w:t>
      </w:r>
      <w:r>
        <w:rPr>
          <w:spacing w:val="-8"/>
          <w:sz w:val="15"/>
        </w:rPr>
        <w:t> </w:t>
      </w:r>
      <w:r>
        <w:rPr>
          <w:sz w:val="15"/>
        </w:rPr>
        <w:t>ranking.</w:t>
      </w:r>
      <w:r>
        <w:rPr>
          <w:spacing w:val="-8"/>
          <w:sz w:val="15"/>
        </w:rPr>
        <w:t> </w:t>
      </w:r>
      <w:r>
        <w:rPr>
          <w:sz w:val="15"/>
        </w:rPr>
        <w:t>Only</w:t>
      </w:r>
      <w:r>
        <w:rPr>
          <w:spacing w:val="-8"/>
          <w:sz w:val="15"/>
        </w:rPr>
        <w:t> </w:t>
      </w:r>
      <w:r>
        <w:rPr>
          <w:sz w:val="15"/>
        </w:rPr>
        <w:t>500</w:t>
      </w:r>
      <w:r>
        <w:rPr>
          <w:spacing w:val="-8"/>
          <w:sz w:val="15"/>
        </w:rPr>
        <w:t> </w:t>
      </w:r>
      <w:r>
        <w:rPr>
          <w:sz w:val="15"/>
        </w:rPr>
        <w:t>customers</w:t>
      </w:r>
      <w:r>
        <w:rPr>
          <w:spacing w:val="-8"/>
          <w:sz w:val="15"/>
        </w:rPr>
        <w:t> </w:t>
      </w:r>
      <w:r>
        <w:rPr>
          <w:sz w:val="15"/>
        </w:rPr>
        <w:t>over</w:t>
      </w:r>
      <w:r>
        <w:rPr>
          <w:spacing w:val="-8"/>
          <w:sz w:val="15"/>
        </w:rPr>
        <w:t> </w:t>
      </w:r>
      <w:r>
        <w:rPr>
          <w:sz w:val="15"/>
        </w:rPr>
        <w:t>one</w:t>
      </w:r>
      <w:r>
        <w:rPr>
          <w:spacing w:val="-8"/>
          <w:sz w:val="15"/>
        </w:rPr>
        <w:t> </w:t>
      </w:r>
      <w:r>
        <w:rPr>
          <w:sz w:val="15"/>
        </w:rPr>
        <w:t>year</w:t>
      </w:r>
      <w:r>
        <w:rPr>
          <w:spacing w:val="-8"/>
          <w:sz w:val="15"/>
        </w:rPr>
        <w:t> </w:t>
      </w:r>
      <w:r>
        <w:rPr>
          <w:sz w:val="15"/>
        </w:rPr>
        <w:t>give</w:t>
      </w:r>
      <w:r>
        <w:rPr>
          <w:spacing w:val="-8"/>
          <w:sz w:val="15"/>
        </w:rPr>
        <w:t> </w:t>
      </w:r>
      <w:r>
        <w:rPr>
          <w:sz w:val="15"/>
        </w:rPr>
        <w:t>few evaluation windows, and the target is zero-heavy (2,587 of 6,000 customer-months have no orders). All 500 customers signed up before 2018, so future-signup</w:t>
      </w:r>
      <w:r>
        <w:rPr>
          <w:spacing w:val="-8"/>
          <w:sz w:val="15"/>
        </w:rPr>
        <w:t> </w:t>
      </w:r>
      <w:r>
        <w:rPr>
          <w:sz w:val="15"/>
        </w:rPr>
        <w:t>leakage</w:t>
      </w:r>
      <w:r>
        <w:rPr>
          <w:spacing w:val="-8"/>
          <w:sz w:val="15"/>
        </w:rPr>
        <w:t> </w:t>
      </w:r>
      <w:r>
        <w:rPr>
          <w:sz w:val="15"/>
        </w:rPr>
        <w:t>is</w:t>
      </w:r>
      <w:r>
        <w:rPr>
          <w:spacing w:val="-8"/>
          <w:sz w:val="15"/>
        </w:rPr>
        <w:t> </w:t>
      </w:r>
      <w:r>
        <w:rPr>
          <w:sz w:val="15"/>
        </w:rPr>
        <w:t>absent</w:t>
      </w:r>
      <w:r>
        <w:rPr>
          <w:spacing w:val="-8"/>
          <w:sz w:val="15"/>
        </w:rPr>
        <w:t> </w:t>
      </w:r>
      <w:r>
        <w:rPr>
          <w:sz w:val="15"/>
        </w:rPr>
        <w:t>in</w:t>
      </w:r>
      <w:r>
        <w:rPr>
          <w:spacing w:val="-8"/>
          <w:sz w:val="15"/>
        </w:rPr>
        <w:t> </w:t>
      </w:r>
      <w:r>
        <w:rPr>
          <w:sz w:val="15"/>
        </w:rPr>
        <w:t>this</w:t>
      </w:r>
      <w:r>
        <w:rPr>
          <w:spacing w:val="-8"/>
          <w:sz w:val="15"/>
        </w:rPr>
        <w:t> </w:t>
      </w:r>
      <w:r>
        <w:rPr>
          <w:sz w:val="15"/>
        </w:rPr>
        <w:t>export,</w:t>
      </w:r>
      <w:r>
        <w:rPr>
          <w:spacing w:val="-8"/>
          <w:sz w:val="15"/>
        </w:rPr>
        <w:t> </w:t>
      </w:r>
      <w:r>
        <w:rPr>
          <w:sz w:val="15"/>
        </w:rPr>
        <w:t>but</w:t>
      </w:r>
      <w:r>
        <w:rPr>
          <w:spacing w:val="-8"/>
          <w:sz w:val="15"/>
        </w:rPr>
        <w:t> </w:t>
      </w:r>
      <w:r>
        <w:rPr>
          <w:sz w:val="15"/>
        </w:rPr>
        <w:t>a</w:t>
      </w:r>
      <w:r>
        <w:rPr>
          <w:spacing w:val="-8"/>
          <w:sz w:val="15"/>
        </w:rPr>
        <w:t> </w:t>
      </w:r>
      <w:r>
        <w:rPr>
          <w:sz w:val="15"/>
        </w:rPr>
        <w:t>deployment</w:t>
      </w:r>
      <w:r>
        <w:rPr>
          <w:spacing w:val="-8"/>
          <w:sz w:val="15"/>
        </w:rPr>
        <w:t> </w:t>
      </w:r>
      <w:r>
        <w:rPr>
          <w:sz w:val="15"/>
        </w:rPr>
        <w:t>population</w:t>
      </w:r>
      <w:r>
        <w:rPr>
          <w:spacing w:val="-8"/>
          <w:sz w:val="15"/>
        </w:rPr>
        <w:t> </w:t>
      </w:r>
      <w:r>
        <w:rPr>
          <w:sz w:val="15"/>
        </w:rPr>
        <w:t>must</w:t>
      </w:r>
      <w:r>
        <w:rPr>
          <w:spacing w:val="-8"/>
          <w:sz w:val="15"/>
        </w:rPr>
        <w:t> </w:t>
      </w:r>
      <w:r>
        <w:rPr>
          <w:sz w:val="15"/>
        </w:rPr>
        <w:t>define</w:t>
      </w:r>
      <w:r>
        <w:rPr>
          <w:spacing w:val="-8"/>
          <w:sz w:val="15"/>
        </w:rPr>
        <w:t> </w:t>
      </w:r>
      <w:r>
        <w:rPr>
          <w:sz w:val="15"/>
        </w:rPr>
        <w:t>eligibility</w:t>
      </w:r>
      <w:r>
        <w:rPr>
          <w:spacing w:val="-8"/>
          <w:sz w:val="15"/>
        </w:rPr>
        <w:t> </w:t>
      </w:r>
      <w:r>
        <w:rPr>
          <w:sz w:val="15"/>
        </w:rPr>
        <w:t>from</w:t>
      </w:r>
      <w:r>
        <w:rPr>
          <w:spacing w:val="-8"/>
          <w:sz w:val="15"/>
        </w:rPr>
        <w:t> </w:t>
      </w:r>
      <w:r>
        <w:rPr>
          <w:sz w:val="15"/>
        </w:rPr>
        <w:t>decision-time</w:t>
      </w:r>
      <w:r>
        <w:rPr>
          <w:spacing w:val="-8"/>
          <w:sz w:val="15"/>
        </w:rPr>
        <w:t> </w:t>
      </w:r>
      <w:r>
        <w:rPr>
          <w:sz w:val="15"/>
        </w:rPr>
        <w:t>records.</w:t>
      </w:r>
      <w:r>
        <w:rPr>
          <w:spacing w:val="-8"/>
          <w:sz w:val="15"/>
        </w:rPr>
        <w:t> </w:t>
      </w:r>
      <w:r>
        <w:rPr>
          <w:sz w:val="15"/>
        </w:rPr>
        <w:t>Observed</w:t>
      </w:r>
      <w:r>
        <w:rPr>
          <w:spacing w:val="-8"/>
          <w:sz w:val="15"/>
        </w:rPr>
        <w:t> </w:t>
      </w:r>
      <w:r>
        <w:rPr>
          <w:sz w:val="15"/>
        </w:rPr>
        <w:t>spending</w:t>
      </w:r>
      <w:r>
        <w:rPr>
          <w:spacing w:val="-8"/>
          <w:sz w:val="15"/>
        </w:rPr>
        <w:t> </w:t>
      </w:r>
      <w:r>
        <w:rPr>
          <w:sz w:val="15"/>
        </w:rPr>
        <w:t>is</w:t>
      </w:r>
      <w:r>
        <w:rPr>
          <w:spacing w:val="-8"/>
          <w:sz w:val="15"/>
        </w:rPr>
        <w:t> </w:t>
      </w:r>
      <w:r>
        <w:rPr>
          <w:sz w:val="15"/>
        </w:rPr>
        <w:t>not profit, and a high prediction does not establish that contact changes behaviour.</w:t>
      </w:r>
    </w:p>
    <w:p>
      <w:pPr>
        <w:pStyle w:val="BodyText"/>
        <w:spacing w:before="90"/>
        <w:rPr>
          <w:sz w:val="15"/>
        </w:rPr>
      </w:pPr>
    </w:p>
    <w:p>
      <w:pPr>
        <w:pStyle w:val="Heading5"/>
        <w:spacing w:line="261" w:lineRule="auto"/>
      </w:pPr>
      <w:r>
        <w:rPr>
          <w:color w:val="183D60"/>
        </w:rPr>
        <w:t>MLQ-2: Which delivered item lines are unlikely to receive a review within 30 days, and does price improve prediction beyond basket size and category?</w:t>
      </w:r>
    </w:p>
    <w:p>
      <w:pPr>
        <w:spacing w:line="254" w:lineRule="auto" w:before="84"/>
        <w:ind w:left="10" w:right="0" w:firstLine="0"/>
        <w:jc w:val="left"/>
        <w:rPr>
          <w:sz w:val="15"/>
        </w:rPr>
      </w:pPr>
      <w:r>
        <w:rPr>
          <w:rFonts w:ascii="Arial" w:hAnsi="Arial"/>
          <w:b/>
          <w:sz w:val="15"/>
        </w:rPr>
        <w:t>EDA evidence: Figure 4; Findings 4–5 and 7: </w:t>
      </w:r>
      <w:r>
        <w:rPr>
          <w:sz w:val="15"/>
        </w:rPr>
        <w:t>80.3% of orders have at least one review, but only 44.5% of item lines are reviewed, and item coverage rises</w:t>
      </w:r>
      <w:r>
        <w:rPr>
          <w:spacing w:val="-8"/>
          <w:sz w:val="15"/>
        </w:rPr>
        <w:t> </w:t>
      </w:r>
      <w:r>
        <w:rPr>
          <w:sz w:val="15"/>
        </w:rPr>
        <w:t>from</w:t>
      </w:r>
      <w:r>
        <w:rPr>
          <w:spacing w:val="-8"/>
          <w:sz w:val="15"/>
        </w:rPr>
        <w:t> </w:t>
      </w:r>
      <w:r>
        <w:rPr>
          <w:sz w:val="15"/>
        </w:rPr>
        <w:t>27.0%</w:t>
      </w:r>
      <w:r>
        <w:rPr>
          <w:spacing w:val="-8"/>
          <w:sz w:val="15"/>
        </w:rPr>
        <w:t> </w:t>
      </w:r>
      <w:r>
        <w:rPr>
          <w:sz w:val="15"/>
        </w:rPr>
        <w:t>to</w:t>
      </w:r>
      <w:r>
        <w:rPr>
          <w:spacing w:val="-8"/>
          <w:sz w:val="15"/>
        </w:rPr>
        <w:t> </w:t>
      </w:r>
      <w:r>
        <w:rPr>
          <w:sz w:val="15"/>
        </w:rPr>
        <w:t>63.6%</w:t>
      </w:r>
      <w:r>
        <w:rPr>
          <w:spacing w:val="-8"/>
          <w:sz w:val="15"/>
        </w:rPr>
        <w:t> </w:t>
      </w:r>
      <w:r>
        <w:rPr>
          <w:sz w:val="15"/>
        </w:rPr>
        <w:t>across</w:t>
      </w:r>
      <w:r>
        <w:rPr>
          <w:spacing w:val="-8"/>
          <w:sz w:val="15"/>
        </w:rPr>
        <w:t> </w:t>
      </w:r>
      <w:r>
        <w:rPr>
          <w:sz w:val="15"/>
        </w:rPr>
        <w:t>price</w:t>
      </w:r>
      <w:r>
        <w:rPr>
          <w:spacing w:val="-8"/>
          <w:sz w:val="15"/>
        </w:rPr>
        <w:t> </w:t>
      </w:r>
      <w:r>
        <w:rPr>
          <w:sz w:val="15"/>
        </w:rPr>
        <w:t>quartiles,</w:t>
      </w:r>
      <w:r>
        <w:rPr>
          <w:spacing w:val="-8"/>
          <w:sz w:val="15"/>
        </w:rPr>
        <w:t> </w:t>
      </w:r>
      <w:r>
        <w:rPr>
          <w:sz w:val="15"/>
        </w:rPr>
        <w:t>with</w:t>
      </w:r>
      <w:r>
        <w:rPr>
          <w:spacing w:val="-8"/>
          <w:sz w:val="15"/>
        </w:rPr>
        <w:t> </w:t>
      </w:r>
      <w:r>
        <w:rPr>
          <w:sz w:val="15"/>
        </w:rPr>
        <w:t>higher-priced</w:t>
      </w:r>
      <w:r>
        <w:rPr>
          <w:spacing w:val="-8"/>
          <w:sz w:val="15"/>
        </w:rPr>
        <w:t> </w:t>
      </w:r>
      <w:r>
        <w:rPr>
          <w:sz w:val="15"/>
        </w:rPr>
        <w:t>item</w:t>
      </w:r>
      <w:r>
        <w:rPr>
          <w:spacing w:val="-8"/>
          <w:sz w:val="15"/>
        </w:rPr>
        <w:t> </w:t>
      </w:r>
      <w:r>
        <w:rPr>
          <w:sz w:val="15"/>
        </w:rPr>
        <w:t>lines</w:t>
      </w:r>
      <w:r>
        <w:rPr>
          <w:spacing w:val="-8"/>
          <w:sz w:val="15"/>
        </w:rPr>
        <w:t> </w:t>
      </w:r>
      <w:r>
        <w:rPr>
          <w:sz w:val="15"/>
        </w:rPr>
        <w:t>reviewed</w:t>
      </w:r>
      <w:r>
        <w:rPr>
          <w:spacing w:val="-8"/>
          <w:sz w:val="15"/>
        </w:rPr>
        <w:t> </w:t>
      </w:r>
      <w:r>
        <w:rPr>
          <w:sz w:val="15"/>
        </w:rPr>
        <w:t>more</w:t>
      </w:r>
      <w:r>
        <w:rPr>
          <w:spacing w:val="-8"/>
          <w:sz w:val="15"/>
        </w:rPr>
        <w:t> </w:t>
      </w:r>
      <w:r>
        <w:rPr>
          <w:sz w:val="15"/>
        </w:rPr>
        <w:t>within</w:t>
      </w:r>
      <w:r>
        <w:rPr>
          <w:spacing w:val="-8"/>
          <w:sz w:val="15"/>
        </w:rPr>
        <w:t> </w:t>
      </w:r>
      <w:r>
        <w:rPr>
          <w:sz w:val="15"/>
        </w:rPr>
        <w:t>all</w:t>
      </w:r>
      <w:r>
        <w:rPr>
          <w:spacing w:val="-8"/>
          <w:sz w:val="15"/>
        </w:rPr>
        <w:t> </w:t>
      </w:r>
      <w:r>
        <w:rPr>
          <w:sz w:val="15"/>
        </w:rPr>
        <w:t>ten</w:t>
      </w:r>
      <w:r>
        <w:rPr>
          <w:spacing w:val="-8"/>
          <w:sz w:val="15"/>
        </w:rPr>
        <w:t> </w:t>
      </w:r>
      <w:r>
        <w:rPr>
          <w:sz w:val="15"/>
        </w:rPr>
        <w:t>categories.</w:t>
      </w:r>
      <w:r>
        <w:rPr>
          <w:spacing w:val="-8"/>
          <w:sz w:val="15"/>
        </w:rPr>
        <w:t> </w:t>
      </w:r>
      <w:r>
        <w:rPr>
          <w:sz w:val="15"/>
        </w:rPr>
        <w:t>These</w:t>
      </w:r>
      <w:r>
        <w:rPr>
          <w:spacing w:val="-8"/>
          <w:sz w:val="15"/>
        </w:rPr>
        <w:t> </w:t>
      </w:r>
      <w:r>
        <w:rPr>
          <w:sz w:val="15"/>
        </w:rPr>
        <w:t>are</w:t>
      </w:r>
      <w:r>
        <w:rPr>
          <w:spacing w:val="-8"/>
          <w:sz w:val="15"/>
        </w:rPr>
        <w:t> </w:t>
      </w:r>
      <w:r>
        <w:rPr>
          <w:sz w:val="15"/>
        </w:rPr>
        <w:t>export-wide</w:t>
      </w:r>
      <w:r>
        <w:rPr>
          <w:spacing w:val="-8"/>
          <w:sz w:val="15"/>
        </w:rPr>
        <w:t> </w:t>
      </w:r>
      <w:r>
        <w:rPr>
          <w:sz w:val="15"/>
        </w:rPr>
        <w:t>observations, not yet verified 30-day response rates.</w:t>
      </w:r>
    </w:p>
    <w:p>
      <w:pPr>
        <w:spacing w:before="73"/>
        <w:ind w:left="10" w:right="0" w:firstLine="0"/>
        <w:jc w:val="left"/>
        <w:rPr>
          <w:sz w:val="15"/>
        </w:rPr>
      </w:pPr>
      <w:r>
        <w:rPr>
          <w:rFonts w:ascii="Arial"/>
          <w:b/>
          <w:spacing w:val="-2"/>
          <w:sz w:val="15"/>
        </w:rPr>
        <w:t>Business</w:t>
      </w:r>
      <w:r>
        <w:rPr>
          <w:rFonts w:ascii="Arial"/>
          <w:b/>
          <w:spacing w:val="4"/>
          <w:sz w:val="15"/>
        </w:rPr>
        <w:t> </w:t>
      </w:r>
      <w:r>
        <w:rPr>
          <w:rFonts w:ascii="Arial"/>
          <w:b/>
          <w:spacing w:val="-2"/>
          <w:sz w:val="15"/>
        </w:rPr>
        <w:t>decision:</w:t>
      </w:r>
      <w:r>
        <w:rPr>
          <w:rFonts w:ascii="Arial"/>
          <w:b/>
          <w:spacing w:val="4"/>
          <w:sz w:val="15"/>
        </w:rPr>
        <w:t> </w:t>
      </w:r>
      <w:r>
        <w:rPr>
          <w:spacing w:val="-2"/>
          <w:sz w:val="15"/>
        </w:rPr>
        <w:t>Identify</w:t>
      </w:r>
      <w:r>
        <w:rPr>
          <w:spacing w:val="4"/>
          <w:sz w:val="15"/>
        </w:rPr>
        <w:t> </w:t>
      </w:r>
      <w:r>
        <w:rPr>
          <w:spacing w:val="-2"/>
          <w:sz w:val="15"/>
        </w:rPr>
        <w:t>purchases</w:t>
      </w:r>
      <w:r>
        <w:rPr>
          <w:spacing w:val="4"/>
          <w:sz w:val="15"/>
        </w:rPr>
        <w:t> </w:t>
      </w:r>
      <w:r>
        <w:rPr>
          <w:spacing w:val="-2"/>
          <w:sz w:val="15"/>
        </w:rPr>
        <w:t>underrepresented</w:t>
      </w:r>
      <w:r>
        <w:rPr>
          <w:spacing w:val="4"/>
          <w:sz w:val="15"/>
        </w:rPr>
        <w:t> </w:t>
      </w:r>
      <w:r>
        <w:rPr>
          <w:spacing w:val="-2"/>
          <w:sz w:val="15"/>
        </w:rPr>
        <w:t>in</w:t>
      </w:r>
      <w:r>
        <w:rPr>
          <w:spacing w:val="4"/>
          <w:sz w:val="15"/>
        </w:rPr>
        <w:t> </w:t>
      </w:r>
      <w:r>
        <w:rPr>
          <w:spacing w:val="-2"/>
          <w:sz w:val="15"/>
        </w:rPr>
        <w:t>feedback</w:t>
      </w:r>
      <w:r>
        <w:rPr>
          <w:spacing w:val="4"/>
          <w:sz w:val="15"/>
        </w:rPr>
        <w:t> </w:t>
      </w:r>
      <w:r>
        <w:rPr>
          <w:spacing w:val="-2"/>
          <w:sz w:val="15"/>
        </w:rPr>
        <w:t>and</w:t>
      </w:r>
      <w:r>
        <w:rPr>
          <w:spacing w:val="4"/>
          <w:sz w:val="15"/>
        </w:rPr>
        <w:t> </w:t>
      </w:r>
      <w:r>
        <w:rPr>
          <w:spacing w:val="-2"/>
          <w:sz w:val="15"/>
        </w:rPr>
        <w:t>prioritise</w:t>
      </w:r>
      <w:r>
        <w:rPr>
          <w:spacing w:val="4"/>
          <w:sz w:val="15"/>
        </w:rPr>
        <w:t> </w:t>
      </w:r>
      <w:r>
        <w:rPr>
          <w:spacing w:val="-2"/>
          <w:sz w:val="15"/>
        </w:rPr>
        <w:t>segments</w:t>
      </w:r>
      <w:r>
        <w:rPr>
          <w:spacing w:val="5"/>
          <w:sz w:val="15"/>
        </w:rPr>
        <w:t> </w:t>
      </w:r>
      <w:r>
        <w:rPr>
          <w:spacing w:val="-2"/>
          <w:sz w:val="15"/>
        </w:rPr>
        <w:t>for</w:t>
      </w:r>
      <w:r>
        <w:rPr>
          <w:spacing w:val="4"/>
          <w:sz w:val="15"/>
        </w:rPr>
        <w:t> </w:t>
      </w:r>
      <w:r>
        <w:rPr>
          <w:spacing w:val="-2"/>
          <w:sz w:val="15"/>
        </w:rPr>
        <w:t>testing</w:t>
      </w:r>
      <w:r>
        <w:rPr>
          <w:spacing w:val="4"/>
          <w:sz w:val="15"/>
        </w:rPr>
        <w:t> </w:t>
      </w:r>
      <w:r>
        <w:rPr>
          <w:spacing w:val="-2"/>
          <w:sz w:val="15"/>
        </w:rPr>
        <w:t>review-solicitation</w:t>
      </w:r>
      <w:r>
        <w:rPr>
          <w:spacing w:val="4"/>
          <w:sz w:val="15"/>
        </w:rPr>
        <w:t> </w:t>
      </w:r>
      <w:r>
        <w:rPr>
          <w:spacing w:val="-2"/>
          <w:sz w:val="15"/>
        </w:rPr>
        <w:t>strategies.</w:t>
      </w:r>
    </w:p>
    <w:p>
      <w:pPr>
        <w:spacing w:before="84"/>
        <w:ind w:left="10" w:right="0" w:firstLine="0"/>
        <w:jc w:val="left"/>
        <w:rPr>
          <w:rFonts w:ascii="Arial"/>
          <w:b/>
          <w:sz w:val="15"/>
        </w:rPr>
      </w:pPr>
      <w:r>
        <w:rPr>
          <w:rFonts w:ascii="Arial"/>
          <w:b/>
          <w:spacing w:val="-2"/>
          <w:sz w:val="15"/>
        </w:rPr>
        <w:t>Problem</w:t>
      </w:r>
      <w:r>
        <w:rPr>
          <w:rFonts w:ascii="Arial"/>
          <w:b/>
          <w:spacing w:val="2"/>
          <w:sz w:val="15"/>
        </w:rPr>
        <w:t> </w:t>
      </w:r>
      <w:r>
        <w:rPr>
          <w:rFonts w:ascii="Arial"/>
          <w:b/>
          <w:spacing w:val="-2"/>
          <w:sz w:val="15"/>
        </w:rPr>
        <w:t>type</w:t>
      </w:r>
      <w:r>
        <w:rPr>
          <w:rFonts w:ascii="Arial"/>
          <w:b/>
          <w:spacing w:val="2"/>
          <w:sz w:val="15"/>
        </w:rPr>
        <w:t> </w:t>
      </w:r>
      <w:r>
        <w:rPr>
          <w:rFonts w:ascii="Arial"/>
          <w:b/>
          <w:spacing w:val="-2"/>
          <w:sz w:val="15"/>
        </w:rPr>
        <w:t>and</w:t>
      </w:r>
      <w:r>
        <w:rPr>
          <w:rFonts w:ascii="Arial"/>
          <w:b/>
          <w:spacing w:val="2"/>
          <w:sz w:val="15"/>
        </w:rPr>
        <w:t> </w:t>
      </w:r>
      <w:r>
        <w:rPr>
          <w:rFonts w:ascii="Arial"/>
          <w:b/>
          <w:spacing w:val="-2"/>
          <w:sz w:val="15"/>
        </w:rPr>
        <w:t>analysis</w:t>
      </w:r>
      <w:r>
        <w:rPr>
          <w:rFonts w:ascii="Arial"/>
          <w:b/>
          <w:spacing w:val="2"/>
          <w:sz w:val="15"/>
        </w:rPr>
        <w:t> </w:t>
      </w:r>
      <w:r>
        <w:rPr>
          <w:rFonts w:ascii="Arial"/>
          <w:b/>
          <w:spacing w:val="-2"/>
          <w:sz w:val="15"/>
        </w:rPr>
        <w:t>unit:</w:t>
      </w:r>
      <w:r>
        <w:rPr>
          <w:rFonts w:ascii="Arial"/>
          <w:b/>
          <w:spacing w:val="3"/>
          <w:sz w:val="15"/>
        </w:rPr>
        <w:t> </w:t>
      </w:r>
      <w:r>
        <w:rPr>
          <w:rFonts w:ascii="Arial"/>
          <w:b/>
          <w:spacing w:val="-2"/>
          <w:sz w:val="15"/>
        </w:rPr>
        <w:t>Binary</w:t>
      </w:r>
      <w:r>
        <w:rPr>
          <w:rFonts w:ascii="Arial"/>
          <w:b/>
          <w:spacing w:val="2"/>
          <w:sz w:val="15"/>
        </w:rPr>
        <w:t> </w:t>
      </w:r>
      <w:r>
        <w:rPr>
          <w:rFonts w:ascii="Arial"/>
          <w:b/>
          <w:spacing w:val="-2"/>
          <w:sz w:val="15"/>
        </w:rPr>
        <w:t>classification;</w:t>
      </w:r>
      <w:r>
        <w:rPr>
          <w:rFonts w:ascii="Arial"/>
          <w:b/>
          <w:spacing w:val="2"/>
          <w:sz w:val="15"/>
        </w:rPr>
        <w:t> </w:t>
      </w:r>
      <w:r>
        <w:rPr>
          <w:rFonts w:ascii="Arial"/>
          <w:b/>
          <w:spacing w:val="-2"/>
          <w:sz w:val="15"/>
        </w:rPr>
        <w:t>one</w:t>
      </w:r>
      <w:r>
        <w:rPr>
          <w:rFonts w:ascii="Arial"/>
          <w:b/>
          <w:spacing w:val="2"/>
          <w:sz w:val="15"/>
        </w:rPr>
        <w:t> </w:t>
      </w:r>
      <w:r>
        <w:rPr>
          <w:rFonts w:ascii="Arial"/>
          <w:b/>
          <w:spacing w:val="-2"/>
          <w:sz w:val="15"/>
        </w:rPr>
        <w:t>delivered</w:t>
      </w:r>
      <w:r>
        <w:rPr>
          <w:rFonts w:ascii="Arial"/>
          <w:b/>
          <w:spacing w:val="2"/>
          <w:sz w:val="15"/>
        </w:rPr>
        <w:t> </w:t>
      </w:r>
      <w:r>
        <w:rPr>
          <w:rFonts w:ascii="Arial"/>
          <w:b/>
          <w:spacing w:val="-2"/>
          <w:sz w:val="15"/>
        </w:rPr>
        <w:t>item</w:t>
      </w:r>
      <w:r>
        <w:rPr>
          <w:rFonts w:ascii="Arial"/>
          <w:b/>
          <w:spacing w:val="3"/>
          <w:sz w:val="15"/>
        </w:rPr>
        <w:t> </w:t>
      </w:r>
      <w:r>
        <w:rPr>
          <w:rFonts w:ascii="Arial"/>
          <w:b/>
          <w:spacing w:val="-2"/>
          <w:sz w:val="15"/>
        </w:rPr>
        <w:t>line.</w:t>
      </w:r>
    </w:p>
    <w:p>
      <w:pPr>
        <w:spacing w:line="254" w:lineRule="auto" w:before="83"/>
        <w:ind w:left="10" w:right="0" w:firstLine="0"/>
        <w:jc w:val="left"/>
        <w:rPr>
          <w:sz w:val="15"/>
        </w:rPr>
      </w:pPr>
      <w:r>
        <w:rPr>
          <w:rFonts w:ascii="Arial"/>
          <w:b/>
          <w:sz w:val="15"/>
        </w:rPr>
        <w:t>Target</w:t>
      </w:r>
      <w:r>
        <w:rPr>
          <w:rFonts w:ascii="Arial"/>
          <w:b/>
          <w:spacing w:val="-8"/>
          <w:sz w:val="15"/>
        </w:rPr>
        <w:t> </w:t>
      </w:r>
      <w:r>
        <w:rPr>
          <w:rFonts w:ascii="Arial"/>
          <w:b/>
          <w:sz w:val="15"/>
        </w:rPr>
        <w:t>or</w:t>
      </w:r>
      <w:r>
        <w:rPr>
          <w:rFonts w:ascii="Arial"/>
          <w:b/>
          <w:spacing w:val="-8"/>
          <w:sz w:val="15"/>
        </w:rPr>
        <w:t> </w:t>
      </w:r>
      <w:r>
        <w:rPr>
          <w:rFonts w:ascii="Arial"/>
          <w:b/>
          <w:sz w:val="15"/>
        </w:rPr>
        <w:t>unsupervised</w:t>
      </w:r>
      <w:r>
        <w:rPr>
          <w:rFonts w:ascii="Arial"/>
          <w:b/>
          <w:spacing w:val="-8"/>
          <w:sz w:val="15"/>
        </w:rPr>
        <w:t> </w:t>
      </w:r>
      <w:r>
        <w:rPr>
          <w:rFonts w:ascii="Arial"/>
          <w:b/>
          <w:sz w:val="15"/>
        </w:rPr>
        <w:t>objective:</w:t>
      </w:r>
      <w:r>
        <w:rPr>
          <w:rFonts w:ascii="Arial"/>
          <w:b/>
          <w:spacing w:val="-8"/>
          <w:sz w:val="15"/>
        </w:rPr>
        <w:t> </w:t>
      </w:r>
      <w:r>
        <w:rPr>
          <w:sz w:val="15"/>
        </w:rPr>
        <w:t>Review</w:t>
      </w:r>
      <w:r>
        <w:rPr>
          <w:spacing w:val="-8"/>
          <w:sz w:val="15"/>
        </w:rPr>
        <w:t> </w:t>
      </w:r>
      <w:r>
        <w:rPr>
          <w:sz w:val="15"/>
        </w:rPr>
        <w:t>received</w:t>
      </w:r>
      <w:r>
        <w:rPr>
          <w:spacing w:val="-8"/>
          <w:sz w:val="15"/>
        </w:rPr>
        <w:t> </w:t>
      </w:r>
      <w:r>
        <w:rPr>
          <w:sz w:val="15"/>
        </w:rPr>
        <w:t>within</w:t>
      </w:r>
      <w:r>
        <w:rPr>
          <w:spacing w:val="-8"/>
          <w:sz w:val="15"/>
        </w:rPr>
        <w:t> </w:t>
      </w:r>
      <w:r>
        <w:rPr>
          <w:sz w:val="15"/>
        </w:rPr>
        <w:t>30</w:t>
      </w:r>
      <w:r>
        <w:rPr>
          <w:spacing w:val="-8"/>
          <w:sz w:val="15"/>
        </w:rPr>
        <w:t> </w:t>
      </w:r>
      <w:r>
        <w:rPr>
          <w:sz w:val="15"/>
        </w:rPr>
        <w:t>days</w:t>
      </w:r>
      <w:r>
        <w:rPr>
          <w:spacing w:val="-8"/>
          <w:sz w:val="15"/>
        </w:rPr>
        <w:t> </w:t>
      </w:r>
      <w:r>
        <w:rPr>
          <w:sz w:val="15"/>
        </w:rPr>
        <w:t>after</w:t>
      </w:r>
      <w:r>
        <w:rPr>
          <w:spacing w:val="-8"/>
          <w:sz w:val="15"/>
        </w:rPr>
        <w:t> </w:t>
      </w:r>
      <w:r>
        <w:rPr>
          <w:sz w:val="15"/>
        </w:rPr>
        <w:t>delivery:</w:t>
      </w:r>
      <w:r>
        <w:rPr>
          <w:spacing w:val="-8"/>
          <w:sz w:val="15"/>
        </w:rPr>
        <w:t> </w:t>
      </w:r>
      <w:r>
        <w:rPr>
          <w:sz w:val="15"/>
        </w:rPr>
        <w:t>yes/no,</w:t>
      </w:r>
      <w:r>
        <w:rPr>
          <w:spacing w:val="-8"/>
          <w:sz w:val="15"/>
        </w:rPr>
        <w:t> </w:t>
      </w:r>
      <w:r>
        <w:rPr>
          <w:sz w:val="15"/>
        </w:rPr>
        <w:t>with</w:t>
      </w:r>
      <w:r>
        <w:rPr>
          <w:spacing w:val="-8"/>
          <w:sz w:val="15"/>
        </w:rPr>
        <w:t> </w:t>
      </w:r>
      <w:r>
        <w:rPr>
          <w:rFonts w:ascii="Arial"/>
          <w:b/>
          <w:sz w:val="15"/>
        </w:rPr>
        <w:t>response</w:t>
      </w:r>
      <w:r>
        <w:rPr>
          <w:rFonts w:ascii="Arial"/>
          <w:b/>
          <w:spacing w:val="-8"/>
          <w:sz w:val="15"/>
        </w:rPr>
        <w:t> </w:t>
      </w:r>
      <w:r>
        <w:rPr>
          <w:rFonts w:ascii="Arial"/>
          <w:b/>
          <w:sz w:val="15"/>
        </w:rPr>
        <w:t>=</w:t>
      </w:r>
      <w:r>
        <w:rPr>
          <w:rFonts w:ascii="Arial"/>
          <w:b/>
          <w:spacing w:val="-8"/>
          <w:sz w:val="15"/>
        </w:rPr>
        <w:t> </w:t>
      </w:r>
      <w:r>
        <w:rPr>
          <w:rFonts w:ascii="Arial"/>
          <w:b/>
          <w:sz w:val="15"/>
        </w:rPr>
        <w:t>the</w:t>
      </w:r>
      <w:r>
        <w:rPr>
          <w:rFonts w:ascii="Arial"/>
          <w:b/>
          <w:spacing w:val="-8"/>
          <w:sz w:val="15"/>
        </w:rPr>
        <w:t> </w:t>
      </w:r>
      <w:r>
        <w:rPr>
          <w:rFonts w:ascii="Arial"/>
          <w:b/>
          <w:sz w:val="15"/>
        </w:rPr>
        <w:t>positive</w:t>
      </w:r>
      <w:r>
        <w:rPr>
          <w:rFonts w:ascii="Arial"/>
          <w:b/>
          <w:spacing w:val="-8"/>
          <w:sz w:val="15"/>
        </w:rPr>
        <w:t> </w:t>
      </w:r>
      <w:r>
        <w:rPr>
          <w:rFonts w:ascii="Arial"/>
          <w:b/>
          <w:sz w:val="15"/>
        </w:rPr>
        <w:t>class</w:t>
      </w:r>
      <w:r>
        <w:rPr>
          <w:sz w:val="15"/>
        </w:rPr>
        <w:t>.</w:t>
      </w:r>
      <w:r>
        <w:rPr>
          <w:spacing w:val="-8"/>
          <w:sz w:val="15"/>
        </w:rPr>
        <w:t> </w:t>
      </w:r>
      <w:r>
        <w:rPr>
          <w:sz w:val="15"/>
        </w:rPr>
        <w:t>The</w:t>
      </w:r>
      <w:r>
        <w:rPr>
          <w:spacing w:val="-8"/>
          <w:sz w:val="15"/>
        </w:rPr>
        <w:t> </w:t>
      </w:r>
      <w:r>
        <w:rPr>
          <w:sz w:val="15"/>
        </w:rPr>
        <w:t>operational</w:t>
      </w:r>
      <w:r>
        <w:rPr>
          <w:spacing w:val="-8"/>
          <w:sz w:val="15"/>
        </w:rPr>
        <w:t> </w:t>
      </w:r>
      <w:r>
        <w:rPr>
          <w:sz w:val="15"/>
        </w:rPr>
        <w:t>action targets the opposite end - low predicted response probability (likely feedback gaps).</w:t>
      </w:r>
    </w:p>
    <w:p>
      <w:pPr>
        <w:spacing w:line="254" w:lineRule="auto" w:before="74"/>
        <w:ind w:left="10" w:right="166" w:firstLine="0"/>
        <w:jc w:val="left"/>
        <w:rPr>
          <w:sz w:val="15"/>
        </w:rPr>
      </w:pPr>
      <w:r>
        <w:rPr>
          <w:rFonts w:ascii="Arial"/>
          <w:b/>
          <w:sz w:val="15"/>
        </w:rPr>
        <w:t>Decision-time</w:t>
      </w:r>
      <w:r>
        <w:rPr>
          <w:rFonts w:ascii="Arial"/>
          <w:b/>
          <w:spacing w:val="-9"/>
          <w:sz w:val="15"/>
        </w:rPr>
        <w:t> </w:t>
      </w:r>
      <w:r>
        <w:rPr>
          <w:rFonts w:ascii="Arial"/>
          <w:b/>
          <w:sz w:val="15"/>
        </w:rPr>
        <w:t>predictors:</w:t>
      </w:r>
      <w:r>
        <w:rPr>
          <w:rFonts w:ascii="Arial"/>
          <w:b/>
          <w:spacing w:val="-9"/>
          <w:sz w:val="15"/>
        </w:rPr>
        <w:t> </w:t>
      </w:r>
      <w:r>
        <w:rPr>
          <w:sz w:val="15"/>
        </w:rPr>
        <w:t>At</w:t>
      </w:r>
      <w:r>
        <w:rPr>
          <w:spacing w:val="-9"/>
          <w:sz w:val="15"/>
        </w:rPr>
        <w:t> </w:t>
      </w:r>
      <w:r>
        <w:rPr>
          <w:sz w:val="15"/>
        </w:rPr>
        <w:t>delivery:</w:t>
      </w:r>
      <w:r>
        <w:rPr>
          <w:spacing w:val="-9"/>
          <w:sz w:val="15"/>
        </w:rPr>
        <w:t> </w:t>
      </w:r>
      <w:r>
        <w:rPr>
          <w:sz w:val="15"/>
        </w:rPr>
        <w:t>item</w:t>
      </w:r>
      <w:r>
        <w:rPr>
          <w:spacing w:val="-9"/>
          <w:sz w:val="15"/>
        </w:rPr>
        <w:t> </w:t>
      </w:r>
      <w:r>
        <w:rPr>
          <w:sz w:val="15"/>
        </w:rPr>
        <w:t>unit</w:t>
      </w:r>
      <w:r>
        <w:rPr>
          <w:spacing w:val="-9"/>
          <w:sz w:val="15"/>
        </w:rPr>
        <w:t> </w:t>
      </w:r>
      <w:r>
        <w:rPr>
          <w:sz w:val="15"/>
        </w:rPr>
        <w:t>price,</w:t>
      </w:r>
      <w:r>
        <w:rPr>
          <w:spacing w:val="-9"/>
          <w:sz w:val="15"/>
        </w:rPr>
        <w:t> </w:t>
      </w:r>
      <w:r>
        <w:rPr>
          <w:sz w:val="15"/>
        </w:rPr>
        <w:t>category,</w:t>
      </w:r>
      <w:r>
        <w:rPr>
          <w:spacing w:val="-9"/>
          <w:sz w:val="15"/>
        </w:rPr>
        <w:t> </w:t>
      </w:r>
      <w:r>
        <w:rPr>
          <w:sz w:val="15"/>
        </w:rPr>
        <w:t>quantity,</w:t>
      </w:r>
      <w:r>
        <w:rPr>
          <w:spacing w:val="-9"/>
          <w:sz w:val="15"/>
        </w:rPr>
        <w:t> </w:t>
      </w:r>
      <w:r>
        <w:rPr>
          <w:sz w:val="15"/>
        </w:rPr>
        <w:t>basket</w:t>
      </w:r>
      <w:r>
        <w:rPr>
          <w:spacing w:val="-9"/>
          <w:sz w:val="15"/>
        </w:rPr>
        <w:t> </w:t>
      </w:r>
      <w:r>
        <w:rPr>
          <w:sz w:val="15"/>
        </w:rPr>
        <w:t>line</w:t>
      </w:r>
      <w:r>
        <w:rPr>
          <w:spacing w:val="-9"/>
          <w:sz w:val="15"/>
        </w:rPr>
        <w:t> </w:t>
      </w:r>
      <w:r>
        <w:rPr>
          <w:sz w:val="15"/>
        </w:rPr>
        <w:t>count,</w:t>
      </w:r>
      <w:r>
        <w:rPr>
          <w:spacing w:val="-9"/>
          <w:sz w:val="15"/>
        </w:rPr>
        <w:t> </w:t>
      </w:r>
      <w:r>
        <w:rPr>
          <w:sz w:val="15"/>
        </w:rPr>
        <w:t>paid</w:t>
      </w:r>
      <w:r>
        <w:rPr>
          <w:spacing w:val="-9"/>
          <w:sz w:val="15"/>
        </w:rPr>
        <w:t> </w:t>
      </w:r>
      <w:r>
        <w:rPr>
          <w:sz w:val="15"/>
        </w:rPr>
        <w:t>order</w:t>
      </w:r>
      <w:r>
        <w:rPr>
          <w:spacing w:val="-9"/>
          <w:sz w:val="15"/>
        </w:rPr>
        <w:t> </w:t>
      </w:r>
      <w:r>
        <w:rPr>
          <w:sz w:val="15"/>
        </w:rPr>
        <w:t>value,</w:t>
      </w:r>
      <w:r>
        <w:rPr>
          <w:spacing w:val="-9"/>
          <w:sz w:val="15"/>
        </w:rPr>
        <w:t> </w:t>
      </w:r>
      <w:r>
        <w:rPr>
          <w:sz w:val="15"/>
        </w:rPr>
        <w:t>service</w:t>
      </w:r>
      <w:r>
        <w:rPr>
          <w:spacing w:val="-9"/>
          <w:sz w:val="15"/>
        </w:rPr>
        <w:t> </w:t>
      </w:r>
      <w:r>
        <w:rPr>
          <w:sz w:val="15"/>
        </w:rPr>
        <w:t>level,</w:t>
      </w:r>
      <w:r>
        <w:rPr>
          <w:spacing w:val="-9"/>
          <w:sz w:val="15"/>
        </w:rPr>
        <w:t> </w:t>
      </w:r>
      <w:r>
        <w:rPr>
          <w:sz w:val="15"/>
        </w:rPr>
        <w:t>recorded</w:t>
      </w:r>
      <w:r>
        <w:rPr>
          <w:spacing w:val="-9"/>
          <w:sz w:val="15"/>
        </w:rPr>
        <w:t> </w:t>
      </w:r>
      <w:r>
        <w:rPr>
          <w:sz w:val="15"/>
        </w:rPr>
        <w:t>warehouse</w:t>
      </w:r>
      <w:r>
        <w:rPr>
          <w:spacing w:val="-9"/>
          <w:sz w:val="15"/>
        </w:rPr>
        <w:t> </w:t>
      </w:r>
      <w:r>
        <w:rPr>
          <w:sz w:val="15"/>
        </w:rPr>
        <w:t>and delivery outcome. Exclude all review-derived attributes.</w:t>
      </w:r>
    </w:p>
    <w:p>
      <w:pPr>
        <w:spacing w:line="254" w:lineRule="auto" w:before="73"/>
        <w:ind w:left="10" w:right="33" w:firstLine="0"/>
        <w:jc w:val="left"/>
        <w:rPr>
          <w:sz w:val="15"/>
        </w:rPr>
      </w:pPr>
      <w:r>
        <w:rPr>
          <w:rFonts w:ascii="Arial"/>
          <w:b/>
          <w:sz w:val="15"/>
        </w:rPr>
        <w:t>Validation</w:t>
      </w:r>
      <w:r>
        <w:rPr>
          <w:rFonts w:ascii="Arial"/>
          <w:b/>
          <w:spacing w:val="-8"/>
          <w:sz w:val="15"/>
        </w:rPr>
        <w:t> </w:t>
      </w:r>
      <w:r>
        <w:rPr>
          <w:rFonts w:ascii="Arial"/>
          <w:b/>
          <w:sz w:val="15"/>
        </w:rPr>
        <w:t>split</w:t>
      </w:r>
      <w:r>
        <w:rPr>
          <w:rFonts w:ascii="Arial"/>
          <w:b/>
          <w:spacing w:val="-8"/>
          <w:sz w:val="15"/>
        </w:rPr>
        <w:t> </w:t>
      </w:r>
      <w:r>
        <w:rPr>
          <w:rFonts w:ascii="Arial"/>
          <w:b/>
          <w:sz w:val="15"/>
        </w:rPr>
        <w:t>and</w:t>
      </w:r>
      <w:r>
        <w:rPr>
          <w:rFonts w:ascii="Arial"/>
          <w:b/>
          <w:spacing w:val="-8"/>
          <w:sz w:val="15"/>
        </w:rPr>
        <w:t> </w:t>
      </w:r>
      <w:r>
        <w:rPr>
          <w:rFonts w:ascii="Arial"/>
          <w:b/>
          <w:sz w:val="15"/>
        </w:rPr>
        <w:t>metric:</w:t>
      </w:r>
      <w:r>
        <w:rPr>
          <w:rFonts w:ascii="Arial"/>
          <w:b/>
          <w:spacing w:val="-8"/>
          <w:sz w:val="15"/>
        </w:rPr>
        <w:t> </w:t>
      </w:r>
      <w:r>
        <w:rPr>
          <w:sz w:val="15"/>
        </w:rPr>
        <w:t>Chronological</w:t>
      </w:r>
      <w:r>
        <w:rPr>
          <w:spacing w:val="-8"/>
          <w:sz w:val="15"/>
        </w:rPr>
        <w:t> </w:t>
      </w:r>
      <w:r>
        <w:rPr>
          <w:sz w:val="15"/>
        </w:rPr>
        <w:t>delivery</w:t>
      </w:r>
      <w:r>
        <w:rPr>
          <w:spacing w:val="-8"/>
          <w:sz w:val="15"/>
        </w:rPr>
        <w:t> </w:t>
      </w:r>
      <w:r>
        <w:rPr>
          <w:sz w:val="15"/>
        </w:rPr>
        <w:t>cohorts,</w:t>
      </w:r>
      <w:r>
        <w:rPr>
          <w:spacing w:val="-8"/>
          <w:sz w:val="15"/>
        </w:rPr>
        <w:t> </w:t>
      </w:r>
      <w:r>
        <w:rPr>
          <w:sz w:val="15"/>
        </w:rPr>
        <w:t>each</w:t>
      </w:r>
      <w:r>
        <w:rPr>
          <w:spacing w:val="-8"/>
          <w:sz w:val="15"/>
        </w:rPr>
        <w:t> </w:t>
      </w:r>
      <w:r>
        <w:rPr>
          <w:sz w:val="15"/>
        </w:rPr>
        <w:t>order</w:t>
      </w:r>
      <w:r>
        <w:rPr>
          <w:spacing w:val="-8"/>
          <w:sz w:val="15"/>
        </w:rPr>
        <w:t> </w:t>
      </w:r>
      <w:r>
        <w:rPr>
          <w:sz w:val="15"/>
        </w:rPr>
        <w:t>kept</w:t>
      </w:r>
      <w:r>
        <w:rPr>
          <w:spacing w:val="-8"/>
          <w:sz w:val="15"/>
        </w:rPr>
        <w:t> </w:t>
      </w:r>
      <w:r>
        <w:rPr>
          <w:sz w:val="15"/>
        </w:rPr>
        <w:t>in</w:t>
      </w:r>
      <w:r>
        <w:rPr>
          <w:spacing w:val="-8"/>
          <w:sz w:val="15"/>
        </w:rPr>
        <w:t> </w:t>
      </w:r>
      <w:r>
        <w:rPr>
          <w:sz w:val="15"/>
        </w:rPr>
        <w:t>one</w:t>
      </w:r>
      <w:r>
        <w:rPr>
          <w:spacing w:val="-8"/>
          <w:sz w:val="15"/>
        </w:rPr>
        <w:t> </w:t>
      </w:r>
      <w:r>
        <w:rPr>
          <w:sz w:val="15"/>
        </w:rPr>
        <w:t>partition,</w:t>
      </w:r>
      <w:r>
        <w:rPr>
          <w:spacing w:val="-8"/>
          <w:sz w:val="15"/>
        </w:rPr>
        <w:t> </w:t>
      </w:r>
      <w:r>
        <w:rPr>
          <w:sz w:val="15"/>
        </w:rPr>
        <w:t>with</w:t>
      </w:r>
      <w:r>
        <w:rPr>
          <w:spacing w:val="-8"/>
          <w:sz w:val="15"/>
        </w:rPr>
        <w:t> </w:t>
      </w:r>
      <w:r>
        <w:rPr>
          <w:sz w:val="15"/>
        </w:rPr>
        <w:t>training</w:t>
      </w:r>
      <w:r>
        <w:rPr>
          <w:spacing w:val="-8"/>
          <w:sz w:val="15"/>
        </w:rPr>
        <w:t> </w:t>
      </w:r>
      <w:r>
        <w:rPr>
          <w:sz w:val="15"/>
        </w:rPr>
        <w:t>labels</w:t>
      </w:r>
      <w:r>
        <w:rPr>
          <w:spacing w:val="-8"/>
          <w:sz w:val="15"/>
        </w:rPr>
        <w:t> </w:t>
      </w:r>
      <w:r>
        <w:rPr>
          <w:sz w:val="15"/>
        </w:rPr>
        <w:t>matured</w:t>
      </w:r>
      <w:r>
        <w:rPr>
          <w:spacing w:val="-8"/>
          <w:sz w:val="15"/>
        </w:rPr>
        <w:t> </w:t>
      </w:r>
      <w:r>
        <w:rPr>
          <w:sz w:val="15"/>
        </w:rPr>
        <w:t>before</w:t>
      </w:r>
      <w:r>
        <w:rPr>
          <w:spacing w:val="-8"/>
          <w:sz w:val="15"/>
        </w:rPr>
        <w:t> </w:t>
      </w:r>
      <w:r>
        <w:rPr>
          <w:sz w:val="15"/>
        </w:rPr>
        <w:t>the</w:t>
      </w:r>
      <w:r>
        <w:rPr>
          <w:spacing w:val="-8"/>
          <w:sz w:val="15"/>
        </w:rPr>
        <w:t> </w:t>
      </w:r>
      <w:r>
        <w:rPr>
          <w:sz w:val="15"/>
        </w:rPr>
        <w:t>validation</w:t>
      </w:r>
      <w:r>
        <w:rPr>
          <w:spacing w:val="-8"/>
          <w:sz w:val="15"/>
        </w:rPr>
        <w:t> </w:t>
      </w:r>
      <w:r>
        <w:rPr>
          <w:sz w:val="15"/>
        </w:rPr>
        <w:t>origin;</w:t>
      </w:r>
      <w:r>
        <w:rPr>
          <w:spacing w:val="-8"/>
          <w:sz w:val="15"/>
        </w:rPr>
        <w:t> </w:t>
      </w:r>
      <w:r>
        <w:rPr>
          <w:sz w:val="15"/>
        </w:rPr>
        <w:t>add</w:t>
      </w:r>
      <w:r>
        <w:rPr>
          <w:spacing w:val="-8"/>
          <w:sz w:val="15"/>
        </w:rPr>
        <w:t> </w:t>
      </w:r>
      <w:r>
        <w:rPr>
          <w:sz w:val="15"/>
        </w:rPr>
        <w:t>a customer-group holdout as sensitivity. Compare models with and without price using log loss, calibration and PR-AUC against the observed</w:t>
      </w:r>
    </w:p>
    <w:p>
      <w:pPr>
        <w:spacing w:before="0"/>
        <w:ind w:left="10" w:right="0" w:firstLine="0"/>
        <w:jc w:val="left"/>
        <w:rPr>
          <w:sz w:val="15"/>
        </w:rPr>
      </w:pPr>
      <w:r>
        <w:rPr>
          <w:spacing w:val="-2"/>
          <w:sz w:val="15"/>
        </w:rPr>
        <w:t>response-prevalence</w:t>
      </w:r>
      <w:r>
        <w:rPr>
          <w:spacing w:val="3"/>
          <w:sz w:val="15"/>
        </w:rPr>
        <w:t> </w:t>
      </w:r>
      <w:r>
        <w:rPr>
          <w:spacing w:val="-2"/>
          <w:sz w:val="15"/>
        </w:rPr>
        <w:t>baseline,</w:t>
      </w:r>
      <w:r>
        <w:rPr>
          <w:spacing w:val="3"/>
          <w:sz w:val="15"/>
        </w:rPr>
        <w:t> </w:t>
      </w:r>
      <w:r>
        <w:rPr>
          <w:rFonts w:ascii="Arial"/>
          <w:b/>
          <w:spacing w:val="-2"/>
          <w:sz w:val="15"/>
        </w:rPr>
        <w:t>and</w:t>
      </w:r>
      <w:r>
        <w:rPr>
          <w:rFonts w:ascii="Arial"/>
          <w:b/>
          <w:spacing w:val="3"/>
          <w:sz w:val="15"/>
        </w:rPr>
        <w:t> </w:t>
      </w:r>
      <w:r>
        <w:rPr>
          <w:spacing w:val="-2"/>
          <w:sz w:val="15"/>
        </w:rPr>
        <w:t>report</w:t>
      </w:r>
      <w:r>
        <w:rPr>
          <w:spacing w:val="4"/>
          <w:sz w:val="15"/>
        </w:rPr>
        <w:t> </w:t>
      </w:r>
      <w:r>
        <w:rPr>
          <w:spacing w:val="-2"/>
          <w:sz w:val="15"/>
        </w:rPr>
        <w:t>precision/recall</w:t>
      </w:r>
      <w:r>
        <w:rPr>
          <w:spacing w:val="3"/>
          <w:sz w:val="15"/>
        </w:rPr>
        <w:t> </w:t>
      </w:r>
      <w:r>
        <w:rPr>
          <w:spacing w:val="-2"/>
          <w:sz w:val="15"/>
        </w:rPr>
        <w:t>at</w:t>
      </w:r>
      <w:r>
        <w:rPr>
          <w:spacing w:val="3"/>
          <w:sz w:val="15"/>
        </w:rPr>
        <w:t> </w:t>
      </w:r>
      <w:r>
        <w:rPr>
          <w:spacing w:val="-2"/>
          <w:sz w:val="15"/>
        </w:rPr>
        <w:t>the</w:t>
      </w:r>
      <w:r>
        <w:rPr>
          <w:spacing w:val="3"/>
          <w:sz w:val="15"/>
        </w:rPr>
        <w:t> </w:t>
      </w:r>
      <w:r>
        <w:rPr>
          <w:spacing w:val="-2"/>
          <w:sz w:val="15"/>
        </w:rPr>
        <w:t>contact</w:t>
      </w:r>
      <w:r>
        <w:rPr>
          <w:spacing w:val="4"/>
          <w:sz w:val="15"/>
        </w:rPr>
        <w:t> </w:t>
      </w:r>
      <w:r>
        <w:rPr>
          <w:spacing w:val="-2"/>
          <w:sz w:val="15"/>
        </w:rPr>
        <w:t>budget</w:t>
      </w:r>
      <w:r>
        <w:rPr>
          <w:spacing w:val="3"/>
          <w:sz w:val="15"/>
        </w:rPr>
        <w:t> </w:t>
      </w:r>
      <w:r>
        <w:rPr>
          <w:spacing w:val="-2"/>
          <w:sz w:val="15"/>
        </w:rPr>
        <w:t>for</w:t>
      </w:r>
      <w:r>
        <w:rPr>
          <w:spacing w:val="3"/>
          <w:sz w:val="15"/>
        </w:rPr>
        <w:t> </w:t>
      </w:r>
      <w:r>
        <w:rPr>
          <w:spacing w:val="-2"/>
          <w:sz w:val="15"/>
        </w:rPr>
        <w:t>the</w:t>
      </w:r>
      <w:r>
        <w:rPr>
          <w:spacing w:val="3"/>
          <w:sz w:val="15"/>
        </w:rPr>
        <w:t> </w:t>
      </w:r>
      <w:r>
        <w:rPr>
          <w:spacing w:val="-2"/>
          <w:sz w:val="15"/>
        </w:rPr>
        <w:t>non-response</w:t>
      </w:r>
      <w:r>
        <w:rPr>
          <w:spacing w:val="4"/>
          <w:sz w:val="15"/>
        </w:rPr>
        <w:t> </w:t>
      </w:r>
      <w:r>
        <w:rPr>
          <w:spacing w:val="-2"/>
          <w:sz w:val="15"/>
        </w:rPr>
        <w:t>(feedback-gap)</w:t>
      </w:r>
      <w:r>
        <w:rPr>
          <w:spacing w:val="3"/>
          <w:sz w:val="15"/>
        </w:rPr>
        <w:t> </w:t>
      </w:r>
      <w:r>
        <w:rPr>
          <w:spacing w:val="-2"/>
          <w:sz w:val="15"/>
        </w:rPr>
        <w:t>end</w:t>
      </w:r>
      <w:r>
        <w:rPr>
          <w:spacing w:val="3"/>
          <w:sz w:val="15"/>
        </w:rPr>
        <w:t> </w:t>
      </w:r>
      <w:r>
        <w:rPr>
          <w:spacing w:val="-2"/>
          <w:sz w:val="15"/>
        </w:rPr>
        <w:t>that</w:t>
      </w:r>
      <w:r>
        <w:rPr>
          <w:spacing w:val="3"/>
          <w:sz w:val="15"/>
        </w:rPr>
        <w:t> </w:t>
      </w:r>
      <w:r>
        <w:rPr>
          <w:spacing w:val="-2"/>
          <w:sz w:val="15"/>
        </w:rPr>
        <w:t>the</w:t>
      </w:r>
      <w:r>
        <w:rPr>
          <w:spacing w:val="4"/>
          <w:sz w:val="15"/>
        </w:rPr>
        <w:t> </w:t>
      </w:r>
      <w:r>
        <w:rPr>
          <w:spacing w:val="-2"/>
          <w:sz w:val="15"/>
        </w:rPr>
        <w:t>action</w:t>
      </w:r>
      <w:r>
        <w:rPr>
          <w:spacing w:val="3"/>
          <w:sz w:val="15"/>
        </w:rPr>
        <w:t> </w:t>
      </w:r>
      <w:r>
        <w:rPr>
          <w:spacing w:val="-2"/>
          <w:sz w:val="15"/>
        </w:rPr>
        <w:t>actually</w:t>
      </w:r>
      <w:r>
        <w:rPr>
          <w:spacing w:val="3"/>
          <w:sz w:val="15"/>
        </w:rPr>
        <w:t> </w:t>
      </w:r>
      <w:r>
        <w:rPr>
          <w:spacing w:val="-2"/>
          <w:sz w:val="15"/>
        </w:rPr>
        <w:t>prioritises.</w:t>
      </w:r>
    </w:p>
    <w:p>
      <w:pPr>
        <w:spacing w:before="83"/>
        <w:ind w:left="10" w:right="0" w:firstLine="0"/>
        <w:jc w:val="left"/>
        <w:rPr>
          <w:sz w:val="15"/>
        </w:rPr>
      </w:pPr>
      <w:r>
        <w:rPr>
          <w:rFonts w:ascii="Arial"/>
          <w:b/>
          <w:sz w:val="15"/>
        </w:rPr>
        <w:t>Leakage,</w:t>
      </w:r>
      <w:r>
        <w:rPr>
          <w:rFonts w:ascii="Arial"/>
          <w:b/>
          <w:spacing w:val="-11"/>
          <w:sz w:val="15"/>
        </w:rPr>
        <w:t> </w:t>
      </w:r>
      <w:r>
        <w:rPr>
          <w:rFonts w:ascii="Arial"/>
          <w:b/>
          <w:sz w:val="15"/>
        </w:rPr>
        <w:t>fairness</w:t>
      </w:r>
      <w:r>
        <w:rPr>
          <w:rFonts w:ascii="Arial"/>
          <w:b/>
          <w:spacing w:val="-10"/>
          <w:sz w:val="15"/>
        </w:rPr>
        <w:t> </w:t>
      </w:r>
      <w:r>
        <w:rPr>
          <w:rFonts w:ascii="Arial"/>
          <w:b/>
          <w:sz w:val="15"/>
        </w:rPr>
        <w:t>or</w:t>
      </w:r>
      <w:r>
        <w:rPr>
          <w:rFonts w:ascii="Arial"/>
          <w:b/>
          <w:spacing w:val="-10"/>
          <w:sz w:val="15"/>
        </w:rPr>
        <w:t> </w:t>
      </w:r>
      <w:r>
        <w:rPr>
          <w:rFonts w:ascii="Arial"/>
          <w:b/>
          <w:sz w:val="15"/>
        </w:rPr>
        <w:t>deployment</w:t>
      </w:r>
      <w:r>
        <w:rPr>
          <w:rFonts w:ascii="Arial"/>
          <w:b/>
          <w:spacing w:val="-10"/>
          <w:sz w:val="15"/>
        </w:rPr>
        <w:t> </w:t>
      </w:r>
      <w:r>
        <w:rPr>
          <w:rFonts w:ascii="Arial"/>
          <w:b/>
          <w:sz w:val="15"/>
        </w:rPr>
        <w:t>risk:</w:t>
      </w:r>
      <w:r>
        <w:rPr>
          <w:rFonts w:ascii="Arial"/>
          <w:b/>
          <w:spacing w:val="-11"/>
          <w:sz w:val="15"/>
        </w:rPr>
        <w:t> </w:t>
      </w:r>
      <w:r>
        <w:rPr>
          <w:sz w:val="15"/>
        </w:rPr>
        <w:t>Require</w:t>
      </w:r>
      <w:r>
        <w:rPr>
          <w:spacing w:val="-10"/>
          <w:sz w:val="15"/>
        </w:rPr>
        <w:t> </w:t>
      </w:r>
      <w:r>
        <w:rPr>
          <w:sz w:val="15"/>
        </w:rPr>
        <w:t>a</w:t>
      </w:r>
      <w:r>
        <w:rPr>
          <w:spacing w:val="-10"/>
          <w:sz w:val="15"/>
        </w:rPr>
        <w:t> </w:t>
      </w:r>
      <w:r>
        <w:rPr>
          <w:sz w:val="15"/>
        </w:rPr>
        <w:t>verified</w:t>
      </w:r>
      <w:r>
        <w:rPr>
          <w:spacing w:val="-10"/>
          <w:sz w:val="15"/>
        </w:rPr>
        <w:t> </w:t>
      </w:r>
      <w:r>
        <w:rPr>
          <w:sz w:val="15"/>
        </w:rPr>
        <w:t>extraction</w:t>
      </w:r>
      <w:r>
        <w:rPr>
          <w:spacing w:val="-11"/>
          <w:sz w:val="15"/>
        </w:rPr>
        <w:t> </w:t>
      </w:r>
      <w:r>
        <w:rPr>
          <w:sz w:val="15"/>
        </w:rPr>
        <w:t>cutoff</w:t>
      </w:r>
      <w:r>
        <w:rPr>
          <w:spacing w:val="-10"/>
          <w:sz w:val="15"/>
        </w:rPr>
        <w:t> </w:t>
      </w:r>
      <w:r>
        <w:rPr>
          <w:sz w:val="15"/>
        </w:rPr>
        <w:t>and</w:t>
      </w:r>
      <w:r>
        <w:rPr>
          <w:spacing w:val="-10"/>
          <w:sz w:val="15"/>
        </w:rPr>
        <w:t> </w:t>
      </w:r>
      <w:r>
        <w:rPr>
          <w:sz w:val="15"/>
        </w:rPr>
        <w:t>complete</w:t>
      </w:r>
      <w:r>
        <w:rPr>
          <w:spacing w:val="-10"/>
          <w:sz w:val="15"/>
        </w:rPr>
        <w:t> </w:t>
      </w:r>
      <w:r>
        <w:rPr>
          <w:sz w:val="15"/>
        </w:rPr>
        <w:t>30-day</w:t>
      </w:r>
      <w:r>
        <w:rPr>
          <w:spacing w:val="-10"/>
          <w:sz w:val="15"/>
        </w:rPr>
        <w:t> </w:t>
      </w:r>
      <w:r>
        <w:rPr>
          <w:sz w:val="15"/>
        </w:rPr>
        <w:t>follow-up;</w:t>
      </w:r>
      <w:r>
        <w:rPr>
          <w:spacing w:val="-11"/>
          <w:sz w:val="15"/>
        </w:rPr>
        <w:t> </w:t>
      </w:r>
      <w:r>
        <w:rPr>
          <w:sz w:val="15"/>
        </w:rPr>
        <w:t>do</w:t>
      </w:r>
      <w:r>
        <w:rPr>
          <w:spacing w:val="-10"/>
          <w:sz w:val="15"/>
        </w:rPr>
        <w:t> </w:t>
      </w:r>
      <w:r>
        <w:rPr>
          <w:sz w:val="15"/>
        </w:rPr>
        <w:t>not</w:t>
      </w:r>
      <w:r>
        <w:rPr>
          <w:spacing w:val="-10"/>
          <w:sz w:val="15"/>
        </w:rPr>
        <w:t> </w:t>
      </w:r>
      <w:r>
        <w:rPr>
          <w:sz w:val="15"/>
        </w:rPr>
        <w:t>label</w:t>
      </w:r>
      <w:r>
        <w:rPr>
          <w:spacing w:val="-10"/>
          <w:sz w:val="15"/>
        </w:rPr>
        <w:t> </w:t>
      </w:r>
      <w:r>
        <w:rPr>
          <w:sz w:val="15"/>
        </w:rPr>
        <w:t>immature</w:t>
      </w:r>
      <w:r>
        <w:rPr>
          <w:spacing w:val="-11"/>
          <w:sz w:val="15"/>
        </w:rPr>
        <w:t> </w:t>
      </w:r>
      <w:r>
        <w:rPr>
          <w:sz w:val="15"/>
        </w:rPr>
        <w:t>observations</w:t>
      </w:r>
      <w:r>
        <w:rPr>
          <w:spacing w:val="-10"/>
          <w:sz w:val="15"/>
        </w:rPr>
        <w:t> </w:t>
      </w:r>
      <w:r>
        <w:rPr>
          <w:spacing w:val="-5"/>
          <w:sz w:val="15"/>
        </w:rPr>
        <w:t>as</w:t>
      </w:r>
    </w:p>
    <w:p>
      <w:pPr>
        <w:spacing w:line="254" w:lineRule="auto" w:before="11"/>
        <w:ind w:left="10" w:right="1" w:firstLine="0"/>
        <w:jc w:val="left"/>
        <w:rPr>
          <w:sz w:val="15"/>
        </w:rPr>
      </w:pPr>
      <w:r>
        <w:rPr>
          <w:sz w:val="15"/>
        </w:rPr>
        <w:t>non-responses</w:t>
      </w:r>
      <w:r>
        <w:rPr>
          <w:spacing w:val="-9"/>
          <w:sz w:val="15"/>
        </w:rPr>
        <w:t> </w:t>
      </w:r>
      <w:r>
        <w:rPr>
          <w:sz w:val="15"/>
        </w:rPr>
        <w:t>(whole-export</w:t>
      </w:r>
      <w:r>
        <w:rPr>
          <w:spacing w:val="-9"/>
          <w:sz w:val="15"/>
        </w:rPr>
        <w:t> </w:t>
      </w:r>
      <w:r>
        <w:rPr>
          <w:sz w:val="15"/>
        </w:rPr>
        <w:t>44.5%</w:t>
      </w:r>
      <w:r>
        <w:rPr>
          <w:spacing w:val="-9"/>
          <w:sz w:val="15"/>
        </w:rPr>
        <w:t> </w:t>
      </w:r>
      <w:r>
        <w:rPr>
          <w:sz w:val="15"/>
        </w:rPr>
        <w:t>is</w:t>
      </w:r>
      <w:r>
        <w:rPr>
          <w:spacing w:val="-9"/>
          <w:sz w:val="15"/>
        </w:rPr>
        <w:t> </w:t>
      </w:r>
      <w:r>
        <w:rPr>
          <w:sz w:val="15"/>
        </w:rPr>
        <w:t>not</w:t>
      </w:r>
      <w:r>
        <w:rPr>
          <w:spacing w:val="-9"/>
          <w:sz w:val="15"/>
        </w:rPr>
        <w:t> </w:t>
      </w:r>
      <w:r>
        <w:rPr>
          <w:sz w:val="15"/>
        </w:rPr>
        <w:t>an</w:t>
      </w:r>
      <w:r>
        <w:rPr>
          <w:spacing w:val="-9"/>
          <w:sz w:val="15"/>
        </w:rPr>
        <w:t> </w:t>
      </w:r>
      <w:r>
        <w:rPr>
          <w:sz w:val="15"/>
        </w:rPr>
        <w:t>assumed</w:t>
      </w:r>
      <w:r>
        <w:rPr>
          <w:spacing w:val="-9"/>
          <w:sz w:val="15"/>
        </w:rPr>
        <w:t> </w:t>
      </w:r>
      <w:r>
        <w:rPr>
          <w:sz w:val="15"/>
        </w:rPr>
        <w:t>30-day</w:t>
      </w:r>
      <w:r>
        <w:rPr>
          <w:spacing w:val="-9"/>
          <w:sz w:val="15"/>
        </w:rPr>
        <w:t> </w:t>
      </w:r>
      <w:r>
        <w:rPr>
          <w:sz w:val="15"/>
        </w:rPr>
        <w:t>prevalence).</w:t>
      </w:r>
      <w:r>
        <w:rPr>
          <w:spacing w:val="-9"/>
          <w:sz w:val="15"/>
        </w:rPr>
        <w:t> </w:t>
      </w:r>
      <w:r>
        <w:rPr>
          <w:sz w:val="15"/>
        </w:rPr>
        <w:t>Audit</w:t>
      </w:r>
      <w:r>
        <w:rPr>
          <w:spacing w:val="-9"/>
          <w:sz w:val="15"/>
        </w:rPr>
        <w:t> </w:t>
      </w:r>
      <w:r>
        <w:rPr>
          <w:sz w:val="15"/>
        </w:rPr>
        <w:t>calibration</w:t>
      </w:r>
      <w:r>
        <w:rPr>
          <w:spacing w:val="-9"/>
          <w:sz w:val="15"/>
        </w:rPr>
        <w:t> </w:t>
      </w:r>
      <w:r>
        <w:rPr>
          <w:sz w:val="15"/>
        </w:rPr>
        <w:t>across</w:t>
      </w:r>
      <w:r>
        <w:rPr>
          <w:spacing w:val="-9"/>
          <w:sz w:val="15"/>
        </w:rPr>
        <w:t> </w:t>
      </w:r>
      <w:r>
        <w:rPr>
          <w:sz w:val="15"/>
        </w:rPr>
        <w:t>price</w:t>
      </w:r>
      <w:r>
        <w:rPr>
          <w:spacing w:val="-9"/>
          <w:sz w:val="15"/>
        </w:rPr>
        <w:t> </w:t>
      </w:r>
      <w:r>
        <w:rPr>
          <w:sz w:val="15"/>
        </w:rPr>
        <w:t>and</w:t>
      </w:r>
      <w:r>
        <w:rPr>
          <w:spacing w:val="-9"/>
          <w:sz w:val="15"/>
        </w:rPr>
        <w:t> </w:t>
      </w:r>
      <w:r>
        <w:rPr>
          <w:sz w:val="15"/>
        </w:rPr>
        <w:t>category.</w:t>
      </w:r>
      <w:r>
        <w:rPr>
          <w:spacing w:val="-9"/>
          <w:sz w:val="15"/>
        </w:rPr>
        <w:t> </w:t>
      </w:r>
      <w:r>
        <w:rPr>
          <w:sz w:val="15"/>
        </w:rPr>
        <w:t>Low</w:t>
      </w:r>
      <w:r>
        <w:rPr>
          <w:spacing w:val="-9"/>
          <w:sz w:val="15"/>
        </w:rPr>
        <w:t> </w:t>
      </w:r>
      <w:r>
        <w:rPr>
          <w:sz w:val="15"/>
        </w:rPr>
        <w:t>response</w:t>
      </w:r>
      <w:r>
        <w:rPr>
          <w:spacing w:val="-9"/>
          <w:sz w:val="15"/>
        </w:rPr>
        <w:t> </w:t>
      </w:r>
      <w:r>
        <w:rPr>
          <w:sz w:val="15"/>
        </w:rPr>
        <w:t>propensity</w:t>
      </w:r>
      <w:r>
        <w:rPr>
          <w:spacing w:val="-9"/>
          <w:sz w:val="15"/>
        </w:rPr>
        <w:t> </w:t>
      </w:r>
      <w:r>
        <w:rPr>
          <w:sz w:val="15"/>
        </w:rPr>
        <w:t>does</w:t>
      </w:r>
      <w:r>
        <w:rPr>
          <w:spacing w:val="-9"/>
          <w:sz w:val="15"/>
        </w:rPr>
        <w:t> </w:t>
      </w:r>
      <w:r>
        <w:rPr>
          <w:sz w:val="15"/>
        </w:rPr>
        <w:t>not imply responsiveness to reminders, and propensity weighting cannot guarantee unbiased ratings.</w:t>
      </w:r>
    </w:p>
    <w:p>
      <w:pPr>
        <w:pStyle w:val="BodyText"/>
        <w:spacing w:before="89"/>
        <w:rPr>
          <w:sz w:val="15"/>
        </w:rPr>
      </w:pPr>
    </w:p>
    <w:p>
      <w:pPr>
        <w:pStyle w:val="Heading5"/>
        <w:spacing w:line="261" w:lineRule="auto" w:before="1"/>
      </w:pPr>
      <w:r>
        <w:rPr>
          <w:color w:val="183D60"/>
        </w:rPr>
        <w:t>MLQ-3: Conditional on a review occurring within 30 days of delivery, can delivery-time attributes predict the rating - and, combined with MLQ-2, rank 30-day observed negative-feedback risk at order level?</w:t>
      </w:r>
    </w:p>
    <w:p>
      <w:pPr>
        <w:spacing w:line="254" w:lineRule="auto" w:before="84"/>
        <w:ind w:left="10" w:right="133" w:firstLine="0"/>
        <w:jc w:val="left"/>
        <w:rPr>
          <w:sz w:val="15"/>
        </w:rPr>
      </w:pPr>
      <w:r>
        <w:rPr>
          <w:rFonts w:ascii="Arial" w:hAnsi="Arial"/>
          <w:b/>
          <w:sz w:val="15"/>
        </w:rPr>
        <w:t>EDA evidence: Figures 4–5; Findings 6–7 and the supplementary review-count audit: </w:t>
      </w:r>
      <w:r>
        <w:rPr>
          <w:sz w:val="15"/>
        </w:rPr>
        <w:t>review occurrence is selective (item coverage 44.5%, rising 27.0%→63.6%</w:t>
      </w:r>
      <w:r>
        <w:rPr>
          <w:spacing w:val="-7"/>
          <w:sz w:val="15"/>
        </w:rPr>
        <w:t> </w:t>
      </w:r>
      <w:r>
        <w:rPr>
          <w:sz w:val="15"/>
        </w:rPr>
        <w:t>across</w:t>
      </w:r>
      <w:r>
        <w:rPr>
          <w:spacing w:val="-7"/>
          <w:sz w:val="15"/>
        </w:rPr>
        <w:t> </w:t>
      </w:r>
      <w:r>
        <w:rPr>
          <w:sz w:val="15"/>
        </w:rPr>
        <w:t>price</w:t>
      </w:r>
      <w:r>
        <w:rPr>
          <w:spacing w:val="-7"/>
          <w:sz w:val="15"/>
        </w:rPr>
        <w:t> </w:t>
      </w:r>
      <w:r>
        <w:rPr>
          <w:sz w:val="15"/>
        </w:rPr>
        <w:t>quartiles),</w:t>
      </w:r>
      <w:r>
        <w:rPr>
          <w:spacing w:val="-7"/>
          <w:sz w:val="15"/>
        </w:rPr>
        <w:t> </w:t>
      </w:r>
      <w:r>
        <w:rPr>
          <w:sz w:val="15"/>
        </w:rPr>
        <w:t>and</w:t>
      </w:r>
      <w:r>
        <w:rPr>
          <w:spacing w:val="-7"/>
          <w:sz w:val="15"/>
        </w:rPr>
        <w:t> </w:t>
      </w:r>
      <w:r>
        <w:rPr>
          <w:sz w:val="15"/>
        </w:rPr>
        <w:t>among</w:t>
      </w:r>
      <w:r>
        <w:rPr>
          <w:spacing w:val="-8"/>
          <w:sz w:val="15"/>
        </w:rPr>
        <w:t> </w:t>
      </w:r>
      <w:r>
        <w:rPr>
          <w:sz w:val="15"/>
        </w:rPr>
        <w:t>the</w:t>
      </w:r>
      <w:r>
        <w:rPr>
          <w:spacing w:val="-7"/>
          <w:sz w:val="15"/>
        </w:rPr>
        <w:t> </w:t>
      </w:r>
      <w:r>
        <w:rPr>
          <w:sz w:val="15"/>
        </w:rPr>
        <w:t>7,000</w:t>
      </w:r>
      <w:r>
        <w:rPr>
          <w:spacing w:val="-7"/>
          <w:sz w:val="15"/>
        </w:rPr>
        <w:t> </w:t>
      </w:r>
      <w:r>
        <w:rPr>
          <w:sz w:val="15"/>
        </w:rPr>
        <w:t>observed</w:t>
      </w:r>
      <w:r>
        <w:rPr>
          <w:spacing w:val="-7"/>
          <w:sz w:val="15"/>
        </w:rPr>
        <w:t> </w:t>
      </w:r>
      <w:r>
        <w:rPr>
          <w:sz w:val="15"/>
        </w:rPr>
        <w:t>reviews</w:t>
      </w:r>
      <w:r>
        <w:rPr>
          <w:spacing w:val="-7"/>
          <w:sz w:val="15"/>
        </w:rPr>
        <w:t> </w:t>
      </w:r>
      <w:r>
        <w:rPr>
          <w:sz w:val="15"/>
        </w:rPr>
        <w:t>1,197</w:t>
      </w:r>
      <w:r>
        <w:rPr>
          <w:spacing w:val="-7"/>
          <w:sz w:val="15"/>
        </w:rPr>
        <w:t> </w:t>
      </w:r>
      <w:r>
        <w:rPr>
          <w:sz w:val="15"/>
        </w:rPr>
        <w:t>(17.1%)</w:t>
      </w:r>
      <w:r>
        <w:rPr>
          <w:spacing w:val="-8"/>
          <w:sz w:val="15"/>
        </w:rPr>
        <w:t> </w:t>
      </w:r>
      <w:r>
        <w:rPr>
          <w:sz w:val="15"/>
        </w:rPr>
        <w:t>rate</w:t>
      </w:r>
      <w:r>
        <w:rPr>
          <w:spacing w:val="-7"/>
          <w:sz w:val="15"/>
        </w:rPr>
        <w:t> </w:t>
      </w:r>
      <w:r>
        <w:rPr>
          <w:sz w:val="15"/>
        </w:rPr>
        <w:t>≤2</w:t>
      </w:r>
      <w:r>
        <w:rPr>
          <w:spacing w:val="-7"/>
          <w:sz w:val="15"/>
        </w:rPr>
        <w:t> </w:t>
      </w:r>
      <w:r>
        <w:rPr>
          <w:sz w:val="15"/>
        </w:rPr>
        <w:t>stars</w:t>
      </w:r>
      <w:r>
        <w:rPr>
          <w:spacing w:val="-7"/>
          <w:sz w:val="15"/>
        </w:rPr>
        <w:t> </w:t>
      </w:r>
      <w:r>
        <w:rPr>
          <w:sz w:val="15"/>
        </w:rPr>
        <w:t>-</w:t>
      </w:r>
      <w:r>
        <w:rPr>
          <w:spacing w:val="-7"/>
          <w:sz w:val="15"/>
        </w:rPr>
        <w:t> </w:t>
      </w:r>
      <w:r>
        <w:rPr>
          <w:sz w:val="15"/>
        </w:rPr>
        <w:t>only</w:t>
      </w:r>
      <w:r>
        <w:rPr>
          <w:spacing w:val="-7"/>
          <w:sz w:val="15"/>
        </w:rPr>
        <w:t> </w:t>
      </w:r>
      <w:r>
        <w:rPr>
          <w:sz w:val="15"/>
        </w:rPr>
        <w:t>7.6%</w:t>
      </w:r>
      <w:r>
        <w:rPr>
          <w:spacing w:val="-8"/>
          <w:sz w:val="15"/>
        </w:rPr>
        <w:t> </w:t>
      </w:r>
      <w:r>
        <w:rPr>
          <w:sz w:val="15"/>
        </w:rPr>
        <w:t>of</w:t>
      </w:r>
      <w:r>
        <w:rPr>
          <w:spacing w:val="-7"/>
          <w:sz w:val="15"/>
        </w:rPr>
        <w:t> </w:t>
      </w:r>
      <w:r>
        <w:rPr>
          <w:sz w:val="15"/>
        </w:rPr>
        <w:t>all</w:t>
      </w:r>
      <w:r>
        <w:rPr>
          <w:spacing w:val="-7"/>
          <w:sz w:val="15"/>
        </w:rPr>
        <w:t> </w:t>
      </w:r>
      <w:r>
        <w:rPr>
          <w:sz w:val="15"/>
        </w:rPr>
        <w:t>15,739</w:t>
      </w:r>
      <w:r>
        <w:rPr>
          <w:spacing w:val="-7"/>
          <w:sz w:val="15"/>
        </w:rPr>
        <w:t> </w:t>
      </w:r>
      <w:r>
        <w:rPr>
          <w:sz w:val="15"/>
        </w:rPr>
        <w:t>purchased</w:t>
      </w:r>
      <w:r>
        <w:rPr>
          <w:spacing w:val="-7"/>
          <w:sz w:val="15"/>
        </w:rPr>
        <w:t> </w:t>
      </w:r>
      <w:r>
        <w:rPr>
          <w:sz w:val="15"/>
        </w:rPr>
        <w:t>item</w:t>
      </w:r>
      <w:r>
        <w:rPr>
          <w:spacing w:val="-7"/>
          <w:sz w:val="15"/>
        </w:rPr>
        <w:t> </w:t>
      </w:r>
      <w:r>
        <w:rPr>
          <w:sz w:val="15"/>
        </w:rPr>
        <w:t>lines. Good-</w:t>
      </w:r>
      <w:r>
        <w:rPr>
          <w:spacing w:val="-3"/>
          <w:sz w:val="15"/>
        </w:rPr>
        <w:t> </w:t>
      </w:r>
      <w:r>
        <w:rPr>
          <w:sz w:val="15"/>
        </w:rPr>
        <w:t>and</w:t>
      </w:r>
      <w:r>
        <w:rPr>
          <w:spacing w:val="-3"/>
          <w:sz w:val="15"/>
        </w:rPr>
        <w:t> </w:t>
      </w:r>
      <w:r>
        <w:rPr>
          <w:sz w:val="15"/>
        </w:rPr>
        <w:t>poor-value</w:t>
      </w:r>
      <w:r>
        <w:rPr>
          <w:spacing w:val="-3"/>
          <w:sz w:val="15"/>
        </w:rPr>
        <w:t> </w:t>
      </w:r>
      <w:r>
        <w:rPr>
          <w:sz w:val="15"/>
        </w:rPr>
        <w:t>groups</w:t>
      </w:r>
      <w:r>
        <w:rPr>
          <w:spacing w:val="-3"/>
          <w:sz w:val="15"/>
        </w:rPr>
        <w:t> </w:t>
      </w:r>
      <w:r>
        <w:rPr>
          <w:sz w:val="15"/>
        </w:rPr>
        <w:t>have</w:t>
      </w:r>
      <w:r>
        <w:rPr>
          <w:spacing w:val="-3"/>
          <w:sz w:val="15"/>
        </w:rPr>
        <w:t> </w:t>
      </w:r>
      <w:r>
        <w:rPr>
          <w:sz w:val="15"/>
        </w:rPr>
        <w:t>equal</w:t>
      </w:r>
      <w:r>
        <w:rPr>
          <w:spacing w:val="-3"/>
          <w:sz w:val="15"/>
        </w:rPr>
        <w:t> </w:t>
      </w:r>
      <w:r>
        <w:rPr>
          <w:sz w:val="15"/>
        </w:rPr>
        <w:t>≥4-star</w:t>
      </w:r>
      <w:r>
        <w:rPr>
          <w:spacing w:val="-3"/>
          <w:sz w:val="15"/>
        </w:rPr>
        <w:t> </w:t>
      </w:r>
      <w:r>
        <w:rPr>
          <w:sz w:val="15"/>
        </w:rPr>
        <w:t>shares</w:t>
      </w:r>
      <w:r>
        <w:rPr>
          <w:spacing w:val="-3"/>
          <w:sz w:val="15"/>
        </w:rPr>
        <w:t> </w:t>
      </w:r>
      <w:r>
        <w:rPr>
          <w:sz w:val="15"/>
        </w:rPr>
        <w:t>but</w:t>
      </w:r>
      <w:r>
        <w:rPr>
          <w:spacing w:val="-3"/>
          <w:sz w:val="15"/>
        </w:rPr>
        <w:t> </w:t>
      </w:r>
      <w:r>
        <w:rPr>
          <w:sz w:val="15"/>
        </w:rPr>
        <w:t>a</w:t>
      </w:r>
      <w:r>
        <w:rPr>
          <w:spacing w:val="-3"/>
          <w:sz w:val="15"/>
        </w:rPr>
        <w:t> </w:t>
      </w:r>
      <w:r>
        <w:rPr>
          <w:sz w:val="15"/>
        </w:rPr>
        <w:t>12.7-pp</w:t>
      </w:r>
      <w:r>
        <w:rPr>
          <w:spacing w:val="-3"/>
          <w:sz w:val="15"/>
        </w:rPr>
        <w:t> </w:t>
      </w:r>
      <w:r>
        <w:rPr>
          <w:sz w:val="15"/>
        </w:rPr>
        <w:t>five-star</w:t>
      </w:r>
      <w:r>
        <w:rPr>
          <w:spacing w:val="-3"/>
          <w:sz w:val="15"/>
        </w:rPr>
        <w:t> </w:t>
      </w:r>
      <w:r>
        <w:rPr>
          <w:sz w:val="15"/>
        </w:rPr>
        <w:t>gap</w:t>
      </w:r>
      <w:r>
        <w:rPr>
          <w:spacing w:val="-3"/>
          <w:sz w:val="15"/>
        </w:rPr>
        <w:t> </w:t>
      </w:r>
      <w:r>
        <w:rPr>
          <w:sz w:val="15"/>
        </w:rPr>
        <w:t>(Cliff's</w:t>
      </w:r>
      <w:r>
        <w:rPr>
          <w:spacing w:val="-3"/>
          <w:sz w:val="15"/>
        </w:rPr>
        <w:t> </w:t>
      </w:r>
      <w:r>
        <w:rPr>
          <w:w w:val="95"/>
          <w:sz w:val="15"/>
        </w:rPr>
        <w:t>δ</w:t>
      </w:r>
      <w:r>
        <w:rPr>
          <w:spacing w:val="-1"/>
          <w:w w:val="95"/>
          <w:sz w:val="15"/>
        </w:rPr>
        <w:t> </w:t>
      </w:r>
      <w:r>
        <w:rPr>
          <w:sz w:val="15"/>
        </w:rPr>
        <w:t>=</w:t>
      </w:r>
      <w:r>
        <w:rPr>
          <w:spacing w:val="-3"/>
          <w:sz w:val="15"/>
        </w:rPr>
        <w:t> </w:t>
      </w:r>
      <w:r>
        <w:rPr>
          <w:sz w:val="15"/>
        </w:rPr>
        <w:t>0.093).</w:t>
      </w:r>
      <w:r>
        <w:rPr>
          <w:spacing w:val="-3"/>
          <w:sz w:val="15"/>
        </w:rPr>
        <w:t> </w:t>
      </w:r>
      <w:r>
        <w:rPr>
          <w:sz w:val="15"/>
        </w:rPr>
        <w:t>Occurrence</w:t>
      </w:r>
      <w:r>
        <w:rPr>
          <w:spacing w:val="-3"/>
          <w:sz w:val="15"/>
        </w:rPr>
        <w:t> </w:t>
      </w:r>
      <w:r>
        <w:rPr>
          <w:sz w:val="15"/>
        </w:rPr>
        <w:t>and</w:t>
      </w:r>
      <w:r>
        <w:rPr>
          <w:spacing w:val="-3"/>
          <w:sz w:val="15"/>
        </w:rPr>
        <w:t> </w:t>
      </w:r>
      <w:r>
        <w:rPr>
          <w:sz w:val="15"/>
        </w:rPr>
        <w:t>severity</w:t>
      </w:r>
      <w:r>
        <w:rPr>
          <w:spacing w:val="-3"/>
          <w:sz w:val="15"/>
        </w:rPr>
        <w:t> </w:t>
      </w:r>
      <w:r>
        <w:rPr>
          <w:sz w:val="15"/>
        </w:rPr>
        <w:t>are</w:t>
      </w:r>
      <w:r>
        <w:rPr>
          <w:spacing w:val="-3"/>
          <w:sz w:val="15"/>
        </w:rPr>
        <w:t> </w:t>
      </w:r>
      <w:r>
        <w:rPr>
          <w:sz w:val="15"/>
        </w:rPr>
        <w:t>therefore</w:t>
      </w:r>
      <w:r>
        <w:rPr>
          <w:spacing w:val="-3"/>
          <w:sz w:val="15"/>
        </w:rPr>
        <w:t> </w:t>
      </w:r>
      <w:r>
        <w:rPr>
          <w:sz w:val="15"/>
        </w:rPr>
        <w:t>different processes with different denominators.</w:t>
      </w:r>
    </w:p>
    <w:p>
      <w:pPr>
        <w:spacing w:line="254" w:lineRule="auto" w:before="73"/>
        <w:ind w:left="10" w:right="1" w:firstLine="0"/>
        <w:jc w:val="left"/>
        <w:rPr>
          <w:sz w:val="15"/>
        </w:rPr>
      </w:pPr>
      <w:r>
        <w:rPr>
          <w:rFonts w:ascii="Arial"/>
          <w:b/>
          <w:sz w:val="15"/>
        </w:rPr>
        <w:t>Business</w:t>
      </w:r>
      <w:r>
        <w:rPr>
          <w:rFonts w:ascii="Arial"/>
          <w:b/>
          <w:spacing w:val="-8"/>
          <w:sz w:val="15"/>
        </w:rPr>
        <w:t> </w:t>
      </w:r>
      <w:r>
        <w:rPr>
          <w:rFonts w:ascii="Arial"/>
          <w:b/>
          <w:sz w:val="15"/>
        </w:rPr>
        <w:t>decision:</w:t>
      </w:r>
      <w:r>
        <w:rPr>
          <w:rFonts w:ascii="Arial"/>
          <w:b/>
          <w:spacing w:val="-8"/>
          <w:sz w:val="15"/>
        </w:rPr>
        <w:t> </w:t>
      </w:r>
      <w:r>
        <w:rPr>
          <w:sz w:val="15"/>
        </w:rPr>
        <w:t>Rank</w:t>
      </w:r>
      <w:r>
        <w:rPr>
          <w:spacing w:val="-8"/>
          <w:sz w:val="15"/>
        </w:rPr>
        <w:t> </w:t>
      </w:r>
      <w:r>
        <w:rPr>
          <w:sz w:val="15"/>
        </w:rPr>
        <w:t>delivered</w:t>
      </w:r>
      <w:r>
        <w:rPr>
          <w:spacing w:val="-8"/>
          <w:sz w:val="15"/>
        </w:rPr>
        <w:t> </w:t>
      </w:r>
      <w:r>
        <w:rPr>
          <w:rFonts w:ascii="Arial"/>
          <w:b/>
          <w:sz w:val="15"/>
        </w:rPr>
        <w:t>orders</w:t>
      </w:r>
      <w:r>
        <w:rPr>
          <w:rFonts w:ascii="Arial"/>
          <w:b/>
          <w:spacing w:val="-8"/>
          <w:sz w:val="15"/>
        </w:rPr>
        <w:t> </w:t>
      </w:r>
      <w:r>
        <w:rPr>
          <w:sz w:val="15"/>
        </w:rPr>
        <w:t>for</w:t>
      </w:r>
      <w:r>
        <w:rPr>
          <w:spacing w:val="-8"/>
          <w:sz w:val="15"/>
        </w:rPr>
        <w:t> </w:t>
      </w:r>
      <w:r>
        <w:rPr>
          <w:sz w:val="15"/>
        </w:rPr>
        <w:t>a</w:t>
      </w:r>
      <w:r>
        <w:rPr>
          <w:spacing w:val="-8"/>
          <w:sz w:val="15"/>
        </w:rPr>
        <w:t> </w:t>
      </w:r>
      <w:r>
        <w:rPr>
          <w:sz w:val="15"/>
        </w:rPr>
        <w:t>proactive-outreach</w:t>
      </w:r>
      <w:r>
        <w:rPr>
          <w:spacing w:val="-8"/>
          <w:sz w:val="15"/>
        </w:rPr>
        <w:t> </w:t>
      </w:r>
      <w:r>
        <w:rPr>
          <w:sz w:val="15"/>
        </w:rPr>
        <w:t>trial</w:t>
      </w:r>
      <w:r>
        <w:rPr>
          <w:spacing w:val="-8"/>
          <w:sz w:val="15"/>
        </w:rPr>
        <w:t> </w:t>
      </w:r>
      <w:r>
        <w:rPr>
          <w:sz w:val="15"/>
        </w:rPr>
        <w:t>before</w:t>
      </w:r>
      <w:r>
        <w:rPr>
          <w:spacing w:val="-8"/>
          <w:sz w:val="15"/>
        </w:rPr>
        <w:t> </w:t>
      </w:r>
      <w:r>
        <w:rPr>
          <w:sz w:val="15"/>
        </w:rPr>
        <w:t>the</w:t>
      </w:r>
      <w:r>
        <w:rPr>
          <w:spacing w:val="-8"/>
          <w:sz w:val="15"/>
        </w:rPr>
        <w:t> </w:t>
      </w:r>
      <w:r>
        <w:rPr>
          <w:sz w:val="15"/>
        </w:rPr>
        <w:t>review</w:t>
      </w:r>
      <w:r>
        <w:rPr>
          <w:spacing w:val="-8"/>
          <w:sz w:val="15"/>
        </w:rPr>
        <w:t> </w:t>
      </w:r>
      <w:r>
        <w:rPr>
          <w:sz w:val="15"/>
        </w:rPr>
        <w:t>window</w:t>
      </w:r>
      <w:r>
        <w:rPr>
          <w:spacing w:val="-8"/>
          <w:sz w:val="15"/>
        </w:rPr>
        <w:t> </w:t>
      </w:r>
      <w:r>
        <w:rPr>
          <w:sz w:val="15"/>
        </w:rPr>
        <w:t>closes,</w:t>
      </w:r>
      <w:r>
        <w:rPr>
          <w:spacing w:val="-8"/>
          <w:sz w:val="15"/>
        </w:rPr>
        <w:t> </w:t>
      </w:r>
      <w:r>
        <w:rPr>
          <w:sz w:val="15"/>
        </w:rPr>
        <w:t>by</w:t>
      </w:r>
      <w:r>
        <w:rPr>
          <w:spacing w:val="-8"/>
          <w:sz w:val="15"/>
        </w:rPr>
        <w:t> </w:t>
      </w:r>
      <w:r>
        <w:rPr>
          <w:sz w:val="15"/>
        </w:rPr>
        <w:t>consolidating</w:t>
      </w:r>
      <w:r>
        <w:rPr>
          <w:spacing w:val="-8"/>
          <w:sz w:val="15"/>
        </w:rPr>
        <w:t> </w:t>
      </w:r>
      <w:r>
        <w:rPr>
          <w:sz w:val="15"/>
        </w:rPr>
        <w:t>item-line</w:t>
      </w:r>
      <w:r>
        <w:rPr>
          <w:spacing w:val="-8"/>
          <w:sz w:val="15"/>
        </w:rPr>
        <w:t> </w:t>
      </w:r>
      <w:r>
        <w:rPr>
          <w:sz w:val="15"/>
        </w:rPr>
        <w:t>risk</w:t>
      </w:r>
      <w:r>
        <w:rPr>
          <w:spacing w:val="-8"/>
          <w:sz w:val="15"/>
        </w:rPr>
        <w:t> </w:t>
      </w:r>
      <w:r>
        <w:rPr>
          <w:sz w:val="15"/>
        </w:rPr>
        <w:t>to</w:t>
      </w:r>
      <w:r>
        <w:rPr>
          <w:spacing w:val="-8"/>
          <w:sz w:val="15"/>
        </w:rPr>
        <w:t> </w:t>
      </w:r>
      <w:r>
        <w:rPr>
          <w:sz w:val="15"/>
        </w:rPr>
        <w:t>the</w:t>
      </w:r>
      <w:r>
        <w:rPr>
          <w:spacing w:val="-8"/>
          <w:sz w:val="15"/>
        </w:rPr>
        <w:t> </w:t>
      </w:r>
      <w:r>
        <w:rPr>
          <w:sz w:val="15"/>
        </w:rPr>
        <w:t>order</w:t>
      </w:r>
      <w:r>
        <w:rPr>
          <w:spacing w:val="-8"/>
          <w:sz w:val="15"/>
        </w:rPr>
        <w:t> </w:t>
      </w:r>
      <w:r>
        <w:rPr>
          <w:sz w:val="15"/>
        </w:rPr>
        <w:t>and sizing the trial to a fixed outreach budget.</w:t>
      </w:r>
    </w:p>
    <w:p>
      <w:pPr>
        <w:spacing w:line="254" w:lineRule="auto" w:before="73"/>
        <w:ind w:left="10" w:right="1" w:firstLine="0"/>
        <w:jc w:val="left"/>
        <w:rPr>
          <w:sz w:val="15"/>
        </w:rPr>
      </w:pPr>
      <w:r>
        <w:rPr>
          <w:rFonts w:ascii="Arial" w:hAnsi="Arial"/>
          <w:b/>
          <w:sz w:val="15"/>
        </w:rPr>
        <w:t>Problem</w:t>
      </w:r>
      <w:r>
        <w:rPr>
          <w:rFonts w:ascii="Arial" w:hAnsi="Arial"/>
          <w:b/>
          <w:spacing w:val="-8"/>
          <w:sz w:val="15"/>
        </w:rPr>
        <w:t> </w:t>
      </w:r>
      <w:r>
        <w:rPr>
          <w:rFonts w:ascii="Arial" w:hAnsi="Arial"/>
          <w:b/>
          <w:sz w:val="15"/>
        </w:rPr>
        <w:t>type</w:t>
      </w:r>
      <w:r>
        <w:rPr>
          <w:rFonts w:ascii="Arial" w:hAnsi="Arial"/>
          <w:b/>
          <w:spacing w:val="-8"/>
          <w:sz w:val="15"/>
        </w:rPr>
        <w:t> </w:t>
      </w:r>
      <w:r>
        <w:rPr>
          <w:rFonts w:ascii="Arial" w:hAnsi="Arial"/>
          <w:b/>
          <w:sz w:val="15"/>
        </w:rPr>
        <w:t>and</w:t>
      </w:r>
      <w:r>
        <w:rPr>
          <w:rFonts w:ascii="Arial" w:hAnsi="Arial"/>
          <w:b/>
          <w:spacing w:val="-8"/>
          <w:sz w:val="15"/>
        </w:rPr>
        <w:t> </w:t>
      </w:r>
      <w:r>
        <w:rPr>
          <w:rFonts w:ascii="Arial" w:hAnsi="Arial"/>
          <w:b/>
          <w:sz w:val="15"/>
        </w:rPr>
        <w:t>analysis</w:t>
      </w:r>
      <w:r>
        <w:rPr>
          <w:rFonts w:ascii="Arial" w:hAnsi="Arial"/>
          <w:b/>
          <w:spacing w:val="-8"/>
          <w:sz w:val="15"/>
        </w:rPr>
        <w:t> </w:t>
      </w:r>
      <w:r>
        <w:rPr>
          <w:rFonts w:ascii="Arial" w:hAnsi="Arial"/>
          <w:b/>
          <w:sz w:val="15"/>
        </w:rPr>
        <w:t>unit:</w:t>
      </w:r>
      <w:r>
        <w:rPr>
          <w:rFonts w:ascii="Arial" w:hAnsi="Arial"/>
          <w:b/>
          <w:spacing w:val="-8"/>
          <w:sz w:val="15"/>
        </w:rPr>
        <w:t> </w:t>
      </w:r>
      <w:r>
        <w:rPr>
          <w:rFonts w:ascii="Arial" w:hAnsi="Arial"/>
          <w:b/>
          <w:sz w:val="15"/>
        </w:rPr>
        <w:t>Two-stage</w:t>
      </w:r>
      <w:r>
        <w:rPr>
          <w:rFonts w:ascii="Arial" w:hAnsi="Arial"/>
          <w:b/>
          <w:spacing w:val="-8"/>
          <w:sz w:val="15"/>
        </w:rPr>
        <w:t> </w:t>
      </w:r>
      <w:r>
        <w:rPr>
          <w:rFonts w:ascii="Arial" w:hAnsi="Arial"/>
          <w:b/>
          <w:sz w:val="15"/>
        </w:rPr>
        <w:t>model;</w:t>
      </w:r>
      <w:r>
        <w:rPr>
          <w:rFonts w:ascii="Arial" w:hAnsi="Arial"/>
          <w:b/>
          <w:spacing w:val="-8"/>
          <w:sz w:val="15"/>
        </w:rPr>
        <w:t> </w:t>
      </w:r>
      <w:r>
        <w:rPr>
          <w:rFonts w:ascii="Arial" w:hAnsi="Arial"/>
          <w:b/>
          <w:sz w:val="15"/>
        </w:rPr>
        <w:t>one</w:t>
      </w:r>
      <w:r>
        <w:rPr>
          <w:rFonts w:ascii="Arial" w:hAnsi="Arial"/>
          <w:b/>
          <w:spacing w:val="-8"/>
          <w:sz w:val="15"/>
        </w:rPr>
        <w:t> </w:t>
      </w:r>
      <w:r>
        <w:rPr>
          <w:rFonts w:ascii="Arial" w:hAnsi="Arial"/>
          <w:b/>
          <w:sz w:val="15"/>
        </w:rPr>
        <w:t>delivered</w:t>
      </w:r>
      <w:r>
        <w:rPr>
          <w:rFonts w:ascii="Arial" w:hAnsi="Arial"/>
          <w:b/>
          <w:spacing w:val="-8"/>
          <w:sz w:val="15"/>
        </w:rPr>
        <w:t> </w:t>
      </w:r>
      <w:r>
        <w:rPr>
          <w:rFonts w:ascii="Arial" w:hAnsi="Arial"/>
          <w:b/>
          <w:sz w:val="15"/>
        </w:rPr>
        <w:t>item</w:t>
      </w:r>
      <w:r>
        <w:rPr>
          <w:rFonts w:ascii="Arial" w:hAnsi="Arial"/>
          <w:b/>
          <w:spacing w:val="-8"/>
          <w:sz w:val="15"/>
        </w:rPr>
        <w:t> </w:t>
      </w:r>
      <w:r>
        <w:rPr>
          <w:rFonts w:ascii="Arial" w:hAnsi="Arial"/>
          <w:b/>
          <w:sz w:val="15"/>
        </w:rPr>
        <w:t>line</w:t>
      </w:r>
      <w:r>
        <w:rPr>
          <w:sz w:val="15"/>
        </w:rPr>
        <w:t>,</w:t>
      </w:r>
      <w:r>
        <w:rPr>
          <w:spacing w:val="-8"/>
          <w:sz w:val="15"/>
        </w:rPr>
        <w:t> </w:t>
      </w:r>
      <w:r>
        <w:rPr>
          <w:sz w:val="15"/>
        </w:rPr>
        <w:t>with</w:t>
      </w:r>
      <w:r>
        <w:rPr>
          <w:spacing w:val="-8"/>
          <w:sz w:val="15"/>
        </w:rPr>
        <w:t> </w:t>
      </w:r>
      <w:r>
        <w:rPr>
          <w:sz w:val="15"/>
        </w:rPr>
        <w:t>an</w:t>
      </w:r>
      <w:r>
        <w:rPr>
          <w:spacing w:val="-8"/>
          <w:sz w:val="15"/>
        </w:rPr>
        <w:t> </w:t>
      </w:r>
      <w:r>
        <w:rPr>
          <w:sz w:val="15"/>
        </w:rPr>
        <w:t>explicit</w:t>
      </w:r>
      <w:r>
        <w:rPr>
          <w:spacing w:val="-8"/>
          <w:sz w:val="15"/>
        </w:rPr>
        <w:t> </w:t>
      </w:r>
      <w:r>
        <w:rPr>
          <w:sz w:val="15"/>
        </w:rPr>
        <w:t>order-level</w:t>
      </w:r>
      <w:r>
        <w:rPr>
          <w:spacing w:val="-8"/>
          <w:sz w:val="15"/>
        </w:rPr>
        <w:t> </w:t>
      </w:r>
      <w:r>
        <w:rPr>
          <w:sz w:val="15"/>
        </w:rPr>
        <w:t>consolidation</w:t>
      </w:r>
      <w:r>
        <w:rPr>
          <w:spacing w:val="-8"/>
          <w:sz w:val="15"/>
        </w:rPr>
        <w:t> </w:t>
      </w:r>
      <w:r>
        <w:rPr>
          <w:sz w:val="15"/>
        </w:rPr>
        <w:t>step</w:t>
      </w:r>
      <w:r>
        <w:rPr>
          <w:spacing w:val="-8"/>
          <w:sz w:val="15"/>
        </w:rPr>
        <w:t> </w:t>
      </w:r>
      <w:r>
        <w:rPr>
          <w:sz w:val="15"/>
        </w:rPr>
        <w:t>for</w:t>
      </w:r>
      <w:r>
        <w:rPr>
          <w:spacing w:val="-8"/>
          <w:sz w:val="15"/>
        </w:rPr>
        <w:t> </w:t>
      </w:r>
      <w:r>
        <w:rPr>
          <w:sz w:val="15"/>
        </w:rPr>
        <w:t>the</w:t>
      </w:r>
      <w:r>
        <w:rPr>
          <w:spacing w:val="-8"/>
          <w:sz w:val="15"/>
        </w:rPr>
        <w:t> </w:t>
      </w:r>
      <w:r>
        <w:rPr>
          <w:sz w:val="15"/>
        </w:rPr>
        <w:t>action.</w:t>
      </w:r>
      <w:r>
        <w:rPr>
          <w:spacing w:val="-8"/>
          <w:sz w:val="15"/>
        </w:rPr>
        <w:t> </w:t>
      </w:r>
      <w:r>
        <w:rPr>
          <w:sz w:val="15"/>
        </w:rPr>
        <w:t>Stage</w:t>
      </w:r>
      <w:r>
        <w:rPr>
          <w:spacing w:val="-8"/>
          <w:sz w:val="15"/>
        </w:rPr>
        <w:t> </w:t>
      </w:r>
      <w:r>
        <w:rPr>
          <w:sz w:val="15"/>
        </w:rPr>
        <w:t>A:</w:t>
      </w:r>
      <w:r>
        <w:rPr>
          <w:spacing w:val="-8"/>
          <w:sz w:val="15"/>
        </w:rPr>
        <w:t> </w:t>
      </w:r>
      <w:r>
        <w:rPr>
          <w:sz w:val="15"/>
        </w:rPr>
        <w:t>a review within 30 days of delivery (reuse MLQ-2). Stage B: ordinal rating 1–5 conditional on a review arriving in that </w:t>
      </w:r>
      <w:r>
        <w:rPr>
          <w:rFonts w:ascii="Arial" w:hAnsi="Arial"/>
          <w:b/>
          <w:sz w:val="15"/>
        </w:rPr>
        <w:t>same 30-day delivery window</w:t>
      </w:r>
      <w:r>
        <w:rPr>
          <w:sz w:val="15"/>
        </w:rPr>
        <w:t>.</w:t>
      </w:r>
    </w:p>
    <w:p>
      <w:pPr>
        <w:spacing w:line="254" w:lineRule="auto" w:before="74"/>
        <w:ind w:left="10" w:right="0" w:firstLine="0"/>
        <w:jc w:val="left"/>
        <w:rPr>
          <w:sz w:val="15"/>
          <w:szCs w:val="15"/>
        </w:rPr>
      </w:pPr>
      <w:r>
        <w:rPr>
          <w:rFonts w:ascii="Arial" w:hAnsi="Arial" w:cs="Arial" w:eastAsia="Arial"/>
          <w:b/>
          <w:bCs/>
          <w:sz w:val="15"/>
          <w:szCs w:val="15"/>
        </w:rPr>
        <w:t>Target</w:t>
      </w:r>
      <w:r>
        <w:rPr>
          <w:rFonts w:ascii="Arial" w:hAnsi="Arial" w:cs="Arial" w:eastAsia="Arial"/>
          <w:b/>
          <w:bCs/>
          <w:spacing w:val="-8"/>
          <w:sz w:val="15"/>
          <w:szCs w:val="15"/>
        </w:rPr>
        <w:t> </w:t>
      </w:r>
      <w:r>
        <w:rPr>
          <w:rFonts w:ascii="Arial" w:hAnsi="Arial" w:cs="Arial" w:eastAsia="Arial"/>
          <w:b/>
          <w:bCs/>
          <w:sz w:val="15"/>
          <w:szCs w:val="15"/>
        </w:rPr>
        <w:t>or</w:t>
      </w:r>
      <w:r>
        <w:rPr>
          <w:rFonts w:ascii="Arial" w:hAnsi="Arial" w:cs="Arial" w:eastAsia="Arial"/>
          <w:b/>
          <w:bCs/>
          <w:spacing w:val="-8"/>
          <w:sz w:val="15"/>
          <w:szCs w:val="15"/>
        </w:rPr>
        <w:t> </w:t>
      </w:r>
      <w:r>
        <w:rPr>
          <w:rFonts w:ascii="Arial" w:hAnsi="Arial" w:cs="Arial" w:eastAsia="Arial"/>
          <w:b/>
          <w:bCs/>
          <w:sz w:val="15"/>
          <w:szCs w:val="15"/>
        </w:rPr>
        <w:t>unsupervised</w:t>
      </w:r>
      <w:r>
        <w:rPr>
          <w:rFonts w:ascii="Arial" w:hAnsi="Arial" w:cs="Arial" w:eastAsia="Arial"/>
          <w:b/>
          <w:bCs/>
          <w:spacing w:val="-8"/>
          <w:sz w:val="15"/>
          <w:szCs w:val="15"/>
        </w:rPr>
        <w:t> </w:t>
      </w:r>
      <w:r>
        <w:rPr>
          <w:rFonts w:ascii="Arial" w:hAnsi="Arial" w:cs="Arial" w:eastAsia="Arial"/>
          <w:b/>
          <w:bCs/>
          <w:sz w:val="15"/>
          <w:szCs w:val="15"/>
        </w:rPr>
        <w:t>objective:</w:t>
      </w:r>
      <w:r>
        <w:rPr>
          <w:rFonts w:ascii="Arial" w:hAnsi="Arial" w:cs="Arial" w:eastAsia="Arial"/>
          <w:b/>
          <w:bCs/>
          <w:spacing w:val="-8"/>
          <w:sz w:val="15"/>
          <w:szCs w:val="15"/>
        </w:rPr>
        <w:t> </w:t>
      </w:r>
      <w:r>
        <w:rPr>
          <w:sz w:val="15"/>
          <w:szCs w:val="15"/>
        </w:rPr>
        <w:t>Stage</w:t>
      </w:r>
      <w:r>
        <w:rPr>
          <w:spacing w:val="-8"/>
          <w:sz w:val="15"/>
          <w:szCs w:val="15"/>
        </w:rPr>
        <w:t> </w:t>
      </w:r>
      <w:r>
        <w:rPr>
          <w:sz w:val="15"/>
          <w:szCs w:val="15"/>
        </w:rPr>
        <w:t>B:</w:t>
      </w:r>
      <w:r>
        <w:rPr>
          <w:spacing w:val="-8"/>
          <w:sz w:val="15"/>
          <w:szCs w:val="15"/>
        </w:rPr>
        <w:t> </w:t>
      </w:r>
      <w:r>
        <w:rPr>
          <w:sz w:val="15"/>
          <w:szCs w:val="15"/>
        </w:rPr>
        <w:t>the</w:t>
      </w:r>
      <w:r>
        <w:rPr>
          <w:spacing w:val="-8"/>
          <w:sz w:val="15"/>
          <w:szCs w:val="15"/>
        </w:rPr>
        <w:t> </w:t>
      </w:r>
      <w:r>
        <w:rPr>
          <w:sz w:val="15"/>
          <w:szCs w:val="15"/>
        </w:rPr>
        <w:t>ordinal</w:t>
      </w:r>
      <w:r>
        <w:rPr>
          <w:spacing w:val="-8"/>
          <w:sz w:val="15"/>
          <w:szCs w:val="15"/>
        </w:rPr>
        <w:t> </w:t>
      </w:r>
      <w:r>
        <w:rPr>
          <w:sz w:val="15"/>
          <w:szCs w:val="15"/>
        </w:rPr>
        <w:t>rating,</w:t>
      </w:r>
      <w:r>
        <w:rPr>
          <w:spacing w:val="-8"/>
          <w:sz w:val="15"/>
          <w:szCs w:val="15"/>
        </w:rPr>
        <w:t> </w:t>
      </w:r>
      <w:r>
        <w:rPr>
          <w:sz w:val="15"/>
          <w:szCs w:val="15"/>
        </w:rPr>
        <w:t>preserving</w:t>
      </w:r>
      <w:r>
        <w:rPr>
          <w:spacing w:val="-8"/>
          <w:sz w:val="15"/>
          <w:szCs w:val="15"/>
        </w:rPr>
        <w:t> </w:t>
      </w:r>
      <w:r>
        <w:rPr>
          <w:sz w:val="15"/>
          <w:szCs w:val="15"/>
        </w:rPr>
        <w:t>1–5</w:t>
      </w:r>
      <w:r>
        <w:rPr>
          <w:spacing w:val="-8"/>
          <w:sz w:val="15"/>
          <w:szCs w:val="15"/>
        </w:rPr>
        <w:t> </w:t>
      </w:r>
      <w:r>
        <w:rPr>
          <w:sz w:val="15"/>
          <w:szCs w:val="15"/>
        </w:rPr>
        <w:t>distinctions.</w:t>
      </w:r>
      <w:r>
        <w:rPr>
          <w:spacing w:val="-8"/>
          <w:sz w:val="15"/>
          <w:szCs w:val="15"/>
        </w:rPr>
        <w:t> </w:t>
      </w:r>
      <w:r>
        <w:rPr>
          <w:sz w:val="15"/>
          <w:szCs w:val="15"/>
        </w:rPr>
        <w:t>Item-line</w:t>
      </w:r>
      <w:r>
        <w:rPr>
          <w:spacing w:val="-8"/>
          <w:sz w:val="15"/>
          <w:szCs w:val="15"/>
        </w:rPr>
        <w:t> </w:t>
      </w:r>
      <w:r>
        <w:rPr>
          <w:sz w:val="15"/>
          <w:szCs w:val="15"/>
        </w:rPr>
        <w:t>joint</w:t>
      </w:r>
      <w:r>
        <w:rPr>
          <w:spacing w:val="-8"/>
          <w:sz w:val="15"/>
          <w:szCs w:val="15"/>
        </w:rPr>
        <w:t> </w:t>
      </w:r>
      <w:r>
        <w:rPr>
          <w:sz w:val="15"/>
          <w:szCs w:val="15"/>
        </w:rPr>
        <w:t>risk:</w:t>
      </w:r>
      <w:r>
        <w:rPr>
          <w:spacing w:val="-8"/>
          <w:sz w:val="15"/>
          <w:szCs w:val="15"/>
        </w:rPr>
        <w:t> </w:t>
      </w:r>
      <w:r>
        <w:rPr>
          <w:sz w:val="15"/>
          <w:szCs w:val="15"/>
        </w:rPr>
        <w:t>P(observed</w:t>
      </w:r>
      <w:r>
        <w:rPr>
          <w:spacing w:val="-8"/>
          <w:sz w:val="15"/>
          <w:szCs w:val="15"/>
        </w:rPr>
        <w:t> </w:t>
      </w:r>
      <w:r>
        <w:rPr>
          <w:sz w:val="15"/>
          <w:szCs w:val="15"/>
        </w:rPr>
        <w:t>≤2-star</w:t>
      </w:r>
      <w:r>
        <w:rPr>
          <w:spacing w:val="-8"/>
          <w:sz w:val="15"/>
          <w:szCs w:val="15"/>
        </w:rPr>
        <w:t> </w:t>
      </w:r>
      <w:r>
        <w:rPr>
          <w:sz w:val="15"/>
          <w:szCs w:val="15"/>
        </w:rPr>
        <w:t>review</w:t>
      </w:r>
      <w:r>
        <w:rPr>
          <w:spacing w:val="-8"/>
          <w:sz w:val="15"/>
          <w:szCs w:val="15"/>
        </w:rPr>
        <w:t> </w:t>
      </w:r>
      <w:r>
        <w:rPr>
          <w:sz w:val="15"/>
          <w:szCs w:val="15"/>
        </w:rPr>
        <w:t>within</w:t>
      </w:r>
      <w:r>
        <w:rPr>
          <w:spacing w:val="-8"/>
          <w:sz w:val="15"/>
          <w:szCs w:val="15"/>
        </w:rPr>
        <w:t> </w:t>
      </w:r>
      <w:r>
        <w:rPr>
          <w:sz w:val="15"/>
          <w:szCs w:val="15"/>
        </w:rPr>
        <w:t>30</w:t>
      </w:r>
      <w:r>
        <w:rPr>
          <w:spacing w:val="-8"/>
          <w:sz w:val="15"/>
          <w:szCs w:val="15"/>
        </w:rPr>
        <w:t> </w:t>
      </w:r>
      <w:r>
        <w:rPr>
          <w:sz w:val="15"/>
          <w:szCs w:val="15"/>
        </w:rPr>
        <w:t>days</w:t>
      </w:r>
      <w:r>
        <w:rPr>
          <w:spacing w:val="-8"/>
          <w:sz w:val="15"/>
          <w:szCs w:val="15"/>
        </w:rPr>
        <w:t> </w:t>
      </w:r>
      <w:r>
        <w:rPr>
          <w:sz w:val="15"/>
          <w:szCs w:val="15"/>
        </w:rPr>
        <w:t>of delivery | X) = P(review within 30 days | X) × P(rating ≤ 2 | review within 30 days, X). Consolidate to the order only through a stated rule: summed item probabilities</w:t>
      </w:r>
      <w:r>
        <w:rPr>
          <w:spacing w:val="-11"/>
          <w:sz w:val="15"/>
          <w:szCs w:val="15"/>
        </w:rPr>
        <w:t> </w:t>
      </w:r>
      <w:r>
        <w:rPr>
          <w:sz w:val="15"/>
          <w:szCs w:val="15"/>
        </w:rPr>
        <w:t>estimate</w:t>
      </w:r>
      <w:r>
        <w:rPr>
          <w:spacing w:val="-10"/>
          <w:sz w:val="15"/>
          <w:szCs w:val="15"/>
        </w:rPr>
        <w:t> </w:t>
      </w:r>
      <w:r>
        <w:rPr>
          <w:sz w:val="15"/>
          <w:szCs w:val="15"/>
        </w:rPr>
        <w:t>an</w:t>
      </w:r>
      <w:r>
        <w:rPr>
          <w:spacing w:val="-10"/>
          <w:sz w:val="15"/>
          <w:szCs w:val="15"/>
        </w:rPr>
        <w:t> </w:t>
      </w:r>
      <w:r>
        <w:rPr>
          <w:rFonts w:ascii="Arial" w:hAnsi="Arial" w:cs="Arial" w:eastAsia="Arial"/>
          <w:b/>
          <w:bCs/>
          <w:sz w:val="15"/>
          <w:szCs w:val="15"/>
        </w:rPr>
        <w:t>expected</w:t>
      </w:r>
      <w:r>
        <w:rPr>
          <w:rFonts w:ascii="Arial" w:hAnsi="Arial" w:cs="Arial" w:eastAsia="Arial"/>
          <w:b/>
          <w:bCs/>
          <w:spacing w:val="-11"/>
          <w:sz w:val="15"/>
          <w:szCs w:val="15"/>
        </w:rPr>
        <w:t> </w:t>
      </w:r>
      <w:r>
        <w:rPr>
          <w:rFonts w:ascii="Arial" w:hAnsi="Arial" w:cs="Arial" w:eastAsia="Arial"/>
          <w:b/>
          <w:bCs/>
          <w:sz w:val="15"/>
          <w:szCs w:val="15"/>
        </w:rPr>
        <w:t>count</w:t>
      </w:r>
      <w:r>
        <w:rPr>
          <w:sz w:val="15"/>
          <w:szCs w:val="15"/>
        </w:rPr>
        <w:t>,</w:t>
      </w:r>
      <w:r>
        <w:rPr>
          <w:spacing w:val="-10"/>
          <w:sz w:val="15"/>
          <w:szCs w:val="15"/>
        </w:rPr>
        <w:t> </w:t>
      </w:r>
      <w:r>
        <w:rPr>
          <w:sz w:val="15"/>
          <w:szCs w:val="15"/>
        </w:rPr>
        <w:t>while</w:t>
      </w:r>
      <w:r>
        <w:rPr>
          <w:spacing w:val="-10"/>
          <w:sz w:val="15"/>
          <w:szCs w:val="15"/>
        </w:rPr>
        <w:t> </w:t>
      </w:r>
      <w:r>
        <w:rPr>
          <w:sz w:val="15"/>
          <w:szCs w:val="15"/>
        </w:rPr>
        <w:t>1</w:t>
      </w:r>
      <w:r>
        <w:rPr>
          <w:spacing w:val="-11"/>
          <w:sz w:val="15"/>
          <w:szCs w:val="15"/>
        </w:rPr>
        <w:t> </w:t>
      </w:r>
      <w:r>
        <w:rPr>
          <w:w w:val="95"/>
          <w:sz w:val="15"/>
          <w:szCs w:val="15"/>
        </w:rPr>
        <w:t>−</w:t>
      </w:r>
      <w:r>
        <w:rPr>
          <w:spacing w:val="-8"/>
          <w:w w:val="95"/>
          <w:sz w:val="15"/>
          <w:szCs w:val="15"/>
        </w:rPr>
        <w:t> </w:t>
      </w:r>
      <w:r>
        <w:rPr>
          <w:sz w:val="15"/>
          <w:szCs w:val="15"/>
        </w:rPr>
        <w:t>∏(1</w:t>
      </w:r>
      <w:r>
        <w:rPr>
          <w:spacing w:val="-10"/>
          <w:sz w:val="15"/>
          <w:szCs w:val="15"/>
        </w:rPr>
        <w:t> </w:t>
      </w:r>
      <w:r>
        <w:rPr>
          <w:w w:val="95"/>
          <w:sz w:val="15"/>
          <w:szCs w:val="15"/>
        </w:rPr>
        <w:t>−</w:t>
      </w:r>
      <w:r>
        <w:rPr>
          <w:spacing w:val="-9"/>
          <w:w w:val="95"/>
          <w:sz w:val="15"/>
          <w:szCs w:val="15"/>
        </w:rPr>
        <w:t> </w:t>
      </w:r>
      <w:r>
        <w:rPr>
          <w:w w:val="95"/>
          <w:sz w:val="15"/>
          <w:szCs w:val="15"/>
        </w:rPr>
        <w:t>pᵢ)</w:t>
      </w:r>
      <w:r>
        <w:rPr>
          <w:spacing w:val="-8"/>
          <w:w w:val="95"/>
          <w:sz w:val="15"/>
          <w:szCs w:val="15"/>
        </w:rPr>
        <w:t> </w:t>
      </w:r>
      <w:r>
        <w:rPr>
          <w:sz w:val="15"/>
          <w:szCs w:val="15"/>
        </w:rPr>
        <w:t>assumes</w:t>
      </w:r>
      <w:r>
        <w:rPr>
          <w:spacing w:val="-10"/>
          <w:sz w:val="15"/>
          <w:szCs w:val="15"/>
        </w:rPr>
        <w:t> </w:t>
      </w:r>
      <w:r>
        <w:rPr>
          <w:sz w:val="15"/>
          <w:szCs w:val="15"/>
        </w:rPr>
        <w:t>conditional</w:t>
      </w:r>
      <w:r>
        <w:rPr>
          <w:spacing w:val="-11"/>
          <w:sz w:val="15"/>
          <w:szCs w:val="15"/>
        </w:rPr>
        <w:t> </w:t>
      </w:r>
      <w:r>
        <w:rPr>
          <w:sz w:val="15"/>
          <w:szCs w:val="15"/>
        </w:rPr>
        <w:t>independence</w:t>
      </w:r>
      <w:r>
        <w:rPr>
          <w:spacing w:val="-10"/>
          <w:sz w:val="15"/>
          <w:szCs w:val="15"/>
        </w:rPr>
        <w:t> </w:t>
      </w:r>
      <w:r>
        <w:rPr>
          <w:sz w:val="15"/>
          <w:szCs w:val="15"/>
        </w:rPr>
        <w:t>and</w:t>
      </w:r>
      <w:r>
        <w:rPr>
          <w:spacing w:val="-10"/>
          <w:sz w:val="15"/>
          <w:szCs w:val="15"/>
        </w:rPr>
        <w:t> </w:t>
      </w:r>
      <w:r>
        <w:rPr>
          <w:sz w:val="15"/>
          <w:szCs w:val="15"/>
        </w:rPr>
        <w:t>must</w:t>
      </w:r>
      <w:r>
        <w:rPr>
          <w:spacing w:val="-11"/>
          <w:sz w:val="15"/>
          <w:szCs w:val="15"/>
        </w:rPr>
        <w:t> </w:t>
      </w:r>
      <w:r>
        <w:rPr>
          <w:sz w:val="15"/>
          <w:szCs w:val="15"/>
        </w:rPr>
        <w:t>be</w:t>
      </w:r>
      <w:r>
        <w:rPr>
          <w:spacing w:val="-10"/>
          <w:sz w:val="15"/>
          <w:szCs w:val="15"/>
        </w:rPr>
        <w:t> </w:t>
      </w:r>
      <w:r>
        <w:rPr>
          <w:sz w:val="15"/>
          <w:szCs w:val="15"/>
        </w:rPr>
        <w:t>justified,</w:t>
      </w:r>
      <w:r>
        <w:rPr>
          <w:spacing w:val="-10"/>
          <w:sz w:val="15"/>
          <w:szCs w:val="15"/>
        </w:rPr>
        <w:t> </w:t>
      </w:r>
      <w:r>
        <w:rPr>
          <w:sz w:val="15"/>
          <w:szCs w:val="15"/>
        </w:rPr>
        <w:t>not</w:t>
      </w:r>
      <w:r>
        <w:rPr>
          <w:spacing w:val="-11"/>
          <w:sz w:val="15"/>
          <w:szCs w:val="15"/>
        </w:rPr>
        <w:t> </w:t>
      </w:r>
      <w:r>
        <w:rPr>
          <w:sz w:val="15"/>
          <w:szCs w:val="15"/>
        </w:rPr>
        <w:t>adopted</w:t>
      </w:r>
      <w:r>
        <w:rPr>
          <w:spacing w:val="-10"/>
          <w:sz w:val="15"/>
          <w:szCs w:val="15"/>
        </w:rPr>
        <w:t> </w:t>
      </w:r>
      <w:r>
        <w:rPr>
          <w:sz w:val="15"/>
          <w:szCs w:val="15"/>
        </w:rPr>
        <w:t>silently.</w:t>
      </w:r>
    </w:p>
    <w:p>
      <w:pPr>
        <w:spacing w:line="254" w:lineRule="auto" w:before="73"/>
        <w:ind w:left="10" w:right="8" w:firstLine="0"/>
        <w:jc w:val="left"/>
        <w:rPr>
          <w:sz w:val="15"/>
        </w:rPr>
      </w:pPr>
      <w:r>
        <w:rPr>
          <w:rFonts w:ascii="Arial"/>
          <w:b/>
          <w:sz w:val="15"/>
        </w:rPr>
        <w:t>Decision-time</w:t>
      </w:r>
      <w:r>
        <w:rPr>
          <w:rFonts w:ascii="Arial"/>
          <w:b/>
          <w:spacing w:val="-1"/>
          <w:sz w:val="15"/>
        </w:rPr>
        <w:t> </w:t>
      </w:r>
      <w:r>
        <w:rPr>
          <w:rFonts w:ascii="Arial"/>
          <w:b/>
          <w:sz w:val="15"/>
        </w:rPr>
        <w:t>predictors:</w:t>
      </w:r>
      <w:r>
        <w:rPr>
          <w:rFonts w:ascii="Arial"/>
          <w:b/>
          <w:spacing w:val="-1"/>
          <w:sz w:val="15"/>
        </w:rPr>
        <w:t> </w:t>
      </w:r>
      <w:r>
        <w:rPr>
          <w:sz w:val="15"/>
        </w:rPr>
        <w:t>Metadata</w:t>
      </w:r>
      <w:r>
        <w:rPr>
          <w:spacing w:val="-1"/>
          <w:sz w:val="15"/>
        </w:rPr>
        <w:t> </w:t>
      </w:r>
      <w:r>
        <w:rPr>
          <w:sz w:val="15"/>
        </w:rPr>
        <w:t>available</w:t>
      </w:r>
      <w:r>
        <w:rPr>
          <w:spacing w:val="-1"/>
          <w:sz w:val="15"/>
        </w:rPr>
        <w:t> </w:t>
      </w:r>
      <w:r>
        <w:rPr>
          <w:sz w:val="15"/>
        </w:rPr>
        <w:t>at</w:t>
      </w:r>
      <w:r>
        <w:rPr>
          <w:spacing w:val="-1"/>
          <w:sz w:val="15"/>
        </w:rPr>
        <w:t> </w:t>
      </w:r>
      <w:r>
        <w:rPr>
          <w:sz w:val="15"/>
        </w:rPr>
        <w:t>delivery</w:t>
      </w:r>
      <w:r>
        <w:rPr>
          <w:spacing w:val="-1"/>
          <w:sz w:val="15"/>
        </w:rPr>
        <w:t> </w:t>
      </w:r>
      <w:r>
        <w:rPr>
          <w:sz w:val="15"/>
        </w:rPr>
        <w:t>only</w:t>
      </w:r>
      <w:r>
        <w:rPr>
          <w:spacing w:val="-1"/>
          <w:sz w:val="15"/>
        </w:rPr>
        <w:t> </w:t>
      </w:r>
      <w:r>
        <w:rPr>
          <w:sz w:val="15"/>
        </w:rPr>
        <w:t>-</w:t>
      </w:r>
      <w:r>
        <w:rPr>
          <w:spacing w:val="-1"/>
          <w:sz w:val="15"/>
        </w:rPr>
        <w:t> </w:t>
      </w:r>
      <w:r>
        <w:rPr>
          <w:sz w:val="15"/>
        </w:rPr>
        <w:t>item</w:t>
      </w:r>
      <w:r>
        <w:rPr>
          <w:spacing w:val="-1"/>
          <w:sz w:val="15"/>
        </w:rPr>
        <w:t> </w:t>
      </w:r>
      <w:r>
        <w:rPr>
          <w:sz w:val="15"/>
        </w:rPr>
        <w:t>price,</w:t>
      </w:r>
      <w:r>
        <w:rPr>
          <w:spacing w:val="-1"/>
          <w:sz w:val="15"/>
        </w:rPr>
        <w:t> </w:t>
      </w:r>
      <w:r>
        <w:rPr>
          <w:sz w:val="15"/>
        </w:rPr>
        <w:t>category,</w:t>
      </w:r>
      <w:r>
        <w:rPr>
          <w:spacing w:val="-1"/>
          <w:sz w:val="15"/>
        </w:rPr>
        <w:t> </w:t>
      </w:r>
      <w:r>
        <w:rPr>
          <w:sz w:val="15"/>
        </w:rPr>
        <w:t>quantity,</w:t>
      </w:r>
      <w:r>
        <w:rPr>
          <w:spacing w:val="-1"/>
          <w:sz w:val="15"/>
        </w:rPr>
        <w:t> </w:t>
      </w:r>
      <w:r>
        <w:rPr>
          <w:sz w:val="15"/>
        </w:rPr>
        <w:t>basket</w:t>
      </w:r>
      <w:r>
        <w:rPr>
          <w:spacing w:val="-1"/>
          <w:sz w:val="15"/>
        </w:rPr>
        <w:t> </w:t>
      </w:r>
      <w:r>
        <w:rPr>
          <w:sz w:val="15"/>
        </w:rPr>
        <w:t>line</w:t>
      </w:r>
      <w:r>
        <w:rPr>
          <w:spacing w:val="-1"/>
          <w:sz w:val="15"/>
        </w:rPr>
        <w:t> </w:t>
      </w:r>
      <w:r>
        <w:rPr>
          <w:sz w:val="15"/>
        </w:rPr>
        <w:t>count,</w:t>
      </w:r>
      <w:r>
        <w:rPr>
          <w:spacing w:val="-1"/>
          <w:sz w:val="15"/>
        </w:rPr>
        <w:t> </w:t>
      </w:r>
      <w:r>
        <w:rPr>
          <w:sz w:val="15"/>
        </w:rPr>
        <w:t>paid</w:t>
      </w:r>
      <w:r>
        <w:rPr>
          <w:spacing w:val="-1"/>
          <w:sz w:val="15"/>
        </w:rPr>
        <w:t> </w:t>
      </w:r>
      <w:r>
        <w:rPr>
          <w:sz w:val="15"/>
        </w:rPr>
        <w:t>order</w:t>
      </w:r>
      <w:r>
        <w:rPr>
          <w:spacing w:val="-1"/>
          <w:sz w:val="15"/>
        </w:rPr>
        <w:t> </w:t>
      </w:r>
      <w:r>
        <w:rPr>
          <w:sz w:val="15"/>
        </w:rPr>
        <w:t>value,</w:t>
      </w:r>
      <w:r>
        <w:rPr>
          <w:spacing w:val="-1"/>
          <w:sz w:val="15"/>
        </w:rPr>
        <w:t> </w:t>
      </w:r>
      <w:r>
        <w:rPr>
          <w:sz w:val="15"/>
        </w:rPr>
        <w:t>service</w:t>
      </w:r>
      <w:r>
        <w:rPr>
          <w:spacing w:val="-1"/>
          <w:sz w:val="15"/>
        </w:rPr>
        <w:t> </w:t>
      </w:r>
      <w:r>
        <w:rPr>
          <w:sz w:val="15"/>
        </w:rPr>
        <w:t>level,</w:t>
      </w:r>
      <w:r>
        <w:rPr>
          <w:spacing w:val="-1"/>
          <w:sz w:val="15"/>
        </w:rPr>
        <w:t> </w:t>
      </w:r>
      <w:r>
        <w:rPr>
          <w:sz w:val="15"/>
        </w:rPr>
        <w:t>recorded warehouse, OTIF outcome. </w:t>
      </w:r>
      <w:r>
        <w:rPr>
          <w:rFonts w:ascii="Arial"/>
          <w:b/>
          <w:sz w:val="15"/>
        </w:rPr>
        <w:t>Exclude the rating, the co-reported value-experience label, review text and helpful votes </w:t>
      </w:r>
      <w:r>
        <w:rPr>
          <w:sz w:val="15"/>
        </w:rPr>
        <w:t>(all recorded at or after the review).</w:t>
      </w:r>
      <w:r>
        <w:rPr>
          <w:spacing w:val="-8"/>
          <w:sz w:val="15"/>
        </w:rPr>
        <w:t> </w:t>
      </w:r>
      <w:r>
        <w:rPr>
          <w:sz w:val="15"/>
        </w:rPr>
        <w:t>Any</w:t>
      </w:r>
      <w:r>
        <w:rPr>
          <w:spacing w:val="-8"/>
          <w:sz w:val="15"/>
        </w:rPr>
        <w:t> </w:t>
      </w:r>
      <w:r>
        <w:rPr>
          <w:sz w:val="15"/>
        </w:rPr>
        <w:t>language</w:t>
      </w:r>
      <w:r>
        <w:rPr>
          <w:spacing w:val="-8"/>
          <w:sz w:val="15"/>
        </w:rPr>
        <w:t> </w:t>
      </w:r>
      <w:r>
        <w:rPr>
          <w:sz w:val="15"/>
        </w:rPr>
        <w:t>feature</w:t>
      </w:r>
      <w:r>
        <w:rPr>
          <w:spacing w:val="-8"/>
          <w:sz w:val="15"/>
        </w:rPr>
        <w:t> </w:t>
      </w:r>
      <w:r>
        <w:rPr>
          <w:sz w:val="15"/>
        </w:rPr>
        <w:t>is</w:t>
      </w:r>
      <w:r>
        <w:rPr>
          <w:spacing w:val="-8"/>
          <w:sz w:val="15"/>
        </w:rPr>
        <w:t> </w:t>
      </w:r>
      <w:r>
        <w:rPr>
          <w:sz w:val="15"/>
        </w:rPr>
        <w:t>retrospective</w:t>
      </w:r>
      <w:r>
        <w:rPr>
          <w:spacing w:val="-8"/>
          <w:sz w:val="15"/>
        </w:rPr>
        <w:t> </w:t>
      </w:r>
      <w:r>
        <w:rPr>
          <w:sz w:val="15"/>
        </w:rPr>
        <w:t>among</w:t>
      </w:r>
      <w:r>
        <w:rPr>
          <w:spacing w:val="-8"/>
          <w:sz w:val="15"/>
        </w:rPr>
        <w:t> </w:t>
      </w:r>
      <w:r>
        <w:rPr>
          <w:sz w:val="15"/>
        </w:rPr>
        <w:t>observed</w:t>
      </w:r>
      <w:r>
        <w:rPr>
          <w:spacing w:val="-8"/>
          <w:sz w:val="15"/>
        </w:rPr>
        <w:t> </w:t>
      </w:r>
      <w:r>
        <w:rPr>
          <w:sz w:val="15"/>
        </w:rPr>
        <w:t>reviews</w:t>
      </w:r>
      <w:r>
        <w:rPr>
          <w:spacing w:val="-8"/>
          <w:sz w:val="15"/>
        </w:rPr>
        <w:t> </w:t>
      </w:r>
      <w:r>
        <w:rPr>
          <w:sz w:val="15"/>
        </w:rPr>
        <w:t>unless</w:t>
      </w:r>
      <w:r>
        <w:rPr>
          <w:spacing w:val="-8"/>
          <w:sz w:val="15"/>
        </w:rPr>
        <w:t> </w:t>
      </w:r>
      <w:r>
        <w:rPr>
          <w:sz w:val="15"/>
        </w:rPr>
        <w:t>a</w:t>
      </w:r>
      <w:r>
        <w:rPr>
          <w:spacing w:val="-8"/>
          <w:sz w:val="15"/>
        </w:rPr>
        <w:t> </w:t>
      </w:r>
      <w:r>
        <w:rPr>
          <w:sz w:val="15"/>
        </w:rPr>
        <w:t>pre-existing</w:t>
      </w:r>
      <w:r>
        <w:rPr>
          <w:spacing w:val="-8"/>
          <w:sz w:val="15"/>
        </w:rPr>
        <w:t> </w:t>
      </w:r>
      <w:r>
        <w:rPr>
          <w:sz w:val="15"/>
        </w:rPr>
        <w:t>customer</w:t>
      </w:r>
      <w:r>
        <w:rPr>
          <w:spacing w:val="-8"/>
          <w:sz w:val="15"/>
        </w:rPr>
        <w:t> </w:t>
      </w:r>
      <w:r>
        <w:rPr>
          <w:sz w:val="15"/>
        </w:rPr>
        <w:t>language</w:t>
      </w:r>
      <w:r>
        <w:rPr>
          <w:spacing w:val="-8"/>
          <w:sz w:val="15"/>
        </w:rPr>
        <w:t> </w:t>
      </w:r>
      <w:r>
        <w:rPr>
          <w:sz w:val="15"/>
        </w:rPr>
        <w:t>field</w:t>
      </w:r>
      <w:r>
        <w:rPr>
          <w:spacing w:val="-8"/>
          <w:sz w:val="15"/>
        </w:rPr>
        <w:t> </w:t>
      </w:r>
      <w:r>
        <w:rPr>
          <w:sz w:val="15"/>
        </w:rPr>
        <w:t>is</w:t>
      </w:r>
      <w:r>
        <w:rPr>
          <w:spacing w:val="-8"/>
          <w:sz w:val="15"/>
        </w:rPr>
        <w:t> </w:t>
      </w:r>
      <w:r>
        <w:rPr>
          <w:sz w:val="15"/>
        </w:rPr>
        <w:t>used,</w:t>
      </w:r>
      <w:r>
        <w:rPr>
          <w:spacing w:val="-8"/>
          <w:sz w:val="15"/>
        </w:rPr>
        <w:t> </w:t>
      </w:r>
      <w:r>
        <w:rPr>
          <w:sz w:val="15"/>
        </w:rPr>
        <w:t>so</w:t>
      </w:r>
      <w:r>
        <w:rPr>
          <w:spacing w:val="-8"/>
          <w:sz w:val="15"/>
        </w:rPr>
        <w:t> </w:t>
      </w:r>
      <w:r>
        <w:rPr>
          <w:sz w:val="15"/>
        </w:rPr>
        <w:t>language</w:t>
      </w:r>
      <w:r>
        <w:rPr>
          <w:spacing w:val="-8"/>
          <w:sz w:val="15"/>
        </w:rPr>
        <w:t> </w:t>
      </w:r>
      <w:r>
        <w:rPr>
          <w:sz w:val="15"/>
        </w:rPr>
        <w:t>is</w:t>
      </w:r>
      <w:r>
        <w:rPr>
          <w:spacing w:val="-8"/>
          <w:sz w:val="15"/>
        </w:rPr>
        <w:t> </w:t>
      </w:r>
      <w:r>
        <w:rPr>
          <w:sz w:val="15"/>
        </w:rPr>
        <w:t>not</w:t>
      </w:r>
      <w:r>
        <w:rPr>
          <w:spacing w:val="-8"/>
          <w:sz w:val="15"/>
        </w:rPr>
        <w:t> </w:t>
      </w:r>
      <w:r>
        <w:rPr>
          <w:sz w:val="15"/>
        </w:rPr>
        <w:t>known</w:t>
      </w:r>
      <w:r>
        <w:rPr>
          <w:spacing w:val="-8"/>
          <w:sz w:val="15"/>
        </w:rPr>
        <w:t> </w:t>
      </w:r>
      <w:r>
        <w:rPr>
          <w:sz w:val="15"/>
        </w:rPr>
        <w:t>for </w:t>
      </w:r>
      <w:r>
        <w:rPr>
          <w:spacing w:val="-2"/>
          <w:sz w:val="15"/>
        </w:rPr>
        <w:t>non-reviewers.</w:t>
      </w:r>
    </w:p>
    <w:p>
      <w:pPr>
        <w:spacing w:line="254" w:lineRule="auto" w:before="73"/>
        <w:ind w:left="10" w:right="0" w:firstLine="0"/>
        <w:jc w:val="left"/>
        <w:rPr>
          <w:sz w:val="15"/>
        </w:rPr>
      </w:pPr>
      <w:r>
        <w:rPr>
          <w:rFonts w:ascii="Arial" w:hAnsi="Arial"/>
          <w:b/>
          <w:sz w:val="15"/>
        </w:rPr>
        <w:t>Validation split and metric: </w:t>
      </w:r>
      <w:r>
        <w:rPr>
          <w:sz w:val="15"/>
        </w:rPr>
        <w:t>Chronological matured cohorts (a full 30-day post-delivery window observed before the origin), each order kept intact, preprocessing</w:t>
      </w:r>
      <w:r>
        <w:rPr>
          <w:spacing w:val="-8"/>
          <w:sz w:val="15"/>
        </w:rPr>
        <w:t> </w:t>
      </w:r>
      <w:r>
        <w:rPr>
          <w:sz w:val="15"/>
        </w:rPr>
        <w:t>fit</w:t>
      </w:r>
      <w:r>
        <w:rPr>
          <w:spacing w:val="-8"/>
          <w:sz w:val="15"/>
        </w:rPr>
        <w:t> </w:t>
      </w:r>
      <w:r>
        <w:rPr>
          <w:sz w:val="15"/>
        </w:rPr>
        <w:t>on</w:t>
      </w:r>
      <w:r>
        <w:rPr>
          <w:spacing w:val="-8"/>
          <w:sz w:val="15"/>
        </w:rPr>
        <w:t> </w:t>
      </w:r>
      <w:r>
        <w:rPr>
          <w:sz w:val="15"/>
        </w:rPr>
        <w:t>training</w:t>
      </w:r>
      <w:r>
        <w:rPr>
          <w:spacing w:val="-8"/>
          <w:sz w:val="15"/>
        </w:rPr>
        <w:t> </w:t>
      </w:r>
      <w:r>
        <w:rPr>
          <w:sz w:val="15"/>
        </w:rPr>
        <w:t>only.</w:t>
      </w:r>
      <w:r>
        <w:rPr>
          <w:spacing w:val="-8"/>
          <w:sz w:val="15"/>
        </w:rPr>
        <w:t> </w:t>
      </w:r>
      <w:r>
        <w:rPr>
          <w:sz w:val="15"/>
        </w:rPr>
        <w:t>Ranked</w:t>
      </w:r>
      <w:r>
        <w:rPr>
          <w:spacing w:val="-8"/>
          <w:sz w:val="15"/>
        </w:rPr>
        <w:t> </w:t>
      </w:r>
      <w:r>
        <w:rPr>
          <w:sz w:val="15"/>
        </w:rPr>
        <w:t>probability</w:t>
      </w:r>
      <w:r>
        <w:rPr>
          <w:spacing w:val="-8"/>
          <w:sz w:val="15"/>
        </w:rPr>
        <w:t> </w:t>
      </w:r>
      <w:r>
        <w:rPr>
          <w:sz w:val="15"/>
        </w:rPr>
        <w:t>score</w:t>
      </w:r>
      <w:r>
        <w:rPr>
          <w:spacing w:val="-8"/>
          <w:sz w:val="15"/>
        </w:rPr>
        <w:t> </w:t>
      </w:r>
      <w:r>
        <w:rPr>
          <w:sz w:val="15"/>
        </w:rPr>
        <w:t>for</w:t>
      </w:r>
      <w:r>
        <w:rPr>
          <w:spacing w:val="-8"/>
          <w:sz w:val="15"/>
        </w:rPr>
        <w:t> </w:t>
      </w:r>
      <w:r>
        <w:rPr>
          <w:sz w:val="15"/>
        </w:rPr>
        <w:t>the</w:t>
      </w:r>
      <w:r>
        <w:rPr>
          <w:spacing w:val="-8"/>
          <w:sz w:val="15"/>
        </w:rPr>
        <w:t> </w:t>
      </w:r>
      <w:r>
        <w:rPr>
          <w:sz w:val="15"/>
        </w:rPr>
        <w:t>ordinal</w:t>
      </w:r>
      <w:r>
        <w:rPr>
          <w:spacing w:val="-8"/>
          <w:sz w:val="15"/>
        </w:rPr>
        <w:t> </w:t>
      </w:r>
      <w:r>
        <w:rPr>
          <w:sz w:val="15"/>
        </w:rPr>
        <w:t>stage;</w:t>
      </w:r>
      <w:r>
        <w:rPr>
          <w:spacing w:val="-8"/>
          <w:sz w:val="15"/>
        </w:rPr>
        <w:t> </w:t>
      </w:r>
      <w:r>
        <w:rPr>
          <w:sz w:val="15"/>
        </w:rPr>
        <w:t>for</w:t>
      </w:r>
      <w:r>
        <w:rPr>
          <w:spacing w:val="-8"/>
          <w:sz w:val="15"/>
        </w:rPr>
        <w:t> </w:t>
      </w:r>
      <w:r>
        <w:rPr>
          <w:sz w:val="15"/>
        </w:rPr>
        <w:t>the</w:t>
      </w:r>
      <w:r>
        <w:rPr>
          <w:spacing w:val="-8"/>
          <w:sz w:val="15"/>
        </w:rPr>
        <w:t> </w:t>
      </w:r>
      <w:r>
        <w:rPr>
          <w:sz w:val="15"/>
        </w:rPr>
        <w:t>joint</w:t>
      </w:r>
      <w:r>
        <w:rPr>
          <w:spacing w:val="-8"/>
          <w:sz w:val="15"/>
        </w:rPr>
        <w:t> </w:t>
      </w:r>
      <w:r>
        <w:rPr>
          <w:sz w:val="15"/>
        </w:rPr>
        <w:t>≤2-star</w:t>
      </w:r>
      <w:r>
        <w:rPr>
          <w:spacing w:val="-8"/>
          <w:sz w:val="15"/>
        </w:rPr>
        <w:t> </w:t>
      </w:r>
      <w:r>
        <w:rPr>
          <w:sz w:val="15"/>
        </w:rPr>
        <w:t>risk,</w:t>
      </w:r>
      <w:r>
        <w:rPr>
          <w:spacing w:val="-8"/>
          <w:sz w:val="15"/>
        </w:rPr>
        <w:t> </w:t>
      </w:r>
      <w:r>
        <w:rPr>
          <w:sz w:val="15"/>
        </w:rPr>
        <w:t>report</w:t>
      </w:r>
      <w:r>
        <w:rPr>
          <w:spacing w:val="-8"/>
          <w:sz w:val="15"/>
        </w:rPr>
        <w:t> </w:t>
      </w:r>
      <w:r>
        <w:rPr>
          <w:sz w:val="15"/>
        </w:rPr>
        <w:t>calibration,</w:t>
      </w:r>
      <w:r>
        <w:rPr>
          <w:spacing w:val="-8"/>
          <w:sz w:val="15"/>
        </w:rPr>
        <w:t> </w:t>
      </w:r>
      <w:r>
        <w:rPr>
          <w:sz w:val="15"/>
        </w:rPr>
        <w:t>PR-AUC</w:t>
      </w:r>
      <w:r>
        <w:rPr>
          <w:spacing w:val="-8"/>
          <w:sz w:val="15"/>
        </w:rPr>
        <w:t> </w:t>
      </w:r>
      <w:r>
        <w:rPr>
          <w:rFonts w:ascii="Arial" w:hAnsi="Arial"/>
          <w:b/>
          <w:sz w:val="15"/>
        </w:rPr>
        <w:t>and</w:t>
      </w:r>
      <w:r>
        <w:rPr>
          <w:rFonts w:ascii="Arial" w:hAnsi="Arial"/>
          <w:b/>
          <w:spacing w:val="-8"/>
          <w:sz w:val="15"/>
        </w:rPr>
        <w:t> </w:t>
      </w:r>
      <w:r>
        <w:rPr>
          <w:sz w:val="15"/>
        </w:rPr>
        <w:t>recall/precision</w:t>
      </w:r>
      <w:r>
        <w:rPr>
          <w:spacing w:val="-8"/>
          <w:sz w:val="15"/>
        </w:rPr>
        <w:t> </w:t>
      </w:r>
      <w:r>
        <w:rPr>
          <w:sz w:val="15"/>
        </w:rPr>
        <w:t>at the fixed budget separately (not "PR-AUC at a budget"), against observed ≤2-star prevalence. The relevant horizon is </w:t>
      </w:r>
      <w:r>
        <w:rPr>
          <w:rFonts w:ascii="Arial" w:hAnsi="Arial"/>
          <w:b/>
          <w:sz w:val="15"/>
        </w:rPr>
        <w:t>delivery-anchored</w:t>
      </w:r>
      <w:r>
        <w:rPr>
          <w:sz w:val="15"/>
        </w:rPr>
        <w:t>: the observed delivery→review median lag is ~23.5 days (inside 30 days; computed in the supplementary cell), not the ~29-day order→review lag.</w:t>
      </w:r>
    </w:p>
    <w:p>
      <w:pPr>
        <w:spacing w:line="254" w:lineRule="auto" w:before="73"/>
        <w:ind w:left="10" w:right="0" w:firstLine="0"/>
        <w:jc w:val="left"/>
        <w:rPr>
          <w:sz w:val="15"/>
        </w:rPr>
      </w:pPr>
      <w:r>
        <w:rPr>
          <w:rFonts w:ascii="Arial" w:hAnsi="Arial"/>
          <w:b/>
          <w:sz w:val="15"/>
        </w:rPr>
        <w:t>Leakage,</w:t>
      </w:r>
      <w:r>
        <w:rPr>
          <w:rFonts w:ascii="Arial" w:hAnsi="Arial"/>
          <w:b/>
          <w:spacing w:val="-9"/>
          <w:sz w:val="15"/>
        </w:rPr>
        <w:t> </w:t>
      </w:r>
      <w:r>
        <w:rPr>
          <w:rFonts w:ascii="Arial" w:hAnsi="Arial"/>
          <w:b/>
          <w:sz w:val="15"/>
        </w:rPr>
        <w:t>fairness</w:t>
      </w:r>
      <w:r>
        <w:rPr>
          <w:rFonts w:ascii="Arial" w:hAnsi="Arial"/>
          <w:b/>
          <w:spacing w:val="-9"/>
          <w:sz w:val="15"/>
        </w:rPr>
        <w:t> </w:t>
      </w:r>
      <w:r>
        <w:rPr>
          <w:rFonts w:ascii="Arial" w:hAnsi="Arial"/>
          <w:b/>
          <w:sz w:val="15"/>
        </w:rPr>
        <w:t>or</w:t>
      </w:r>
      <w:r>
        <w:rPr>
          <w:rFonts w:ascii="Arial" w:hAnsi="Arial"/>
          <w:b/>
          <w:spacing w:val="-9"/>
          <w:sz w:val="15"/>
        </w:rPr>
        <w:t> </w:t>
      </w:r>
      <w:r>
        <w:rPr>
          <w:rFonts w:ascii="Arial" w:hAnsi="Arial"/>
          <w:b/>
          <w:sz w:val="15"/>
        </w:rPr>
        <w:t>deployment</w:t>
      </w:r>
      <w:r>
        <w:rPr>
          <w:rFonts w:ascii="Arial" w:hAnsi="Arial"/>
          <w:b/>
          <w:spacing w:val="-9"/>
          <w:sz w:val="15"/>
        </w:rPr>
        <w:t> </w:t>
      </w:r>
      <w:r>
        <w:rPr>
          <w:rFonts w:ascii="Arial" w:hAnsi="Arial"/>
          <w:b/>
          <w:sz w:val="15"/>
        </w:rPr>
        <w:t>risk:</w:t>
      </w:r>
      <w:r>
        <w:rPr>
          <w:rFonts w:ascii="Arial" w:hAnsi="Arial"/>
          <w:b/>
          <w:spacing w:val="-9"/>
          <w:sz w:val="15"/>
        </w:rPr>
        <w:t> </w:t>
      </w:r>
      <w:r>
        <w:rPr>
          <w:sz w:val="15"/>
        </w:rPr>
        <w:t>Stage</w:t>
      </w:r>
      <w:r>
        <w:rPr>
          <w:spacing w:val="-9"/>
          <w:sz w:val="15"/>
        </w:rPr>
        <w:t> </w:t>
      </w:r>
      <w:r>
        <w:rPr>
          <w:sz w:val="15"/>
        </w:rPr>
        <w:t>B</w:t>
      </w:r>
      <w:r>
        <w:rPr>
          <w:spacing w:val="-9"/>
          <w:sz w:val="15"/>
        </w:rPr>
        <w:t> </w:t>
      </w:r>
      <w:r>
        <w:rPr>
          <w:sz w:val="15"/>
        </w:rPr>
        <w:t>trains</w:t>
      </w:r>
      <w:r>
        <w:rPr>
          <w:spacing w:val="-9"/>
          <w:sz w:val="15"/>
        </w:rPr>
        <w:t> </w:t>
      </w:r>
      <w:r>
        <w:rPr>
          <w:sz w:val="15"/>
        </w:rPr>
        <w:t>only</w:t>
      </w:r>
      <w:r>
        <w:rPr>
          <w:spacing w:val="-9"/>
          <w:sz w:val="15"/>
        </w:rPr>
        <w:t> </w:t>
      </w:r>
      <w:r>
        <w:rPr>
          <w:sz w:val="15"/>
        </w:rPr>
        <w:t>on</w:t>
      </w:r>
      <w:r>
        <w:rPr>
          <w:spacing w:val="-9"/>
          <w:sz w:val="15"/>
        </w:rPr>
        <w:t> </w:t>
      </w:r>
      <w:r>
        <w:rPr>
          <w:rFonts w:ascii="Arial" w:hAnsi="Arial"/>
          <w:i/>
          <w:sz w:val="15"/>
        </w:rPr>
        <w:t>selected</w:t>
      </w:r>
      <w:r>
        <w:rPr>
          <w:rFonts w:ascii="Arial" w:hAnsi="Arial"/>
          <w:i/>
          <w:spacing w:val="-9"/>
          <w:sz w:val="15"/>
        </w:rPr>
        <w:t> </w:t>
      </w:r>
      <w:r>
        <w:rPr>
          <w:sz w:val="15"/>
        </w:rPr>
        <w:t>reviewers,</w:t>
      </w:r>
      <w:r>
        <w:rPr>
          <w:spacing w:val="-9"/>
          <w:sz w:val="15"/>
        </w:rPr>
        <w:t> </w:t>
      </w:r>
      <w:r>
        <w:rPr>
          <w:sz w:val="15"/>
        </w:rPr>
        <w:t>so</w:t>
      </w:r>
      <w:r>
        <w:rPr>
          <w:spacing w:val="-9"/>
          <w:sz w:val="15"/>
        </w:rPr>
        <w:t> </w:t>
      </w:r>
      <w:r>
        <w:rPr>
          <w:sz w:val="15"/>
        </w:rPr>
        <w:t>joint</w:t>
      </w:r>
      <w:r>
        <w:rPr>
          <w:spacing w:val="-9"/>
          <w:sz w:val="15"/>
        </w:rPr>
        <w:t> </w:t>
      </w:r>
      <w:r>
        <w:rPr>
          <w:sz w:val="15"/>
        </w:rPr>
        <w:t>risk</w:t>
      </w:r>
      <w:r>
        <w:rPr>
          <w:spacing w:val="-9"/>
          <w:sz w:val="15"/>
        </w:rPr>
        <w:t> </w:t>
      </w:r>
      <w:r>
        <w:rPr>
          <w:sz w:val="15"/>
        </w:rPr>
        <w:t>estimates</w:t>
      </w:r>
      <w:r>
        <w:rPr>
          <w:spacing w:val="-9"/>
          <w:sz w:val="15"/>
        </w:rPr>
        <w:t> </w:t>
      </w:r>
      <w:r>
        <w:rPr>
          <w:rFonts w:ascii="Arial" w:hAnsi="Arial"/>
          <w:b/>
          <w:sz w:val="15"/>
        </w:rPr>
        <w:t>observed</w:t>
      </w:r>
      <w:r>
        <w:rPr>
          <w:rFonts w:ascii="Arial" w:hAnsi="Arial"/>
          <w:b/>
          <w:spacing w:val="-9"/>
          <w:sz w:val="15"/>
        </w:rPr>
        <w:t> </w:t>
      </w:r>
      <w:r>
        <w:rPr>
          <w:rFonts w:ascii="Arial" w:hAnsi="Arial"/>
          <w:b/>
          <w:sz w:val="15"/>
        </w:rPr>
        <w:t>feedback,</w:t>
      </w:r>
      <w:r>
        <w:rPr>
          <w:rFonts w:ascii="Arial" w:hAnsi="Arial"/>
          <w:b/>
          <w:spacing w:val="-9"/>
          <w:sz w:val="15"/>
        </w:rPr>
        <w:t> </w:t>
      </w:r>
      <w:r>
        <w:rPr>
          <w:rFonts w:ascii="Arial" w:hAnsi="Arial"/>
          <w:b/>
          <w:sz w:val="15"/>
        </w:rPr>
        <w:t>not</w:t>
      </w:r>
      <w:r>
        <w:rPr>
          <w:rFonts w:ascii="Arial" w:hAnsi="Arial"/>
          <w:b/>
          <w:spacing w:val="-9"/>
          <w:sz w:val="15"/>
        </w:rPr>
        <w:t> </w:t>
      </w:r>
      <w:r>
        <w:rPr>
          <w:rFonts w:ascii="Arial" w:hAnsi="Arial"/>
          <w:b/>
          <w:sz w:val="15"/>
        </w:rPr>
        <w:t>latent</w:t>
      </w:r>
      <w:r>
        <w:rPr>
          <w:rFonts w:ascii="Arial" w:hAnsi="Arial"/>
          <w:b/>
          <w:spacing w:val="-9"/>
          <w:sz w:val="15"/>
        </w:rPr>
        <w:t> </w:t>
      </w:r>
      <w:r>
        <w:rPr>
          <w:rFonts w:ascii="Arial" w:hAnsi="Arial"/>
          <w:b/>
          <w:sz w:val="15"/>
        </w:rPr>
        <w:t>dissatisfaction</w:t>
      </w:r>
      <w:r>
        <w:rPr>
          <w:sz w:val="15"/>
        </w:rPr>
        <w:t>, and</w:t>
      </w:r>
      <w:r>
        <w:rPr>
          <w:spacing w:val="-6"/>
          <w:sz w:val="15"/>
        </w:rPr>
        <w:t> </w:t>
      </w:r>
      <w:r>
        <w:rPr>
          <w:sz w:val="15"/>
        </w:rPr>
        <w:t>Stage-A</w:t>
      </w:r>
      <w:r>
        <w:rPr>
          <w:spacing w:val="-6"/>
          <w:sz w:val="15"/>
        </w:rPr>
        <w:t> </w:t>
      </w:r>
      <w:r>
        <w:rPr>
          <w:sz w:val="15"/>
        </w:rPr>
        <w:t>selection</w:t>
      </w:r>
      <w:r>
        <w:rPr>
          <w:spacing w:val="-6"/>
          <w:sz w:val="15"/>
        </w:rPr>
        <w:t> </w:t>
      </w:r>
      <w:r>
        <w:rPr>
          <w:sz w:val="15"/>
        </w:rPr>
        <w:t>uncertainty</w:t>
      </w:r>
      <w:r>
        <w:rPr>
          <w:spacing w:val="-6"/>
          <w:sz w:val="15"/>
        </w:rPr>
        <w:t> </w:t>
      </w:r>
      <w:r>
        <w:rPr>
          <w:sz w:val="15"/>
        </w:rPr>
        <w:t>must</w:t>
      </w:r>
      <w:r>
        <w:rPr>
          <w:spacing w:val="-6"/>
          <w:sz w:val="15"/>
        </w:rPr>
        <w:t> </w:t>
      </w:r>
      <w:r>
        <w:rPr>
          <w:sz w:val="15"/>
        </w:rPr>
        <w:t>be</w:t>
      </w:r>
      <w:r>
        <w:rPr>
          <w:spacing w:val="-6"/>
          <w:sz w:val="15"/>
        </w:rPr>
        <w:t> </w:t>
      </w:r>
      <w:r>
        <w:rPr>
          <w:sz w:val="15"/>
        </w:rPr>
        <w:t>propagated.</w:t>
      </w:r>
      <w:r>
        <w:rPr>
          <w:spacing w:val="-6"/>
          <w:sz w:val="15"/>
        </w:rPr>
        <w:t> </w:t>
      </w:r>
      <w:r>
        <w:rPr>
          <w:sz w:val="15"/>
        </w:rPr>
        <w:t>Verify</w:t>
      </w:r>
      <w:r>
        <w:rPr>
          <w:spacing w:val="-6"/>
          <w:sz w:val="15"/>
        </w:rPr>
        <w:t> </w:t>
      </w:r>
      <w:r>
        <w:rPr>
          <w:sz w:val="15"/>
        </w:rPr>
        <w:t>the</w:t>
      </w:r>
      <w:r>
        <w:rPr>
          <w:spacing w:val="-6"/>
          <w:sz w:val="15"/>
        </w:rPr>
        <w:t> </w:t>
      </w:r>
      <w:r>
        <w:rPr>
          <w:sz w:val="15"/>
        </w:rPr>
        <w:t>extraction</w:t>
      </w:r>
      <w:r>
        <w:rPr>
          <w:spacing w:val="-6"/>
          <w:sz w:val="15"/>
        </w:rPr>
        <w:t> </w:t>
      </w:r>
      <w:r>
        <w:rPr>
          <w:sz w:val="15"/>
        </w:rPr>
        <w:t>cutoff</w:t>
      </w:r>
      <w:r>
        <w:rPr>
          <w:spacing w:val="-6"/>
          <w:sz w:val="15"/>
        </w:rPr>
        <w:t> </w:t>
      </w:r>
      <w:r>
        <w:rPr>
          <w:sz w:val="15"/>
        </w:rPr>
        <w:t>before</w:t>
      </w:r>
      <w:r>
        <w:rPr>
          <w:spacing w:val="-6"/>
          <w:sz w:val="15"/>
        </w:rPr>
        <w:t> </w:t>
      </w:r>
      <w:r>
        <w:rPr>
          <w:sz w:val="15"/>
        </w:rPr>
        <w:t>labelling</w:t>
      </w:r>
      <w:r>
        <w:rPr>
          <w:spacing w:val="-6"/>
          <w:sz w:val="15"/>
        </w:rPr>
        <w:t> </w:t>
      </w:r>
      <w:r>
        <w:rPr>
          <w:sz w:val="15"/>
        </w:rPr>
        <w:t>30-day</w:t>
      </w:r>
      <w:r>
        <w:rPr>
          <w:spacing w:val="-6"/>
          <w:sz w:val="15"/>
        </w:rPr>
        <w:t> </w:t>
      </w:r>
      <w:r>
        <w:rPr>
          <w:sz w:val="15"/>
        </w:rPr>
        <w:t>non-reviews;</w:t>
      </w:r>
      <w:r>
        <w:rPr>
          <w:spacing w:val="-6"/>
          <w:sz w:val="15"/>
        </w:rPr>
        <w:t> </w:t>
      </w:r>
      <w:r>
        <w:rPr>
          <w:sz w:val="15"/>
        </w:rPr>
        <w:t>the</w:t>
      </w:r>
      <w:r>
        <w:rPr>
          <w:spacing w:val="-6"/>
          <w:sz w:val="15"/>
        </w:rPr>
        <w:t> </w:t>
      </w:r>
      <w:r>
        <w:rPr>
          <w:sz w:val="15"/>
        </w:rPr>
        <w:t>7.6%</w:t>
      </w:r>
      <w:r>
        <w:rPr>
          <w:spacing w:val="-6"/>
          <w:sz w:val="15"/>
        </w:rPr>
        <w:t> </w:t>
      </w:r>
      <w:r>
        <w:rPr>
          <w:sz w:val="15"/>
        </w:rPr>
        <w:t>whole-export</w:t>
      </w:r>
      <w:r>
        <w:rPr>
          <w:spacing w:val="-6"/>
          <w:sz w:val="15"/>
        </w:rPr>
        <w:t> </w:t>
      </w:r>
      <w:r>
        <w:rPr>
          <w:sz w:val="15"/>
        </w:rPr>
        <w:t>≤2-star</w:t>
      </w:r>
      <w:r>
        <w:rPr>
          <w:spacing w:val="-6"/>
          <w:sz w:val="15"/>
        </w:rPr>
        <w:t> </w:t>
      </w:r>
      <w:r>
        <w:rPr>
          <w:sz w:val="15"/>
        </w:rPr>
        <w:t>rate is motivation, not a verified 30-day baseline. Audit calibration across price, category and (where a pre-existing field exists) language.</w:t>
      </w:r>
    </w:p>
    <w:p>
      <w:pPr>
        <w:spacing w:after="0" w:line="254" w:lineRule="auto"/>
        <w:jc w:val="left"/>
        <w:rPr>
          <w:sz w:val="15"/>
        </w:rPr>
        <w:sectPr>
          <w:headerReference w:type="default" r:id="rId26"/>
          <w:footerReference w:type="default" r:id="rId27"/>
          <w:pgSz w:w="11910" w:h="16840"/>
          <w:pgMar w:header="886" w:footer="330" w:top="1180" w:bottom="520" w:left="850" w:right="850"/>
        </w:sectPr>
      </w:pPr>
    </w:p>
    <w:p>
      <w:pPr>
        <w:pStyle w:val="Heading3"/>
        <w:spacing w:line="259" w:lineRule="auto"/>
      </w:pPr>
      <w:r>
        <w:rPr>
          <w:color w:val="183D60"/>
        </w:rPr>
        <w:t>MLQ-4:</w:t>
      </w:r>
      <w:r>
        <w:rPr>
          <w:color w:val="183D60"/>
          <w:spacing w:val="-3"/>
        </w:rPr>
        <w:t> </w:t>
      </w:r>
      <w:r>
        <w:rPr>
          <w:color w:val="183D60"/>
        </w:rPr>
        <w:t>Do</w:t>
      </w:r>
      <w:r>
        <w:rPr>
          <w:color w:val="183D60"/>
          <w:spacing w:val="-3"/>
        </w:rPr>
        <w:t> </w:t>
      </w:r>
      <w:r>
        <w:rPr>
          <w:color w:val="183D60"/>
        </w:rPr>
        <w:t>lagged</w:t>
      </w:r>
      <w:r>
        <w:rPr>
          <w:color w:val="183D60"/>
          <w:spacing w:val="-3"/>
        </w:rPr>
        <w:t> </w:t>
      </w:r>
      <w:r>
        <w:rPr>
          <w:color w:val="183D60"/>
        </w:rPr>
        <w:t>demand</w:t>
      </w:r>
      <w:r>
        <w:rPr>
          <w:color w:val="183D60"/>
          <w:spacing w:val="-3"/>
        </w:rPr>
        <w:t> </w:t>
      </w:r>
      <w:r>
        <w:rPr>
          <w:color w:val="183D60"/>
        </w:rPr>
        <w:t>and</w:t>
      </w:r>
      <w:r>
        <w:rPr>
          <w:color w:val="183D60"/>
          <w:spacing w:val="-3"/>
        </w:rPr>
        <w:t> </w:t>
      </w:r>
      <w:r>
        <w:rPr>
          <w:color w:val="183D60"/>
        </w:rPr>
        <w:t>calendar</w:t>
      </w:r>
      <w:r>
        <w:rPr>
          <w:color w:val="183D60"/>
          <w:spacing w:val="-3"/>
        </w:rPr>
        <w:t> </w:t>
      </w:r>
      <w:r>
        <w:rPr>
          <w:color w:val="183D60"/>
        </w:rPr>
        <w:t>features</w:t>
      </w:r>
      <w:r>
        <w:rPr>
          <w:color w:val="183D60"/>
          <w:spacing w:val="-3"/>
        </w:rPr>
        <w:t> </w:t>
      </w:r>
      <w:r>
        <w:rPr>
          <w:color w:val="183D60"/>
        </w:rPr>
        <w:t>improve</w:t>
      </w:r>
      <w:r>
        <w:rPr>
          <w:color w:val="183D60"/>
          <w:spacing w:val="-3"/>
        </w:rPr>
        <w:t> </w:t>
      </w:r>
      <w:r>
        <w:rPr>
          <w:color w:val="183D60"/>
        </w:rPr>
        <w:t>next-day</w:t>
      </w:r>
      <w:r>
        <w:rPr>
          <w:color w:val="183D60"/>
          <w:spacing w:val="-3"/>
        </w:rPr>
        <w:t> </w:t>
      </w:r>
      <w:r>
        <w:rPr>
          <w:color w:val="183D60"/>
        </w:rPr>
        <w:t>order</w:t>
      </w:r>
      <w:r>
        <w:rPr>
          <w:color w:val="183D60"/>
          <w:spacing w:val="-3"/>
        </w:rPr>
        <w:t> </w:t>
      </w:r>
      <w:r>
        <w:rPr>
          <w:color w:val="183D60"/>
        </w:rPr>
        <w:t>forecasts</w:t>
      </w:r>
      <w:r>
        <w:rPr>
          <w:color w:val="183D60"/>
          <w:spacing w:val="-3"/>
        </w:rPr>
        <w:t> </w:t>
      </w:r>
      <w:r>
        <w:rPr>
          <w:color w:val="183D60"/>
        </w:rPr>
        <w:t>and</w:t>
      </w:r>
      <w:r>
        <w:rPr>
          <w:color w:val="183D60"/>
          <w:spacing w:val="-3"/>
        </w:rPr>
        <w:t> </w:t>
      </w:r>
      <w:r>
        <w:rPr>
          <w:color w:val="183D60"/>
        </w:rPr>
        <w:t>uncertainty estimates beyond simple baselines?</w:t>
      </w:r>
    </w:p>
    <w:p>
      <w:pPr>
        <w:spacing w:line="261" w:lineRule="auto" w:before="97"/>
        <w:ind w:left="10" w:right="144" w:firstLine="0"/>
        <w:jc w:val="left"/>
        <w:rPr>
          <w:sz w:val="16"/>
        </w:rPr>
      </w:pPr>
      <w:r>
        <w:rPr>
          <w:rFonts w:ascii="Arial" w:hAnsi="Arial"/>
          <w:b/>
          <w:sz w:val="16"/>
        </w:rPr>
        <w:t>EDA evidence: Figure 6; Finding 8: </w:t>
      </w:r>
      <w:r>
        <w:rPr>
          <w:sz w:val="16"/>
        </w:rPr>
        <w:t>weekday averages range 13.50–13.85 orders/day, monthly averages 12.80–14.94, and daily counts have an SD of 3.55. Weak weekday variation establishes neither predictable daily demand nor absent forecasting signal.</w:t>
      </w:r>
    </w:p>
    <w:p>
      <w:pPr>
        <w:spacing w:before="79"/>
        <w:ind w:left="10" w:right="0" w:firstLine="0"/>
        <w:jc w:val="left"/>
        <w:rPr>
          <w:sz w:val="16"/>
        </w:rPr>
      </w:pPr>
      <w:r>
        <w:rPr>
          <w:rFonts w:ascii="Arial"/>
          <w:b/>
          <w:sz w:val="16"/>
        </w:rPr>
        <w:t>Business</w:t>
      </w:r>
      <w:r>
        <w:rPr>
          <w:rFonts w:ascii="Arial"/>
          <w:b/>
          <w:spacing w:val="5"/>
          <w:sz w:val="16"/>
        </w:rPr>
        <w:t> </w:t>
      </w:r>
      <w:r>
        <w:rPr>
          <w:rFonts w:ascii="Arial"/>
          <w:b/>
          <w:sz w:val="16"/>
        </w:rPr>
        <w:t>decision:</w:t>
      </w:r>
      <w:r>
        <w:rPr>
          <w:rFonts w:ascii="Arial"/>
          <w:b/>
          <w:spacing w:val="6"/>
          <w:sz w:val="16"/>
        </w:rPr>
        <w:t> </w:t>
      </w:r>
      <w:r>
        <w:rPr>
          <w:sz w:val="16"/>
        </w:rPr>
        <w:t>Support</w:t>
      </w:r>
      <w:r>
        <w:rPr>
          <w:spacing w:val="5"/>
          <w:sz w:val="16"/>
        </w:rPr>
        <w:t> </w:t>
      </w:r>
      <w:r>
        <w:rPr>
          <w:sz w:val="16"/>
        </w:rPr>
        <w:t>next-day</w:t>
      </w:r>
      <w:r>
        <w:rPr>
          <w:spacing w:val="6"/>
          <w:sz w:val="16"/>
        </w:rPr>
        <w:t> </w:t>
      </w:r>
      <w:r>
        <w:rPr>
          <w:sz w:val="16"/>
        </w:rPr>
        <w:t>staffing</w:t>
      </w:r>
      <w:r>
        <w:rPr>
          <w:spacing w:val="5"/>
          <w:sz w:val="16"/>
        </w:rPr>
        <w:t> </w:t>
      </w:r>
      <w:r>
        <w:rPr>
          <w:sz w:val="16"/>
        </w:rPr>
        <w:t>and</w:t>
      </w:r>
      <w:r>
        <w:rPr>
          <w:spacing w:val="6"/>
          <w:sz w:val="16"/>
        </w:rPr>
        <w:t> </w:t>
      </w:r>
      <w:r>
        <w:rPr>
          <w:sz w:val="16"/>
        </w:rPr>
        <w:t>fulfilment</w:t>
      </w:r>
      <w:r>
        <w:rPr>
          <w:spacing w:val="6"/>
          <w:sz w:val="16"/>
        </w:rPr>
        <w:t> </w:t>
      </w:r>
      <w:r>
        <w:rPr>
          <w:sz w:val="16"/>
        </w:rPr>
        <w:t>capacity</w:t>
      </w:r>
      <w:r>
        <w:rPr>
          <w:spacing w:val="5"/>
          <w:sz w:val="16"/>
        </w:rPr>
        <w:t> </w:t>
      </w:r>
      <w:r>
        <w:rPr>
          <w:sz w:val="16"/>
        </w:rPr>
        <w:t>planning</w:t>
      </w:r>
      <w:r>
        <w:rPr>
          <w:spacing w:val="6"/>
          <w:sz w:val="16"/>
        </w:rPr>
        <w:t> </w:t>
      </w:r>
      <w:r>
        <w:rPr>
          <w:sz w:val="16"/>
        </w:rPr>
        <w:t>with</w:t>
      </w:r>
      <w:r>
        <w:rPr>
          <w:spacing w:val="5"/>
          <w:sz w:val="16"/>
        </w:rPr>
        <w:t> </w:t>
      </w:r>
      <w:r>
        <w:rPr>
          <w:sz w:val="16"/>
        </w:rPr>
        <w:t>expected</w:t>
      </w:r>
      <w:r>
        <w:rPr>
          <w:spacing w:val="6"/>
          <w:sz w:val="16"/>
        </w:rPr>
        <w:t> </w:t>
      </w:r>
      <w:r>
        <w:rPr>
          <w:sz w:val="16"/>
        </w:rPr>
        <w:t>workload</w:t>
      </w:r>
      <w:r>
        <w:rPr>
          <w:spacing w:val="6"/>
          <w:sz w:val="16"/>
        </w:rPr>
        <w:t> </w:t>
      </w:r>
      <w:r>
        <w:rPr>
          <w:sz w:val="16"/>
        </w:rPr>
        <w:t>and</w:t>
      </w:r>
      <w:r>
        <w:rPr>
          <w:spacing w:val="5"/>
          <w:sz w:val="16"/>
        </w:rPr>
        <w:t> </w:t>
      </w:r>
      <w:r>
        <w:rPr>
          <w:sz w:val="16"/>
        </w:rPr>
        <w:t>uncertainty</w:t>
      </w:r>
      <w:r>
        <w:rPr>
          <w:spacing w:val="6"/>
          <w:sz w:val="16"/>
        </w:rPr>
        <w:t> </w:t>
      </w:r>
      <w:r>
        <w:rPr>
          <w:spacing w:val="-2"/>
          <w:sz w:val="16"/>
        </w:rPr>
        <w:t>estimates.</w:t>
      </w:r>
    </w:p>
    <w:p>
      <w:pPr>
        <w:spacing w:line="364" w:lineRule="auto" w:before="96"/>
        <w:ind w:left="10" w:right="1506" w:firstLine="0"/>
        <w:jc w:val="left"/>
        <w:rPr>
          <w:sz w:val="16"/>
        </w:rPr>
      </w:pPr>
      <w:r>
        <w:rPr>
          <w:rFonts w:ascii="Arial"/>
          <w:b/>
          <w:sz w:val="16"/>
        </w:rPr>
        <w:t>Problem type and analysis unit: Time-series count forecasting; one calendar day, including zero-order </w:t>
      </w:r>
      <w:r>
        <w:rPr>
          <w:rFonts w:ascii="Arial"/>
          <w:b/>
          <w:sz w:val="16"/>
        </w:rPr>
        <w:t>days. Target or unsupervised objective: </w:t>
      </w:r>
      <w:r>
        <w:rPr>
          <w:sz w:val="16"/>
        </w:rPr>
        <w:t>Predict the next day's order count and a calibrated prediction interval.</w:t>
      </w:r>
    </w:p>
    <w:p>
      <w:pPr>
        <w:spacing w:line="261" w:lineRule="auto" w:before="1"/>
        <w:ind w:left="10" w:right="166" w:firstLine="0"/>
        <w:jc w:val="left"/>
        <w:rPr>
          <w:sz w:val="16"/>
        </w:rPr>
      </w:pPr>
      <w:r>
        <w:rPr>
          <w:rFonts w:ascii="Arial"/>
          <w:b/>
          <w:sz w:val="16"/>
        </w:rPr>
        <w:t>Decision-time predictors: </w:t>
      </w:r>
      <w:r>
        <w:rPr>
          <w:sz w:val="16"/>
        </w:rPr>
        <w:t>At the end of each day: lagged order counts, trailing means and variability, and known next-day calendar attributes. All rolling features must stop at the forecast origin.</w:t>
      </w:r>
    </w:p>
    <w:p>
      <w:pPr>
        <w:spacing w:line="261" w:lineRule="auto" w:before="79"/>
        <w:ind w:left="10" w:right="1" w:firstLine="0"/>
        <w:jc w:val="left"/>
        <w:rPr>
          <w:sz w:val="16"/>
        </w:rPr>
      </w:pPr>
      <w:r>
        <w:rPr>
          <w:rFonts w:ascii="Arial"/>
          <w:b/>
          <w:sz w:val="16"/>
        </w:rPr>
        <w:t>Validation split and metric: </w:t>
      </w:r>
      <w:r>
        <w:rPr>
          <w:sz w:val="16"/>
        </w:rPr>
        <w:t>Expanding-window, one-day-ahead evaluation from a stated initial training span (e.g. the first 90 days). Compare against historical-mean and weekly seasonal-naive baselines using MAE, and target a stated prediction-interval level (e.g. 90%), assessing interval coverage and width jointly so uncertainty is useful without being excessively broad.</w:t>
      </w:r>
    </w:p>
    <w:p>
      <w:pPr>
        <w:spacing w:line="261" w:lineRule="auto" w:before="78"/>
        <w:ind w:left="10" w:right="166" w:firstLine="0"/>
        <w:jc w:val="left"/>
        <w:rPr>
          <w:sz w:val="16"/>
        </w:rPr>
      </w:pPr>
      <w:r>
        <w:rPr>
          <w:rFonts w:ascii="Arial"/>
          <w:b/>
          <w:sz w:val="16"/>
        </w:rPr>
        <w:t>Leakage, fairness or deployment risk: </w:t>
      </w:r>
      <w:r>
        <w:rPr>
          <w:sz w:val="16"/>
        </w:rPr>
        <w:t>Avoid random splits, centred rolling windows and full-period feature calculations. One year cannot establish recurring annual seasonality. Verify observation boundaries; completed-order counts may understate incoming workload if cancellations or unfulfilled demand are excluded, and exposure-adjusted marginal means alone do not demonstrate predictive signal.</w:t>
      </w:r>
    </w:p>
    <w:p>
      <w:pPr>
        <w:pStyle w:val="BodyText"/>
        <w:spacing w:before="96"/>
        <w:rPr>
          <w:sz w:val="16"/>
        </w:rPr>
      </w:pPr>
    </w:p>
    <w:p>
      <w:pPr>
        <w:pStyle w:val="Heading3"/>
        <w:spacing w:line="259" w:lineRule="auto" w:before="0"/>
      </w:pPr>
      <w:r>
        <w:rPr>
          <w:color w:val="183D60"/>
        </w:rPr>
        <w:t>MLQ-5:</w:t>
      </w:r>
      <w:r>
        <w:rPr>
          <w:color w:val="183D60"/>
          <w:spacing w:val="-5"/>
        </w:rPr>
        <w:t> </w:t>
      </w:r>
      <w:r>
        <w:rPr>
          <w:color w:val="183D60"/>
        </w:rPr>
        <w:t>Can</w:t>
      </w:r>
      <w:r>
        <w:rPr>
          <w:color w:val="183D60"/>
          <w:spacing w:val="-5"/>
        </w:rPr>
        <w:t> </w:t>
      </w:r>
      <w:r>
        <w:rPr>
          <w:color w:val="183D60"/>
        </w:rPr>
        <w:t>dispatch-time</w:t>
      </w:r>
      <w:r>
        <w:rPr>
          <w:color w:val="183D60"/>
          <w:spacing w:val="-5"/>
        </w:rPr>
        <w:t> </w:t>
      </w:r>
      <w:r>
        <w:rPr>
          <w:color w:val="183D60"/>
        </w:rPr>
        <w:t>information</w:t>
      </w:r>
      <w:r>
        <w:rPr>
          <w:color w:val="183D60"/>
          <w:spacing w:val="-5"/>
        </w:rPr>
        <w:t> </w:t>
      </w:r>
      <w:r>
        <w:rPr>
          <w:color w:val="183D60"/>
        </w:rPr>
        <w:t>identify</w:t>
      </w:r>
      <w:r>
        <w:rPr>
          <w:color w:val="183D60"/>
          <w:spacing w:val="-5"/>
        </w:rPr>
        <w:t> </w:t>
      </w:r>
      <w:r>
        <w:rPr>
          <w:color w:val="183D60"/>
        </w:rPr>
        <w:t>OTIF</w:t>
      </w:r>
      <w:r>
        <w:rPr>
          <w:color w:val="183D60"/>
          <w:spacing w:val="-5"/>
        </w:rPr>
        <w:t> </w:t>
      </w:r>
      <w:r>
        <w:rPr>
          <w:color w:val="183D60"/>
        </w:rPr>
        <w:t>failures,</w:t>
      </w:r>
      <w:r>
        <w:rPr>
          <w:color w:val="183D60"/>
          <w:spacing w:val="-5"/>
        </w:rPr>
        <w:t> </w:t>
      </w:r>
      <w:r>
        <w:rPr>
          <w:color w:val="183D60"/>
        </w:rPr>
        <w:t>and</w:t>
      </w:r>
      <w:r>
        <w:rPr>
          <w:color w:val="183D60"/>
          <w:spacing w:val="-5"/>
        </w:rPr>
        <w:t> </w:t>
      </w:r>
      <w:r>
        <w:rPr>
          <w:color w:val="183D60"/>
        </w:rPr>
        <w:t>does</w:t>
      </w:r>
      <w:r>
        <w:rPr>
          <w:color w:val="183D60"/>
          <w:spacing w:val="-5"/>
        </w:rPr>
        <w:t> </w:t>
      </w:r>
      <w:r>
        <w:rPr>
          <w:color w:val="183D60"/>
        </w:rPr>
        <w:t>recorded</w:t>
      </w:r>
      <w:r>
        <w:rPr>
          <w:color w:val="183D60"/>
          <w:spacing w:val="-5"/>
        </w:rPr>
        <w:t> </w:t>
      </w:r>
      <w:r>
        <w:rPr>
          <w:color w:val="183D60"/>
        </w:rPr>
        <w:t>warehouse</w:t>
      </w:r>
      <w:r>
        <w:rPr>
          <w:color w:val="183D60"/>
          <w:spacing w:val="-5"/>
        </w:rPr>
        <w:t> </w:t>
      </w:r>
      <w:r>
        <w:rPr>
          <w:color w:val="183D60"/>
        </w:rPr>
        <w:t>add</w:t>
      </w:r>
      <w:r>
        <w:rPr>
          <w:color w:val="183D60"/>
          <w:spacing w:val="-5"/>
        </w:rPr>
        <w:t> </w:t>
      </w:r>
      <w:r>
        <w:rPr>
          <w:color w:val="183D60"/>
        </w:rPr>
        <w:t>stable predictive value after observed case mix?</w:t>
      </w:r>
    </w:p>
    <w:p>
      <w:pPr>
        <w:spacing w:line="261" w:lineRule="auto" w:before="97"/>
        <w:ind w:left="10" w:right="153" w:firstLine="0"/>
        <w:jc w:val="left"/>
        <w:rPr>
          <w:sz w:val="16"/>
        </w:rPr>
      </w:pPr>
      <w:r>
        <w:rPr>
          <w:rFonts w:ascii="Arial" w:hAnsi="Arial"/>
          <w:b/>
          <w:sz w:val="16"/>
        </w:rPr>
        <w:t>EDA evidence: Figures 7–8; Findings 9–10: </w:t>
      </w:r>
      <w:r>
        <w:rPr>
          <w:sz w:val="16"/>
        </w:rPr>
        <w:t>Nickolson achieves 92.2% OTIF versus 88.8% elsewhere, a 3.44-percentage-point difference with an approximate simultaneous 95% interval of [0.77, 5.70], and positive gaps persist within both services. Standard and Express</w:t>
      </w:r>
      <w:r>
        <w:rPr>
          <w:spacing w:val="40"/>
          <w:sz w:val="16"/>
        </w:rPr>
        <w:t> </w:t>
      </w:r>
      <w:r>
        <w:rPr>
          <w:sz w:val="16"/>
        </w:rPr>
        <w:t>recorded-cost recovery ratios are similar (1.27× and 1.28×) but do not quantify failure costs.</w:t>
      </w:r>
    </w:p>
    <w:p>
      <w:pPr>
        <w:spacing w:line="261" w:lineRule="auto" w:before="79"/>
        <w:ind w:left="10" w:right="166" w:firstLine="0"/>
        <w:jc w:val="left"/>
        <w:rPr>
          <w:sz w:val="16"/>
        </w:rPr>
      </w:pPr>
      <w:r>
        <w:rPr>
          <w:rFonts w:ascii="Arial"/>
          <w:b/>
          <w:sz w:val="16"/>
        </w:rPr>
        <w:t>Business decision: </w:t>
      </w:r>
      <w:r>
        <w:rPr>
          <w:sz w:val="16"/>
        </w:rPr>
        <w:t>Prioritise orders for proactive fulfilment checks within a fixed intervention capacity and identify operational groups requiring investigation.</w:t>
      </w:r>
    </w:p>
    <w:p>
      <w:pPr>
        <w:spacing w:before="78"/>
        <w:ind w:left="10" w:right="0" w:firstLine="0"/>
        <w:jc w:val="left"/>
        <w:rPr>
          <w:rFonts w:ascii="Arial"/>
          <w:b/>
          <w:sz w:val="16"/>
        </w:rPr>
      </w:pPr>
      <w:r>
        <w:rPr>
          <w:rFonts w:ascii="Arial"/>
          <w:b/>
          <w:sz w:val="16"/>
        </w:rPr>
        <w:t>Problem</w:t>
      </w:r>
      <w:r>
        <w:rPr>
          <w:rFonts w:ascii="Arial"/>
          <w:b/>
          <w:spacing w:val="4"/>
          <w:sz w:val="16"/>
        </w:rPr>
        <w:t> </w:t>
      </w:r>
      <w:r>
        <w:rPr>
          <w:rFonts w:ascii="Arial"/>
          <w:b/>
          <w:sz w:val="16"/>
        </w:rPr>
        <w:t>type</w:t>
      </w:r>
      <w:r>
        <w:rPr>
          <w:rFonts w:ascii="Arial"/>
          <w:b/>
          <w:spacing w:val="5"/>
          <w:sz w:val="16"/>
        </w:rPr>
        <w:t> </w:t>
      </w:r>
      <w:r>
        <w:rPr>
          <w:rFonts w:ascii="Arial"/>
          <w:b/>
          <w:sz w:val="16"/>
        </w:rPr>
        <w:t>and</w:t>
      </w:r>
      <w:r>
        <w:rPr>
          <w:rFonts w:ascii="Arial"/>
          <w:b/>
          <w:spacing w:val="4"/>
          <w:sz w:val="16"/>
        </w:rPr>
        <w:t> </w:t>
      </w:r>
      <w:r>
        <w:rPr>
          <w:rFonts w:ascii="Arial"/>
          <w:b/>
          <w:sz w:val="16"/>
        </w:rPr>
        <w:t>analysis</w:t>
      </w:r>
      <w:r>
        <w:rPr>
          <w:rFonts w:ascii="Arial"/>
          <w:b/>
          <w:spacing w:val="5"/>
          <w:sz w:val="16"/>
        </w:rPr>
        <w:t> </w:t>
      </w:r>
      <w:r>
        <w:rPr>
          <w:rFonts w:ascii="Arial"/>
          <w:b/>
          <w:sz w:val="16"/>
        </w:rPr>
        <w:t>unit:</w:t>
      </w:r>
      <w:r>
        <w:rPr>
          <w:rFonts w:ascii="Arial"/>
          <w:b/>
          <w:spacing w:val="5"/>
          <w:sz w:val="16"/>
        </w:rPr>
        <w:t> </w:t>
      </w:r>
      <w:r>
        <w:rPr>
          <w:rFonts w:ascii="Arial"/>
          <w:b/>
          <w:sz w:val="16"/>
        </w:rPr>
        <w:t>Binary</w:t>
      </w:r>
      <w:r>
        <w:rPr>
          <w:rFonts w:ascii="Arial"/>
          <w:b/>
          <w:spacing w:val="4"/>
          <w:sz w:val="16"/>
        </w:rPr>
        <w:t> </w:t>
      </w:r>
      <w:r>
        <w:rPr>
          <w:rFonts w:ascii="Arial"/>
          <w:b/>
          <w:sz w:val="16"/>
        </w:rPr>
        <w:t>classification;</w:t>
      </w:r>
      <w:r>
        <w:rPr>
          <w:rFonts w:ascii="Arial"/>
          <w:b/>
          <w:spacing w:val="5"/>
          <w:sz w:val="16"/>
        </w:rPr>
        <w:t> </w:t>
      </w:r>
      <w:r>
        <w:rPr>
          <w:rFonts w:ascii="Arial"/>
          <w:b/>
          <w:sz w:val="16"/>
        </w:rPr>
        <w:t>one</w:t>
      </w:r>
      <w:r>
        <w:rPr>
          <w:rFonts w:ascii="Arial"/>
          <w:b/>
          <w:spacing w:val="5"/>
          <w:sz w:val="16"/>
        </w:rPr>
        <w:t> </w:t>
      </w:r>
      <w:r>
        <w:rPr>
          <w:rFonts w:ascii="Arial"/>
          <w:b/>
          <w:sz w:val="16"/>
        </w:rPr>
        <w:t>order</w:t>
      </w:r>
      <w:r>
        <w:rPr>
          <w:rFonts w:ascii="Arial"/>
          <w:b/>
          <w:spacing w:val="4"/>
          <w:sz w:val="16"/>
        </w:rPr>
        <w:t> </w:t>
      </w:r>
      <w:r>
        <w:rPr>
          <w:rFonts w:ascii="Arial"/>
          <w:b/>
          <w:sz w:val="16"/>
        </w:rPr>
        <w:t>at</w:t>
      </w:r>
      <w:r>
        <w:rPr>
          <w:rFonts w:ascii="Arial"/>
          <w:b/>
          <w:spacing w:val="5"/>
          <w:sz w:val="16"/>
        </w:rPr>
        <w:t> </w:t>
      </w:r>
      <w:r>
        <w:rPr>
          <w:rFonts w:ascii="Arial"/>
          <w:b/>
          <w:spacing w:val="-2"/>
          <w:sz w:val="16"/>
        </w:rPr>
        <w:t>dispatch.</w:t>
      </w:r>
    </w:p>
    <w:p>
      <w:pPr>
        <w:spacing w:line="261" w:lineRule="auto" w:before="96"/>
        <w:ind w:left="10" w:right="166" w:firstLine="0"/>
        <w:jc w:val="left"/>
        <w:rPr>
          <w:sz w:val="16"/>
        </w:rPr>
      </w:pPr>
      <w:r>
        <w:rPr>
          <w:rFonts w:ascii="Arial"/>
          <w:b/>
          <w:sz w:val="16"/>
        </w:rPr>
        <w:t>Target or unsupervised objective: </w:t>
      </w:r>
      <w:r>
        <w:rPr>
          <w:sz w:val="16"/>
        </w:rPr>
        <w:t>OTIF failure: on_time_in_full = False. Evaluate whether warehouse information improves prediction beyond other observed dispatch-time characteristics.</w:t>
      </w:r>
    </w:p>
    <w:p>
      <w:pPr>
        <w:spacing w:line="261" w:lineRule="auto" w:before="79"/>
        <w:ind w:left="10" w:right="1" w:firstLine="0"/>
        <w:jc w:val="left"/>
        <w:rPr>
          <w:sz w:val="16"/>
        </w:rPr>
      </w:pPr>
      <w:r>
        <w:rPr>
          <w:rFonts w:ascii="Arial"/>
          <w:b/>
          <w:sz w:val="16"/>
        </w:rPr>
        <w:t>Decision-time predictors: </w:t>
      </w:r>
      <w:r>
        <w:rPr>
          <w:sz w:val="16"/>
        </w:rPr>
        <w:t>At dispatch: service level, shipping distance, promised lead time, basket quantity and composition, order value and recorded warehouse. Verify each field's operational meaning and availability at dispatch.</w:t>
      </w:r>
    </w:p>
    <w:p>
      <w:pPr>
        <w:spacing w:line="261" w:lineRule="auto" w:before="79"/>
        <w:ind w:left="10" w:right="119" w:firstLine="0"/>
        <w:jc w:val="left"/>
        <w:rPr>
          <w:sz w:val="16"/>
        </w:rPr>
      </w:pPr>
      <w:r>
        <w:rPr>
          <w:rFonts w:ascii="Arial"/>
          <w:b/>
          <w:sz w:val="16"/>
        </w:rPr>
        <w:t>Validation split and metric: </w:t>
      </w:r>
      <w:r>
        <w:rPr>
          <w:sz w:val="16"/>
        </w:rPr>
        <w:t>Rolling chronological validation in which </w:t>
      </w:r>
      <w:r>
        <w:rPr>
          <w:rFonts w:ascii="Arial"/>
          <w:b/>
          <w:sz w:val="16"/>
        </w:rPr>
        <w:t>training cases have a known final OTIF outcome by the prediction origin </w:t>
      </w:r>
      <w:r>
        <w:rPr>
          <w:sz w:val="16"/>
        </w:rPr>
        <w:t>(including orders dispatched earlier but delivered later). Define the dispatch date/time convention explicitly, since delivery fields carry date-only precision. Compare models with and without warehouse; assess PR-AUC against each test period's failure prevalence (10.62% export-wide), plus calibration and recall/precision at a fixed intervention budget.</w:t>
      </w:r>
    </w:p>
    <w:p>
      <w:pPr>
        <w:spacing w:line="261" w:lineRule="auto" w:before="78"/>
        <w:ind w:left="10" w:right="0" w:firstLine="0"/>
        <w:jc w:val="left"/>
        <w:rPr>
          <w:sz w:val="16"/>
        </w:rPr>
      </w:pPr>
      <w:r>
        <w:rPr>
          <w:rFonts w:ascii="Arial"/>
          <w:b/>
          <w:sz w:val="16"/>
        </w:rPr>
        <w:t>Leakage, fairness or deployment risk: </w:t>
      </w:r>
      <w:r>
        <w:rPr>
          <w:sz w:val="16"/>
        </w:rPr>
        <w:t>Exclude realised delay, delivered date and post-dispatch events. nearest_warehouse may not </w:t>
      </w:r>
      <w:r>
        <w:rPr>
          <w:sz w:val="16"/>
        </w:rPr>
        <w:t>identify dispatch origin. Check customer dependence and performance across service/location groups. Predictive associations do not establish warehouse causality, and intervention savings require fuller cost and effectiveness evidence.</w:t>
      </w:r>
    </w:p>
    <w:p>
      <w:pPr>
        <w:pStyle w:val="BodyText"/>
        <w:rPr>
          <w:sz w:val="16"/>
        </w:rPr>
      </w:pPr>
    </w:p>
    <w:p>
      <w:pPr>
        <w:pStyle w:val="BodyText"/>
        <w:spacing w:before="111"/>
        <w:rPr>
          <w:sz w:val="16"/>
        </w:rPr>
      </w:pPr>
    </w:p>
    <w:p>
      <w:pPr>
        <w:pStyle w:val="Heading3"/>
        <w:spacing w:before="1"/>
      </w:pPr>
      <w:r>
        <w:rPr>
          <w:color w:val="183D60"/>
        </w:rPr>
        <w:t>Supporting </w:t>
      </w:r>
      <w:r>
        <w:rPr>
          <w:color w:val="183D60"/>
          <w:spacing w:val="-2"/>
        </w:rPr>
        <w:t>evidence</w:t>
      </w:r>
    </w:p>
    <w:p>
      <w:pPr>
        <w:pStyle w:val="BodyText"/>
        <w:spacing w:line="266" w:lineRule="auto" w:before="116"/>
        <w:ind w:left="10" w:right="448"/>
      </w:pPr>
      <w:r>
        <w:rPr/>
        <w:t>The notebook supplementary cell reproduces review-count audits, Figure 5 sensitivity checks, service-cost summaries, a review-lag</w:t>
      </w:r>
      <w:r>
        <w:rPr>
          <w:spacing w:val="-3"/>
        </w:rPr>
        <w:t> </w:t>
      </w:r>
      <w:r>
        <w:rPr/>
        <w:t>reference</w:t>
      </w:r>
      <w:r>
        <w:rPr>
          <w:spacing w:val="-3"/>
        </w:rPr>
        <w:t> </w:t>
      </w:r>
      <w:r>
        <w:rPr/>
        <w:t>and</w:t>
      </w:r>
      <w:r>
        <w:rPr>
          <w:spacing w:val="-3"/>
        </w:rPr>
        <w:t> </w:t>
      </w:r>
      <w:r>
        <w:rPr/>
        <w:t>a</w:t>
      </w:r>
      <w:r>
        <w:rPr>
          <w:spacing w:val="-3"/>
        </w:rPr>
        <w:t> </w:t>
      </w:r>
      <w:r>
        <w:rPr/>
        <w:t>headline</w:t>
      </w:r>
      <w:r>
        <w:rPr>
          <w:spacing w:val="-3"/>
        </w:rPr>
        <w:t> </w:t>
      </w:r>
      <w:r>
        <w:rPr/>
        <w:t>results</w:t>
      </w:r>
      <w:r>
        <w:rPr>
          <w:spacing w:val="-3"/>
        </w:rPr>
        <w:t> </w:t>
      </w:r>
      <w:r>
        <w:rPr/>
        <w:t>register.</w:t>
      </w:r>
      <w:r>
        <w:rPr>
          <w:spacing w:val="-3"/>
        </w:rPr>
        <w:t> </w:t>
      </w:r>
      <w:r>
        <w:rPr/>
        <w:t>These</w:t>
      </w:r>
      <w:r>
        <w:rPr>
          <w:spacing w:val="-3"/>
        </w:rPr>
        <w:t> </w:t>
      </w:r>
      <w:r>
        <w:rPr/>
        <w:t>are</w:t>
      </w:r>
      <w:r>
        <w:rPr>
          <w:spacing w:val="-3"/>
        </w:rPr>
        <w:t> </w:t>
      </w:r>
      <w:r>
        <w:rPr/>
        <w:t>whole-export</w:t>
      </w:r>
      <w:r>
        <w:rPr>
          <w:spacing w:val="-3"/>
        </w:rPr>
        <w:t> </w:t>
      </w:r>
      <w:r>
        <w:rPr/>
        <w:t>summaries,</w:t>
      </w:r>
      <w:r>
        <w:rPr>
          <w:spacing w:val="-3"/>
        </w:rPr>
        <w:t> </w:t>
      </w:r>
      <w:r>
        <w:rPr/>
        <w:t>not</w:t>
      </w:r>
      <w:r>
        <w:rPr>
          <w:spacing w:val="-3"/>
        </w:rPr>
        <w:t> </w:t>
      </w:r>
      <w:r>
        <w:rPr/>
        <w:t>verified</w:t>
      </w:r>
      <w:r>
        <w:rPr>
          <w:spacing w:val="-3"/>
        </w:rPr>
        <w:t> </w:t>
      </w:r>
      <w:r>
        <w:rPr/>
        <w:t>30-day</w:t>
      </w:r>
      <w:r>
        <w:rPr>
          <w:spacing w:val="-3"/>
        </w:rPr>
        <w:t> </w:t>
      </w:r>
      <w:r>
        <w:rPr/>
        <w:t>event</w:t>
      </w:r>
      <w:r>
        <w:rPr>
          <w:spacing w:val="-3"/>
        </w:rPr>
        <w:t> </w:t>
      </w:r>
      <w:r>
        <w:rPr/>
        <w:t>rates</w:t>
      </w:r>
      <w:r>
        <w:rPr>
          <w:spacing w:val="-3"/>
        </w:rPr>
        <w:t> </w:t>
      </w:r>
      <w:r>
        <w:rPr/>
        <w:t>or out-of-sample validation baselines. Predictive performance remains untested.</w:t>
      </w:r>
    </w:p>
    <w:p>
      <w:pPr>
        <w:pStyle w:val="BodyText"/>
        <w:spacing w:after="0" w:line="266" w:lineRule="auto"/>
        <w:sectPr>
          <w:headerReference w:type="default" r:id="rId28"/>
          <w:footerReference w:type="default" r:id="rId29"/>
          <w:pgSz w:w="11910" w:h="16840"/>
          <w:pgMar w:header="888" w:footer="330" w:top="1220" w:bottom="520" w:left="850" w:right="850"/>
        </w:sectPr>
      </w:pPr>
    </w:p>
    <w:p>
      <w:pPr>
        <w:pStyle w:val="BodyText"/>
        <w:spacing w:before="9"/>
        <w:rPr>
          <w:sz w:val="16"/>
        </w:rPr>
      </w:pPr>
    </w:p>
    <w:tbl>
      <w:tblPr>
        <w:tblW w:w="0" w:type="auto"/>
        <w:jc w:val="left"/>
        <w:tblInd w:w="17" w:type="dxa"/>
        <w:tblBorders>
          <w:top w:val="single" w:sz="4" w:space="0" w:color="C6D1DB"/>
          <w:left w:val="single" w:sz="4" w:space="0" w:color="C6D1DB"/>
          <w:bottom w:val="single" w:sz="4" w:space="0" w:color="C6D1DB"/>
          <w:right w:val="single" w:sz="4" w:space="0" w:color="C6D1DB"/>
          <w:insideH w:val="single" w:sz="4" w:space="0" w:color="C6D1DB"/>
          <w:insideV w:val="single" w:sz="4" w:space="0" w:color="C6D1DB"/>
        </w:tblBorders>
        <w:tblLayout w:type="fixed"/>
        <w:tblCellMar>
          <w:top w:w="0" w:type="dxa"/>
          <w:left w:w="0" w:type="dxa"/>
          <w:bottom w:w="0" w:type="dxa"/>
          <w:right w:w="0" w:type="dxa"/>
        </w:tblCellMar>
        <w:tblLook w:val="01E0"/>
      </w:tblPr>
      <w:tblGrid>
        <w:gridCol w:w="4889"/>
        <w:gridCol w:w="5296"/>
      </w:tblGrid>
      <w:tr>
        <w:trPr>
          <w:trHeight w:val="350" w:hRule="atLeast"/>
        </w:trPr>
        <w:tc>
          <w:tcPr>
            <w:tcW w:w="4889" w:type="dxa"/>
            <w:shd w:val="clear" w:color="auto" w:fill="E8EFF4"/>
          </w:tcPr>
          <w:p>
            <w:pPr>
              <w:pStyle w:val="TableParagraph"/>
              <w:ind w:left="97"/>
              <w:rPr>
                <w:sz w:val="16"/>
              </w:rPr>
            </w:pPr>
            <w:r>
              <w:rPr>
                <w:spacing w:val="-2"/>
                <w:sz w:val="16"/>
              </w:rPr>
              <w:t>Limitation</w:t>
            </w:r>
          </w:p>
        </w:tc>
        <w:tc>
          <w:tcPr>
            <w:tcW w:w="5296" w:type="dxa"/>
            <w:shd w:val="clear" w:color="auto" w:fill="E8EFF4"/>
          </w:tcPr>
          <w:p>
            <w:pPr>
              <w:pStyle w:val="TableParagraph"/>
              <w:ind w:left="98"/>
              <w:rPr>
                <w:sz w:val="16"/>
              </w:rPr>
            </w:pPr>
            <w:r>
              <w:rPr>
                <w:sz w:val="16"/>
              </w:rPr>
              <w:t>Effect</w:t>
            </w:r>
            <w:r>
              <w:rPr>
                <w:spacing w:val="4"/>
                <w:sz w:val="16"/>
              </w:rPr>
              <w:t> </w:t>
            </w:r>
            <w:r>
              <w:rPr>
                <w:sz w:val="16"/>
              </w:rPr>
              <w:t>on</w:t>
            </w:r>
            <w:r>
              <w:rPr>
                <w:spacing w:val="4"/>
                <w:sz w:val="16"/>
              </w:rPr>
              <w:t> </w:t>
            </w:r>
            <w:r>
              <w:rPr>
                <w:sz w:val="16"/>
              </w:rPr>
              <w:t>interpretation</w:t>
            </w:r>
            <w:r>
              <w:rPr>
                <w:spacing w:val="5"/>
                <w:sz w:val="16"/>
              </w:rPr>
              <w:t> </w:t>
            </w:r>
            <w:r>
              <w:rPr>
                <w:sz w:val="16"/>
              </w:rPr>
              <w:t>and</w:t>
            </w:r>
            <w:r>
              <w:rPr>
                <w:spacing w:val="4"/>
                <w:sz w:val="16"/>
              </w:rPr>
              <w:t> </w:t>
            </w:r>
            <w:r>
              <w:rPr>
                <w:sz w:val="16"/>
              </w:rPr>
              <w:t>required</w:t>
            </w:r>
            <w:r>
              <w:rPr>
                <w:spacing w:val="5"/>
                <w:sz w:val="16"/>
              </w:rPr>
              <w:t> </w:t>
            </w:r>
            <w:r>
              <w:rPr>
                <w:sz w:val="16"/>
              </w:rPr>
              <w:t>next</w:t>
            </w:r>
            <w:r>
              <w:rPr>
                <w:spacing w:val="4"/>
                <w:sz w:val="16"/>
              </w:rPr>
              <w:t> </w:t>
            </w:r>
            <w:r>
              <w:rPr>
                <w:spacing w:val="-4"/>
                <w:sz w:val="16"/>
              </w:rPr>
              <w:t>step</w:t>
            </w:r>
          </w:p>
        </w:tc>
      </w:tr>
      <w:tr>
        <w:trPr>
          <w:trHeight w:val="1350" w:hRule="atLeast"/>
        </w:trPr>
        <w:tc>
          <w:tcPr>
            <w:tcW w:w="4889" w:type="dxa"/>
          </w:tcPr>
          <w:p>
            <w:pPr>
              <w:pStyle w:val="TableParagraph"/>
              <w:spacing w:line="261" w:lineRule="auto"/>
              <w:ind w:left="97" w:right="185"/>
              <w:rPr>
                <w:sz w:val="16"/>
              </w:rPr>
            </w:pPr>
            <w:r>
              <w:rPr>
                <w:rFonts w:ascii="Arial"/>
                <w:b/>
                <w:sz w:val="16"/>
              </w:rPr>
              <w:t>Scope, observation period and dependence. </w:t>
            </w:r>
            <w:r>
              <w:rPr>
                <w:sz w:val="16"/>
              </w:rPr>
              <w:t>The data comprise one approximately one-year export: 5,000 orders, 15,739 item lines, 5,000 completed-order deliveries, 7,000 reviews, 500 customers and 1,000 products. The export is not </w:t>
            </w:r>
            <w:r>
              <w:rPr>
                <w:sz w:val="16"/>
              </w:rPr>
              <w:t>a probability sample, and customers can contribute repeated </w:t>
            </w:r>
            <w:r>
              <w:rPr>
                <w:spacing w:val="-2"/>
                <w:sz w:val="16"/>
              </w:rPr>
              <w:t>orders.</w:t>
            </w:r>
          </w:p>
        </w:tc>
        <w:tc>
          <w:tcPr>
            <w:tcW w:w="5296" w:type="dxa"/>
          </w:tcPr>
          <w:p>
            <w:pPr>
              <w:pStyle w:val="TableParagraph"/>
              <w:spacing w:line="261" w:lineRule="auto"/>
              <w:ind w:left="98" w:right="100"/>
              <w:rPr>
                <w:sz w:val="16"/>
              </w:rPr>
            </w:pPr>
            <w:r>
              <w:rPr>
                <w:sz w:val="16"/>
              </w:rPr>
              <w:t>The findings describe the observed export and do not establish </w:t>
            </w:r>
            <w:r>
              <w:rPr>
                <w:sz w:val="16"/>
              </w:rPr>
              <w:t>stability across years, policies or customer populations. One annual cycle</w:t>
            </w:r>
            <w:r>
              <w:rPr>
                <w:spacing w:val="40"/>
                <w:sz w:val="16"/>
              </w:rPr>
              <w:t> </w:t>
            </w:r>
            <w:r>
              <w:rPr>
                <w:sz w:val="16"/>
              </w:rPr>
              <w:t>cannot distinguish recurring seasonality from promotions, trends or random variation. The analysis should be repeated on a later or independent period, using customer-grouped sensitivity checks where repeated customers may affect uncertainty.</w:t>
            </w:r>
          </w:p>
        </w:tc>
      </w:tr>
      <w:tr>
        <w:trPr>
          <w:trHeight w:val="1550" w:hRule="atLeast"/>
        </w:trPr>
        <w:tc>
          <w:tcPr>
            <w:tcW w:w="4889" w:type="dxa"/>
          </w:tcPr>
          <w:p>
            <w:pPr>
              <w:pStyle w:val="TableParagraph"/>
              <w:spacing w:line="261" w:lineRule="auto"/>
              <w:ind w:left="97" w:right="96"/>
              <w:rPr>
                <w:sz w:val="16"/>
              </w:rPr>
            </w:pPr>
            <w:r>
              <w:rPr>
                <w:rFonts w:ascii="Arial"/>
                <w:b/>
                <w:sz w:val="16"/>
              </w:rPr>
              <w:t>Review selection and follow-up. </w:t>
            </w:r>
            <w:r>
              <w:rPr>
                <w:sz w:val="16"/>
              </w:rPr>
              <w:t>Reviews cover 7,000 of</w:t>
            </w:r>
            <w:r>
              <w:rPr>
                <w:spacing w:val="80"/>
                <w:sz w:val="16"/>
              </w:rPr>
              <w:t> </w:t>
            </w:r>
            <w:r>
              <w:rPr>
                <w:sz w:val="16"/>
              </w:rPr>
              <w:t>15,739 purchased item lines. Review coverage varies</w:t>
            </w:r>
            <w:r>
              <w:rPr>
                <w:spacing w:val="40"/>
                <w:sz w:val="16"/>
              </w:rPr>
              <w:t> </w:t>
            </w:r>
            <w:r>
              <w:rPr>
                <w:sz w:val="16"/>
              </w:rPr>
              <w:t>substantially with item price, and an absent review may </w:t>
            </w:r>
            <w:r>
              <w:rPr>
                <w:sz w:val="16"/>
              </w:rPr>
              <w:t>represent non-participation, delayed submission or an incomplete observation window.</w:t>
            </w:r>
          </w:p>
        </w:tc>
        <w:tc>
          <w:tcPr>
            <w:tcW w:w="5296" w:type="dxa"/>
          </w:tcPr>
          <w:p>
            <w:pPr>
              <w:pStyle w:val="TableParagraph"/>
              <w:spacing w:line="261" w:lineRule="auto"/>
              <w:ind w:left="98" w:right="116"/>
              <w:rPr>
                <w:sz w:val="16"/>
              </w:rPr>
            </w:pPr>
            <w:r>
              <w:rPr>
                <w:sz w:val="16"/>
              </w:rPr>
              <w:t>The 1,197 reviews rated at most two stars represent 17.1% of</w:t>
            </w:r>
            <w:r>
              <w:rPr>
                <w:spacing w:val="80"/>
                <w:sz w:val="16"/>
              </w:rPr>
              <w:t> </w:t>
            </w:r>
            <w:r>
              <w:rPr>
                <w:sz w:val="16"/>
              </w:rPr>
              <w:t>observed reviews and 7.6% of all purchased item lines. The latter is </w:t>
            </w:r>
            <w:r>
              <w:rPr>
                <w:sz w:val="16"/>
              </w:rPr>
              <w:t>an observed recorded-negative-feedback rate, not the prevalence of dissatisfaction. The extraction cutoff should be verified and complete 30-day post-delivery cohorts constructed before missing reviews are labelled as non-events. Review occurrence should be modelled separately from rating severity.</w:t>
            </w:r>
          </w:p>
        </w:tc>
      </w:tr>
      <w:tr>
        <w:trPr>
          <w:trHeight w:val="1350" w:hRule="atLeast"/>
        </w:trPr>
        <w:tc>
          <w:tcPr>
            <w:tcW w:w="4889" w:type="dxa"/>
          </w:tcPr>
          <w:p>
            <w:pPr>
              <w:pStyle w:val="TableParagraph"/>
              <w:spacing w:line="261" w:lineRule="auto"/>
              <w:ind w:left="97" w:right="185"/>
              <w:rPr>
                <w:sz w:val="16"/>
              </w:rPr>
            </w:pPr>
            <w:r>
              <w:rPr>
                <w:rFonts w:ascii="Arial"/>
                <w:b/>
                <w:sz w:val="16"/>
              </w:rPr>
              <w:t>Operational field meaning and residual confounding. </w:t>
            </w:r>
            <w:r>
              <w:rPr>
                <w:sz w:val="16"/>
              </w:rPr>
              <w:t>nearest_warehouse records proximity but is not verified as </w:t>
            </w:r>
            <w:r>
              <w:rPr>
                <w:sz w:val="16"/>
              </w:rPr>
              <w:t>the facility that dispatched an order. Service mix is examined, but distance, geography, courier, inventory availability, basket complexity and rerouting remain possible explanations for the OTIF differences.</w:t>
            </w:r>
          </w:p>
        </w:tc>
        <w:tc>
          <w:tcPr>
            <w:tcW w:w="5296" w:type="dxa"/>
          </w:tcPr>
          <w:p>
            <w:pPr>
              <w:pStyle w:val="TableParagraph"/>
              <w:spacing w:line="261" w:lineRule="auto"/>
              <w:ind w:left="98"/>
              <w:rPr>
                <w:sz w:val="16"/>
              </w:rPr>
            </w:pPr>
            <w:r>
              <w:rPr>
                <w:sz w:val="16"/>
              </w:rPr>
              <w:t>The warehouse results are exploratory associations rather than causal facility effects. Dispatch lineage should be verified where possible, and future analysis should adjust for decision-time case mix before recommending a warehouse intervention. Binary OTIF should also be supplemented with delay magnitude because it treats minor and </w:t>
            </w:r>
            <w:r>
              <w:rPr>
                <w:sz w:val="16"/>
              </w:rPr>
              <w:t>severe failures equally.</w:t>
            </w:r>
          </w:p>
        </w:tc>
      </w:tr>
      <w:tr>
        <w:trPr>
          <w:trHeight w:val="1349" w:hRule="atLeast"/>
        </w:trPr>
        <w:tc>
          <w:tcPr>
            <w:tcW w:w="4889" w:type="dxa"/>
          </w:tcPr>
          <w:p>
            <w:pPr>
              <w:pStyle w:val="TableParagraph"/>
              <w:spacing w:line="261" w:lineRule="auto"/>
              <w:ind w:left="97" w:right="150"/>
              <w:rPr>
                <w:sz w:val="16"/>
              </w:rPr>
            </w:pPr>
            <w:r>
              <w:rPr>
                <w:rFonts w:ascii="Arial"/>
                <w:b/>
                <w:sz w:val="16"/>
              </w:rPr>
              <w:t>Commercial measures are recorded-field proxies. </w:t>
            </w:r>
            <w:r>
              <w:rPr>
                <w:sz w:val="16"/>
              </w:rPr>
              <w:t>order_total represents customer-paid value rather than merchandise revenue. Category contribution uses allocated discounts and recorded unit costs, while delivery recovery uses recorded charges and costs whose GST, labour, packaging, returns,</w:t>
            </w:r>
            <w:r>
              <w:rPr>
                <w:spacing w:val="40"/>
                <w:sz w:val="16"/>
              </w:rPr>
              <w:t> </w:t>
            </w:r>
            <w:r>
              <w:rPr>
                <w:sz w:val="16"/>
              </w:rPr>
              <w:t>failed-delivery and overhead coverage is not fully documented.</w:t>
            </w:r>
          </w:p>
        </w:tc>
        <w:tc>
          <w:tcPr>
            <w:tcW w:w="5296" w:type="dxa"/>
          </w:tcPr>
          <w:p>
            <w:pPr>
              <w:pStyle w:val="TableParagraph"/>
              <w:spacing w:line="261" w:lineRule="auto"/>
              <w:ind w:left="98" w:right="188"/>
              <w:jc w:val="both"/>
              <w:rPr>
                <w:sz w:val="16"/>
              </w:rPr>
            </w:pPr>
            <w:r>
              <w:rPr>
                <w:sz w:val="16"/>
              </w:rPr>
              <w:t>The analysis cannot establish accounting profit, optimal pricing or the monetary benefit of an intervention. Tax treatment, line-level discount allocation and cost provenance must be confirmed before </w:t>
            </w:r>
            <w:r>
              <w:rPr>
                <w:sz w:val="16"/>
              </w:rPr>
              <w:t>contribution or recovery values are used for budgeting and investment decisions.</w:t>
            </w:r>
          </w:p>
        </w:tc>
      </w:tr>
      <w:tr>
        <w:trPr>
          <w:trHeight w:val="1550" w:hRule="atLeast"/>
        </w:trPr>
        <w:tc>
          <w:tcPr>
            <w:tcW w:w="4889" w:type="dxa"/>
          </w:tcPr>
          <w:p>
            <w:pPr>
              <w:pStyle w:val="TableParagraph"/>
              <w:spacing w:line="261" w:lineRule="auto"/>
              <w:ind w:left="97" w:right="150"/>
              <w:rPr>
                <w:sz w:val="16"/>
              </w:rPr>
            </w:pPr>
            <w:r>
              <w:rPr>
                <w:rFonts w:ascii="Arial" w:hAnsi="Arial"/>
                <w:b/>
                <w:sz w:val="16"/>
              </w:rPr>
              <w:t>Statistical uncertainty and exploratory testing. </w:t>
            </w:r>
            <w:r>
              <w:rPr>
                <w:sz w:val="16"/>
              </w:rPr>
              <w:t>Wilson intervals, Newcombe difference intervals, Bonferroni </w:t>
            </w:r>
            <w:r>
              <w:rPr>
                <w:sz w:val="16"/>
              </w:rPr>
              <w:t>adjustment, order-cluster bootstrap intervals and Cliff’s delta quantify specific forms of uncertainty under their stated units and assumptions.</w:t>
            </w:r>
          </w:p>
          <w:p>
            <w:pPr>
              <w:pStyle w:val="TableParagraph"/>
              <w:spacing w:line="261" w:lineRule="auto" w:before="0"/>
              <w:ind w:left="97" w:right="185"/>
              <w:rPr>
                <w:sz w:val="16"/>
              </w:rPr>
            </w:pPr>
            <w:r>
              <w:rPr>
                <w:sz w:val="16"/>
              </w:rPr>
              <w:t>Order clustering does not address repeated-customer dependence, while multiplicity adjustment does not </w:t>
            </w:r>
            <w:r>
              <w:rPr>
                <w:sz w:val="16"/>
              </w:rPr>
              <w:t>remove selection bias, measurement error or confounding.</w:t>
            </w:r>
          </w:p>
        </w:tc>
        <w:tc>
          <w:tcPr>
            <w:tcW w:w="5296" w:type="dxa"/>
          </w:tcPr>
          <w:p>
            <w:pPr>
              <w:pStyle w:val="TableParagraph"/>
              <w:spacing w:line="261" w:lineRule="auto"/>
              <w:ind w:left="98" w:right="100"/>
              <w:rPr>
                <w:sz w:val="16"/>
              </w:rPr>
            </w:pPr>
            <w:r>
              <w:rPr>
                <w:sz w:val="16"/>
              </w:rPr>
              <w:t>Effect sizes should be interpreted with their denominators and </w:t>
            </w:r>
            <w:r>
              <w:rPr>
                <w:sz w:val="16"/>
              </w:rPr>
              <w:t>practical importance. The intervals do not guarantee population representativeness. Confirmatory analysis should pre-specify its hypotheses, observational unit and comparison family, then reproduce the results using held-out or later data.</w:t>
            </w:r>
          </w:p>
        </w:tc>
      </w:tr>
      <w:tr>
        <w:trPr>
          <w:trHeight w:val="1550" w:hRule="atLeast"/>
        </w:trPr>
        <w:tc>
          <w:tcPr>
            <w:tcW w:w="4889" w:type="dxa"/>
          </w:tcPr>
          <w:p>
            <w:pPr>
              <w:pStyle w:val="TableParagraph"/>
              <w:spacing w:line="261" w:lineRule="auto"/>
              <w:ind w:left="97" w:right="185"/>
              <w:rPr>
                <w:sz w:val="16"/>
              </w:rPr>
            </w:pPr>
            <w:r>
              <w:rPr>
                <w:rFonts w:ascii="Arial"/>
                <w:b/>
                <w:sz w:val="16"/>
              </w:rPr>
              <w:t>Prediction and deployment remain untested. </w:t>
            </w:r>
            <w:r>
              <w:rPr>
                <w:sz w:val="16"/>
              </w:rPr>
              <w:t>The ML questions define future analyses; this EDA does not train or validate deployable models. Some fields may only become available after the proposed prediction time, and selection </w:t>
            </w:r>
            <w:r>
              <w:rPr>
                <w:sz w:val="16"/>
              </w:rPr>
              <w:t>into the review sample may affect training and evaluation.</w:t>
            </w:r>
          </w:p>
        </w:tc>
        <w:tc>
          <w:tcPr>
            <w:tcW w:w="5296" w:type="dxa"/>
          </w:tcPr>
          <w:p>
            <w:pPr>
              <w:pStyle w:val="TableParagraph"/>
              <w:spacing w:line="261" w:lineRule="auto"/>
              <w:ind w:left="98" w:right="142"/>
              <w:rPr>
                <w:sz w:val="16"/>
              </w:rPr>
            </w:pPr>
            <w:r>
              <w:rPr>
                <w:sz w:val="16"/>
              </w:rPr>
              <w:t>Future models must use predictors available at the stated decision</w:t>
            </w:r>
            <w:r>
              <w:rPr>
                <w:spacing w:val="80"/>
                <w:sz w:val="16"/>
              </w:rPr>
              <w:t> </w:t>
            </w:r>
            <w:r>
              <w:rPr>
                <w:sz w:val="16"/>
              </w:rPr>
              <w:t>time, keep each order and its item lines within one partition, require mature outcomes and apply chronological validation. Models should </w:t>
            </w:r>
            <w:r>
              <w:rPr>
                <w:sz w:val="16"/>
              </w:rPr>
              <w:t>be compared against explicit baselines and assessed using calibration</w:t>
            </w:r>
            <w:r>
              <w:rPr>
                <w:spacing w:val="80"/>
                <w:sz w:val="16"/>
              </w:rPr>
              <w:t> </w:t>
            </w:r>
            <w:r>
              <w:rPr>
                <w:sz w:val="16"/>
              </w:rPr>
              <w:t>and performance at the operational intervention budget. Predictive association does not demonstrate that contacting a customer or changing a fulfilment process causes a beneficial outcome.</w:t>
            </w:r>
          </w:p>
        </w:tc>
      </w:tr>
    </w:tbl>
    <w:p>
      <w:pPr>
        <w:pStyle w:val="TableParagraph"/>
        <w:spacing w:after="0" w:line="261" w:lineRule="auto"/>
        <w:rPr>
          <w:sz w:val="16"/>
        </w:rPr>
        <w:sectPr>
          <w:headerReference w:type="default" r:id="rId30"/>
          <w:footerReference w:type="default" r:id="rId31"/>
          <w:pgSz w:w="11910" w:h="16840"/>
          <w:pgMar w:header="888" w:footer="330" w:top="1220" w:bottom="520" w:left="850" w:right="850"/>
        </w:sectPr>
      </w:pPr>
    </w:p>
    <w:p>
      <w:pPr>
        <w:pStyle w:val="Heading3"/>
      </w:pPr>
      <w:r>
        <w:rPr>
          <w:color w:val="183D60"/>
        </w:rPr>
        <w:t>Statistical method </w:t>
      </w:r>
      <w:r>
        <w:rPr>
          <w:color w:val="183D60"/>
          <w:spacing w:val="-2"/>
        </w:rPr>
        <w:t>references</w:t>
      </w:r>
    </w:p>
    <w:p>
      <w:pPr>
        <w:pStyle w:val="ListParagraph"/>
        <w:numPr>
          <w:ilvl w:val="0"/>
          <w:numId w:val="3"/>
        </w:numPr>
        <w:tabs>
          <w:tab w:pos="123" w:val="left" w:leader="none"/>
        </w:tabs>
        <w:spacing w:line="240" w:lineRule="auto" w:before="117" w:after="0"/>
        <w:ind w:left="123" w:right="0" w:hanging="113"/>
        <w:jc w:val="left"/>
        <w:rPr>
          <w:sz w:val="18"/>
        </w:rPr>
      </w:pPr>
      <w:r>
        <w:rPr>
          <w:sz w:val="18"/>
        </w:rPr>
        <w:t>Cliff, N. (1993). Dominance statistics: Ordinal analyses to answer ordinal questions. </w:t>
      </w:r>
      <w:r>
        <w:rPr>
          <w:rFonts w:ascii="Arial" w:hAnsi="Arial"/>
          <w:i/>
          <w:sz w:val="18"/>
        </w:rPr>
        <w:t>Psychological Bulletin, 114</w:t>
      </w:r>
      <w:r>
        <w:rPr>
          <w:sz w:val="18"/>
        </w:rPr>
        <w:t>(3), 494–</w:t>
      </w:r>
      <w:r>
        <w:rPr>
          <w:spacing w:val="-4"/>
          <w:sz w:val="18"/>
        </w:rPr>
        <w:t>509.</w:t>
      </w:r>
    </w:p>
    <w:p>
      <w:pPr>
        <w:pStyle w:val="ListParagraph"/>
        <w:numPr>
          <w:ilvl w:val="0"/>
          <w:numId w:val="3"/>
        </w:numPr>
        <w:tabs>
          <w:tab w:pos="123" w:val="left" w:leader="none"/>
        </w:tabs>
        <w:spacing w:line="240" w:lineRule="auto" w:before="123" w:after="0"/>
        <w:ind w:left="123" w:right="0" w:hanging="113"/>
        <w:jc w:val="left"/>
        <w:rPr>
          <w:sz w:val="18"/>
        </w:rPr>
      </w:pPr>
      <w:r>
        <w:rPr>
          <w:sz w:val="18"/>
        </w:rPr>
        <w:t>Efron, B., and Tibshirani, R. J. (1993). </w:t>
      </w:r>
      <w:r>
        <w:rPr>
          <w:rFonts w:ascii="Arial" w:hAnsi="Arial"/>
          <w:i/>
          <w:sz w:val="18"/>
        </w:rPr>
        <w:t>An introduction to the bootstrap</w:t>
      </w:r>
      <w:r>
        <w:rPr>
          <w:sz w:val="18"/>
        </w:rPr>
        <w:t>. Chapman &amp; </w:t>
      </w:r>
      <w:r>
        <w:rPr>
          <w:spacing w:val="-2"/>
          <w:sz w:val="18"/>
        </w:rPr>
        <w:t>Hall.</w:t>
      </w:r>
    </w:p>
    <w:p>
      <w:pPr>
        <w:pStyle w:val="ListParagraph"/>
        <w:numPr>
          <w:ilvl w:val="0"/>
          <w:numId w:val="3"/>
        </w:numPr>
        <w:tabs>
          <w:tab w:pos="123" w:val="left" w:leader="none"/>
        </w:tabs>
        <w:spacing w:line="266" w:lineRule="auto" w:before="123" w:after="0"/>
        <w:ind w:left="10" w:right="555" w:firstLine="0"/>
        <w:jc w:val="left"/>
        <w:rPr>
          <w:sz w:val="18"/>
        </w:rPr>
      </w:pPr>
      <w:r>
        <w:rPr>
          <w:sz w:val="18"/>
        </w:rPr>
        <w:t>Newcombe,</w:t>
      </w:r>
      <w:r>
        <w:rPr>
          <w:spacing w:val="-3"/>
          <w:sz w:val="18"/>
        </w:rPr>
        <w:t> </w:t>
      </w:r>
      <w:r>
        <w:rPr>
          <w:sz w:val="18"/>
        </w:rPr>
        <w:t>R.</w:t>
      </w:r>
      <w:r>
        <w:rPr>
          <w:spacing w:val="-3"/>
          <w:sz w:val="18"/>
        </w:rPr>
        <w:t> </w:t>
      </w:r>
      <w:r>
        <w:rPr>
          <w:sz w:val="18"/>
        </w:rPr>
        <w:t>G.</w:t>
      </w:r>
      <w:r>
        <w:rPr>
          <w:spacing w:val="-3"/>
          <w:sz w:val="18"/>
        </w:rPr>
        <w:t> </w:t>
      </w:r>
      <w:r>
        <w:rPr>
          <w:sz w:val="18"/>
        </w:rPr>
        <w:t>(1998).</w:t>
      </w:r>
      <w:r>
        <w:rPr>
          <w:spacing w:val="-3"/>
          <w:sz w:val="18"/>
        </w:rPr>
        <w:t> </w:t>
      </w:r>
      <w:r>
        <w:rPr>
          <w:sz w:val="18"/>
        </w:rPr>
        <w:t>Interval</w:t>
      </w:r>
      <w:r>
        <w:rPr>
          <w:spacing w:val="-3"/>
          <w:sz w:val="18"/>
        </w:rPr>
        <w:t> </w:t>
      </w:r>
      <w:r>
        <w:rPr>
          <w:sz w:val="18"/>
        </w:rPr>
        <w:t>estimation</w:t>
      </w:r>
      <w:r>
        <w:rPr>
          <w:spacing w:val="-3"/>
          <w:sz w:val="18"/>
        </w:rPr>
        <w:t> </w:t>
      </w:r>
      <w:r>
        <w:rPr>
          <w:sz w:val="18"/>
        </w:rPr>
        <w:t>for</w:t>
      </w:r>
      <w:r>
        <w:rPr>
          <w:spacing w:val="-3"/>
          <w:sz w:val="18"/>
        </w:rPr>
        <w:t> </w:t>
      </w:r>
      <w:r>
        <w:rPr>
          <w:sz w:val="18"/>
        </w:rPr>
        <w:t>the</w:t>
      </w:r>
      <w:r>
        <w:rPr>
          <w:spacing w:val="-3"/>
          <w:sz w:val="18"/>
        </w:rPr>
        <w:t> </w:t>
      </w:r>
      <w:r>
        <w:rPr>
          <w:sz w:val="18"/>
        </w:rPr>
        <w:t>difference</w:t>
      </w:r>
      <w:r>
        <w:rPr>
          <w:spacing w:val="-3"/>
          <w:sz w:val="18"/>
        </w:rPr>
        <w:t> </w:t>
      </w:r>
      <w:r>
        <w:rPr>
          <w:sz w:val="18"/>
        </w:rPr>
        <w:t>between</w:t>
      </w:r>
      <w:r>
        <w:rPr>
          <w:spacing w:val="-3"/>
          <w:sz w:val="18"/>
        </w:rPr>
        <w:t> </w:t>
      </w:r>
      <w:r>
        <w:rPr>
          <w:sz w:val="18"/>
        </w:rPr>
        <w:t>independent</w:t>
      </w:r>
      <w:r>
        <w:rPr>
          <w:spacing w:val="-3"/>
          <w:sz w:val="18"/>
        </w:rPr>
        <w:t> </w:t>
      </w:r>
      <w:r>
        <w:rPr>
          <w:sz w:val="18"/>
        </w:rPr>
        <w:t>proportions:</w:t>
      </w:r>
      <w:r>
        <w:rPr>
          <w:spacing w:val="-3"/>
          <w:sz w:val="18"/>
        </w:rPr>
        <w:t> </w:t>
      </w:r>
      <w:r>
        <w:rPr>
          <w:sz w:val="18"/>
        </w:rPr>
        <w:t>Comparison</w:t>
      </w:r>
      <w:r>
        <w:rPr>
          <w:spacing w:val="-3"/>
          <w:sz w:val="18"/>
        </w:rPr>
        <w:t> </w:t>
      </w:r>
      <w:r>
        <w:rPr>
          <w:sz w:val="18"/>
        </w:rPr>
        <w:t>of</w:t>
      </w:r>
      <w:r>
        <w:rPr>
          <w:spacing w:val="-3"/>
          <w:sz w:val="18"/>
        </w:rPr>
        <w:t> </w:t>
      </w:r>
      <w:r>
        <w:rPr>
          <w:sz w:val="18"/>
        </w:rPr>
        <w:t>eleven methods. </w:t>
      </w:r>
      <w:r>
        <w:rPr>
          <w:rFonts w:ascii="Arial" w:hAnsi="Arial"/>
          <w:i/>
          <w:sz w:val="18"/>
        </w:rPr>
        <w:t>Statistics in Medicine, 17</w:t>
      </w:r>
      <w:r>
        <w:rPr>
          <w:sz w:val="18"/>
        </w:rPr>
        <w:t>(8), 873–890.</w:t>
      </w:r>
    </w:p>
    <w:p>
      <w:pPr>
        <w:pStyle w:val="ListParagraph"/>
        <w:numPr>
          <w:ilvl w:val="0"/>
          <w:numId w:val="3"/>
        </w:numPr>
        <w:tabs>
          <w:tab w:pos="123" w:val="left" w:leader="none"/>
        </w:tabs>
        <w:spacing w:line="266" w:lineRule="auto" w:before="100" w:after="0"/>
        <w:ind w:left="10" w:right="255" w:firstLine="0"/>
        <w:jc w:val="left"/>
        <w:rPr>
          <w:sz w:val="18"/>
        </w:rPr>
      </w:pPr>
      <w:r>
        <w:rPr>
          <w:sz w:val="18"/>
        </w:rPr>
        <w:t>Wilson,</w:t>
      </w:r>
      <w:r>
        <w:rPr>
          <w:spacing w:val="-2"/>
          <w:sz w:val="18"/>
        </w:rPr>
        <w:t> </w:t>
      </w:r>
      <w:r>
        <w:rPr>
          <w:sz w:val="18"/>
        </w:rPr>
        <w:t>E.</w:t>
      </w:r>
      <w:r>
        <w:rPr>
          <w:spacing w:val="-2"/>
          <w:sz w:val="18"/>
        </w:rPr>
        <w:t> </w:t>
      </w:r>
      <w:r>
        <w:rPr>
          <w:sz w:val="18"/>
        </w:rPr>
        <w:t>B.</w:t>
      </w:r>
      <w:r>
        <w:rPr>
          <w:spacing w:val="-2"/>
          <w:sz w:val="18"/>
        </w:rPr>
        <w:t> </w:t>
      </w:r>
      <w:r>
        <w:rPr>
          <w:sz w:val="18"/>
        </w:rPr>
        <w:t>(1927).</w:t>
      </w:r>
      <w:r>
        <w:rPr>
          <w:spacing w:val="-2"/>
          <w:sz w:val="18"/>
        </w:rPr>
        <w:t> </w:t>
      </w:r>
      <w:r>
        <w:rPr>
          <w:sz w:val="18"/>
        </w:rPr>
        <w:t>Probable</w:t>
      </w:r>
      <w:r>
        <w:rPr>
          <w:spacing w:val="-2"/>
          <w:sz w:val="18"/>
        </w:rPr>
        <w:t> </w:t>
      </w:r>
      <w:r>
        <w:rPr>
          <w:sz w:val="18"/>
        </w:rPr>
        <w:t>inference,</w:t>
      </w:r>
      <w:r>
        <w:rPr>
          <w:spacing w:val="-2"/>
          <w:sz w:val="18"/>
        </w:rPr>
        <w:t> </w:t>
      </w:r>
      <w:r>
        <w:rPr>
          <w:sz w:val="18"/>
        </w:rPr>
        <w:t>the</w:t>
      </w:r>
      <w:r>
        <w:rPr>
          <w:spacing w:val="-2"/>
          <w:sz w:val="18"/>
        </w:rPr>
        <w:t> </w:t>
      </w:r>
      <w:r>
        <w:rPr>
          <w:sz w:val="18"/>
        </w:rPr>
        <w:t>law</w:t>
      </w:r>
      <w:r>
        <w:rPr>
          <w:spacing w:val="-2"/>
          <w:sz w:val="18"/>
        </w:rPr>
        <w:t> </w:t>
      </w:r>
      <w:r>
        <w:rPr>
          <w:sz w:val="18"/>
        </w:rPr>
        <w:t>of</w:t>
      </w:r>
      <w:r>
        <w:rPr>
          <w:spacing w:val="-2"/>
          <w:sz w:val="18"/>
        </w:rPr>
        <w:t> </w:t>
      </w:r>
      <w:r>
        <w:rPr>
          <w:sz w:val="18"/>
        </w:rPr>
        <w:t>succession,</w:t>
      </w:r>
      <w:r>
        <w:rPr>
          <w:spacing w:val="-2"/>
          <w:sz w:val="18"/>
        </w:rPr>
        <w:t> </w:t>
      </w:r>
      <w:r>
        <w:rPr>
          <w:sz w:val="18"/>
        </w:rPr>
        <w:t>and</w:t>
      </w:r>
      <w:r>
        <w:rPr>
          <w:spacing w:val="-2"/>
          <w:sz w:val="18"/>
        </w:rPr>
        <w:t> </w:t>
      </w:r>
      <w:r>
        <w:rPr>
          <w:sz w:val="18"/>
        </w:rPr>
        <w:t>statistical</w:t>
      </w:r>
      <w:r>
        <w:rPr>
          <w:spacing w:val="-2"/>
          <w:sz w:val="18"/>
        </w:rPr>
        <w:t> </w:t>
      </w:r>
      <w:r>
        <w:rPr>
          <w:sz w:val="18"/>
        </w:rPr>
        <w:t>inference.</w:t>
      </w:r>
      <w:r>
        <w:rPr>
          <w:spacing w:val="-2"/>
          <w:sz w:val="18"/>
        </w:rPr>
        <w:t> </w:t>
      </w:r>
      <w:r>
        <w:rPr>
          <w:rFonts w:ascii="Arial" w:hAnsi="Arial"/>
          <w:i/>
          <w:sz w:val="18"/>
        </w:rPr>
        <w:t>Journal</w:t>
      </w:r>
      <w:r>
        <w:rPr>
          <w:rFonts w:ascii="Arial" w:hAnsi="Arial"/>
          <w:i/>
          <w:spacing w:val="-2"/>
          <w:sz w:val="18"/>
        </w:rPr>
        <w:t> </w:t>
      </w:r>
      <w:r>
        <w:rPr>
          <w:rFonts w:ascii="Arial" w:hAnsi="Arial"/>
          <w:i/>
          <w:sz w:val="18"/>
        </w:rPr>
        <w:t>of</w:t>
      </w:r>
      <w:r>
        <w:rPr>
          <w:rFonts w:ascii="Arial" w:hAnsi="Arial"/>
          <w:i/>
          <w:spacing w:val="-2"/>
          <w:sz w:val="18"/>
        </w:rPr>
        <w:t> </w:t>
      </w:r>
      <w:r>
        <w:rPr>
          <w:rFonts w:ascii="Arial" w:hAnsi="Arial"/>
          <w:i/>
          <w:sz w:val="18"/>
        </w:rPr>
        <w:t>the</w:t>
      </w:r>
      <w:r>
        <w:rPr>
          <w:rFonts w:ascii="Arial" w:hAnsi="Arial"/>
          <w:i/>
          <w:spacing w:val="-2"/>
          <w:sz w:val="18"/>
        </w:rPr>
        <w:t> </w:t>
      </w:r>
      <w:r>
        <w:rPr>
          <w:rFonts w:ascii="Arial" w:hAnsi="Arial"/>
          <w:i/>
          <w:sz w:val="18"/>
        </w:rPr>
        <w:t>American</w:t>
      </w:r>
      <w:r>
        <w:rPr>
          <w:rFonts w:ascii="Arial" w:hAnsi="Arial"/>
          <w:i/>
          <w:spacing w:val="-2"/>
          <w:sz w:val="18"/>
        </w:rPr>
        <w:t> </w:t>
      </w:r>
      <w:r>
        <w:rPr>
          <w:rFonts w:ascii="Arial" w:hAnsi="Arial"/>
          <w:i/>
          <w:sz w:val="18"/>
        </w:rPr>
        <w:t>Statistical Association, 22</w:t>
      </w:r>
      <w:r>
        <w:rPr>
          <w:sz w:val="18"/>
        </w:rPr>
        <w:t>(158), 209–212.</w:t>
      </w:r>
    </w:p>
    <w:p>
      <w:pPr>
        <w:pStyle w:val="Heading3"/>
        <w:spacing w:before="103"/>
      </w:pPr>
      <w:r>
        <w:rPr>
          <w:color w:val="183D60"/>
        </w:rPr>
        <w:t>Reproducibility </w:t>
      </w:r>
      <w:r>
        <w:rPr>
          <w:color w:val="183D60"/>
          <w:spacing w:val="-2"/>
        </w:rPr>
        <w:t>statement</w:t>
      </w:r>
    </w:p>
    <w:p>
      <w:pPr>
        <w:pStyle w:val="BodyText"/>
        <w:spacing w:line="266" w:lineRule="auto" w:before="116"/>
        <w:ind w:left="10" w:right="58"/>
      </w:pPr>
      <w:r>
        <w:rPr/>
        <w:t>Figures</w:t>
      </w:r>
      <w:r>
        <w:rPr>
          <w:spacing w:val="-2"/>
        </w:rPr>
        <w:t> </w:t>
      </w:r>
      <w:r>
        <w:rPr/>
        <w:t>1–8</w:t>
      </w:r>
      <w:r>
        <w:rPr>
          <w:spacing w:val="-2"/>
        </w:rPr>
        <w:t> </w:t>
      </w:r>
      <w:r>
        <w:rPr/>
        <w:t>are</w:t>
      </w:r>
      <w:r>
        <w:rPr>
          <w:spacing w:val="-2"/>
        </w:rPr>
        <w:t> </w:t>
      </w:r>
      <w:r>
        <w:rPr/>
        <w:t>generated</w:t>
      </w:r>
      <w:r>
        <w:rPr>
          <w:spacing w:val="-2"/>
        </w:rPr>
        <w:t> </w:t>
      </w:r>
      <w:r>
        <w:rPr/>
        <w:t>from</w:t>
      </w:r>
      <w:r>
        <w:rPr>
          <w:spacing w:val="-2"/>
        </w:rPr>
        <w:t> </w:t>
      </w:r>
      <w:r>
        <w:rPr/>
        <w:t>the</w:t>
      </w:r>
      <w:r>
        <w:rPr>
          <w:spacing w:val="-2"/>
        </w:rPr>
        <w:t> </w:t>
      </w:r>
      <w:r>
        <w:rPr/>
        <w:t>six</w:t>
      </w:r>
      <w:r>
        <w:rPr>
          <w:spacing w:val="-2"/>
        </w:rPr>
        <w:t> </w:t>
      </w:r>
      <w:r>
        <w:rPr/>
        <w:t>submitted</w:t>
      </w:r>
      <w:r>
        <w:rPr>
          <w:spacing w:val="-2"/>
        </w:rPr>
        <w:t> </w:t>
      </w:r>
      <w:r>
        <w:rPr/>
        <w:t>standardised</w:t>
      </w:r>
      <w:r>
        <w:rPr>
          <w:spacing w:val="-2"/>
        </w:rPr>
        <w:t> </w:t>
      </w:r>
      <w:r>
        <w:rPr/>
        <w:t>CSV</w:t>
      </w:r>
      <w:r>
        <w:rPr>
          <w:spacing w:val="-2"/>
        </w:rPr>
        <w:t> </w:t>
      </w:r>
      <w:r>
        <w:rPr/>
        <w:t>files.</w:t>
      </w:r>
      <w:r>
        <w:rPr>
          <w:spacing w:val="-2"/>
        </w:rPr>
        <w:t> </w:t>
      </w:r>
      <w:r>
        <w:rPr/>
        <w:t>Their</w:t>
      </w:r>
      <w:r>
        <w:rPr>
          <w:spacing w:val="-2"/>
        </w:rPr>
        <w:t> </w:t>
      </w:r>
      <w:r>
        <w:rPr/>
        <w:t>accompanying</w:t>
      </w:r>
      <w:r>
        <w:rPr>
          <w:spacing w:val="-2"/>
        </w:rPr>
        <w:t> </w:t>
      </w:r>
      <w:r>
        <w:rPr/>
        <w:t>code</w:t>
      </w:r>
      <w:r>
        <w:rPr>
          <w:spacing w:val="-2"/>
        </w:rPr>
        <w:t> </w:t>
      </w:r>
      <w:r>
        <w:rPr/>
        <w:t>and</w:t>
      </w:r>
      <w:r>
        <w:rPr>
          <w:spacing w:val="-2"/>
        </w:rPr>
        <w:t> </w:t>
      </w:r>
      <w:r>
        <w:rPr/>
        <w:t>output</w:t>
      </w:r>
      <w:r>
        <w:rPr>
          <w:spacing w:val="-2"/>
        </w:rPr>
        <w:t> </w:t>
      </w:r>
      <w:r>
        <w:rPr/>
        <w:t>cells</w:t>
      </w:r>
      <w:r>
        <w:rPr>
          <w:spacing w:val="-2"/>
        </w:rPr>
        <w:t> </w:t>
      </w:r>
      <w:r>
        <w:rPr/>
        <w:t>record</w:t>
      </w:r>
      <w:r>
        <w:rPr>
          <w:spacing w:val="-2"/>
        </w:rPr>
        <w:t> </w:t>
      </w:r>
      <w:r>
        <w:rPr/>
        <w:t>the observation units, denominators, join keys, join-cardinality audits, percentages, effect sizes and uncertainty estimates used in the findings. The supplementary evidence cell separately reproduces the review-count audit, Figure 5 sensitivity checks,</w:t>
      </w:r>
    </w:p>
    <w:p>
      <w:pPr>
        <w:pStyle w:val="BodyText"/>
        <w:spacing w:before="1"/>
        <w:ind w:left="10"/>
      </w:pPr>
      <w:r>
        <w:rPr/>
        <w:t>review-lag summary, service-level delivery-cost medians and headline results </w:t>
      </w:r>
      <w:r>
        <w:rPr>
          <w:spacing w:val="-2"/>
        </w:rPr>
        <w:t>register.</w:t>
      </w:r>
    </w:p>
    <w:p>
      <w:pPr>
        <w:pStyle w:val="BodyText"/>
        <w:spacing w:line="266" w:lineRule="auto" w:before="123"/>
        <w:ind w:left="10"/>
      </w:pPr>
      <w:r>
        <w:rPr/>
        <w:t>Where resampling is used, the relevant code records the clustering unit, iteration count and random seed. The environment cell reports the versions of Python, pandas, NumPy, Matplotlib, SciPy and IPython. The submitted solution notebook and mapping CSV</w:t>
      </w:r>
      <w:r>
        <w:rPr>
          <w:spacing w:val="-3"/>
        </w:rPr>
        <w:t> </w:t>
      </w:r>
      <w:r>
        <w:rPr/>
        <w:t>remain</w:t>
      </w:r>
      <w:r>
        <w:rPr>
          <w:spacing w:val="-3"/>
        </w:rPr>
        <w:t> </w:t>
      </w:r>
      <w:r>
        <w:rPr/>
        <w:t>the</w:t>
      </w:r>
      <w:r>
        <w:rPr>
          <w:spacing w:val="-3"/>
        </w:rPr>
        <w:t> </w:t>
      </w:r>
      <w:r>
        <w:rPr/>
        <w:t>executable</w:t>
      </w:r>
      <w:r>
        <w:rPr>
          <w:spacing w:val="-3"/>
        </w:rPr>
        <w:t> </w:t>
      </w:r>
      <w:r>
        <w:rPr/>
        <w:t>transformation</w:t>
      </w:r>
      <w:r>
        <w:rPr>
          <w:spacing w:val="-3"/>
        </w:rPr>
        <w:t> </w:t>
      </w:r>
      <w:r>
        <w:rPr/>
        <w:t>and</w:t>
      </w:r>
      <w:r>
        <w:rPr>
          <w:spacing w:val="-3"/>
        </w:rPr>
        <w:t> </w:t>
      </w:r>
      <w:r>
        <w:rPr/>
        <w:t>field-lineage</w:t>
      </w:r>
      <w:r>
        <w:rPr>
          <w:spacing w:val="-3"/>
        </w:rPr>
        <w:t> </w:t>
      </w:r>
      <w:r>
        <w:rPr/>
        <w:t>records,</w:t>
      </w:r>
      <w:r>
        <w:rPr>
          <w:spacing w:val="-3"/>
        </w:rPr>
        <w:t> </w:t>
      </w:r>
      <w:r>
        <w:rPr/>
        <w:t>while</w:t>
      </w:r>
      <w:r>
        <w:rPr>
          <w:spacing w:val="-3"/>
        </w:rPr>
        <w:t> </w:t>
      </w:r>
      <w:r>
        <w:rPr/>
        <w:t>this</w:t>
      </w:r>
      <w:r>
        <w:rPr>
          <w:spacing w:val="-3"/>
        </w:rPr>
        <w:t> </w:t>
      </w:r>
      <w:r>
        <w:rPr/>
        <w:t>EDA</w:t>
      </w:r>
      <w:r>
        <w:rPr>
          <w:spacing w:val="-3"/>
        </w:rPr>
        <w:t> </w:t>
      </w:r>
      <w:r>
        <w:rPr/>
        <w:t>notebook</w:t>
      </w:r>
      <w:r>
        <w:rPr>
          <w:spacing w:val="-3"/>
        </w:rPr>
        <w:t> </w:t>
      </w:r>
      <w:r>
        <w:rPr/>
        <w:t>provides</w:t>
      </w:r>
      <w:r>
        <w:rPr>
          <w:spacing w:val="-3"/>
        </w:rPr>
        <w:t> </w:t>
      </w:r>
      <w:r>
        <w:rPr/>
        <w:t>the</w:t>
      </w:r>
      <w:r>
        <w:rPr>
          <w:spacing w:val="-3"/>
        </w:rPr>
        <w:t> </w:t>
      </w:r>
      <w:r>
        <w:rPr/>
        <w:t>executable</w:t>
      </w:r>
      <w:r>
        <w:rPr>
          <w:spacing w:val="-3"/>
        </w:rPr>
        <w:t> </w:t>
      </w:r>
      <w:r>
        <w:rPr/>
        <w:t>evidence for the assessed report.</w:t>
      </w:r>
    </w:p>
    <w:sectPr>
      <w:headerReference w:type="default" r:id="rId32"/>
      <w:footerReference w:type="default" r:id="rId33"/>
      <w:pgSz w:w="11910" w:h="16840"/>
      <w:pgMar w:header="888" w:footer="330" w:top="1220" w:bottom="52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6848">
              <wp:simplePos x="0" y="0"/>
              <wp:positionH relativeFrom="page">
                <wp:posOffset>546100</wp:posOffset>
              </wp:positionH>
              <wp:positionV relativeFrom="page">
                <wp:posOffset>10311000</wp:posOffset>
              </wp:positionV>
              <wp:extent cx="646811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68110" cy="1270"/>
                      </a:xfrm>
                      <a:custGeom>
                        <a:avLst/>
                        <a:gdLst/>
                        <a:ahLst/>
                        <a:cxnLst/>
                        <a:rect l="l" t="t" r="r" b="b"/>
                        <a:pathLst>
                          <a:path w="6468110" h="0">
                            <a:moveTo>
                              <a:pt x="0" y="0"/>
                            </a:moveTo>
                            <a:lnTo>
                              <a:pt x="6467800" y="0"/>
                            </a:lnTo>
                          </a:path>
                        </a:pathLst>
                      </a:custGeom>
                      <a:ln w="12700">
                        <a:solidFill>
                          <a:srgbClr val="BFCDD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69632" from="43pt,811.889771pt" to="552.275600pt,811.889771pt" stroked="true" strokeweight="1pt" strokecolor="#bfcddb">
              <v:stroke dashstyle="solid"/>
              <w10:wrap type="none"/>
            </v:line>
          </w:pict>
        </mc:Fallback>
      </mc:AlternateContent>
    </w:r>
    <w:r>
      <w:rPr>
        <w:sz w:val="20"/>
      </w:rPr>
      <mc:AlternateContent>
        <mc:Choice Requires="wps">
          <w:drawing>
            <wp:anchor distT="0" distB="0" distL="0" distR="0" allowOverlap="1" layoutInCell="1" locked="0" behindDoc="1" simplePos="0" relativeHeight="487247360">
              <wp:simplePos x="0" y="0"/>
              <wp:positionH relativeFrom="page">
                <wp:posOffset>533400</wp:posOffset>
              </wp:positionH>
              <wp:positionV relativeFrom="page">
                <wp:posOffset>10344821</wp:posOffset>
              </wp:positionV>
              <wp:extent cx="1289050" cy="1250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89050" cy="125095"/>
                      </a:xfrm>
                      <a:prstGeom prst="rect">
                        <a:avLst/>
                      </a:prstGeom>
                    </wps:spPr>
                    <wps:txbx>
                      <w:txbxContent>
                        <w:p>
                          <w:pPr>
                            <w:spacing w:before="15"/>
                            <w:ind w:left="20" w:right="0" w:firstLine="0"/>
                            <w:jc w:val="left"/>
                            <w:rPr>
                              <w:sz w:val="14"/>
                            </w:rPr>
                          </w:pPr>
                          <w:r>
                            <w:rPr>
                              <w:color w:val="526779"/>
                              <w:sz w:val="14"/>
                            </w:rPr>
                            <w:t>FIT5196 Group005 | EDA </w:t>
                          </w:r>
                          <w:r>
                            <w:rPr>
                              <w:color w:val="526779"/>
                              <w:spacing w:val="-2"/>
                              <w:sz w:val="14"/>
                            </w:rPr>
                            <w:t>report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pt;margin-top:814.552856pt;width:101.5pt;height:9.85pt;mso-position-horizontal-relative:page;mso-position-vertical-relative:page;z-index:-16069120" type="#_x0000_t202" id="docshape1" filled="false" stroked="false">
              <v:textbox inset="0,0,0,0">
                <w:txbxContent>
                  <w:p>
                    <w:pPr>
                      <w:spacing w:before="15"/>
                      <w:ind w:left="20" w:right="0" w:firstLine="0"/>
                      <w:jc w:val="left"/>
                      <w:rPr>
                        <w:sz w:val="14"/>
                      </w:rPr>
                    </w:pPr>
                    <w:r>
                      <w:rPr>
                        <w:color w:val="526779"/>
                        <w:sz w:val="14"/>
                      </w:rPr>
                      <w:t>FIT5196 Group005 | EDA </w:t>
                    </w:r>
                    <w:r>
                      <w:rPr>
                        <w:color w:val="526779"/>
                        <w:spacing w:val="-2"/>
                        <w:sz w:val="14"/>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7872">
              <wp:simplePos x="0" y="0"/>
              <wp:positionH relativeFrom="page">
                <wp:posOffset>6719437</wp:posOffset>
              </wp:positionH>
              <wp:positionV relativeFrom="page">
                <wp:posOffset>10344821</wp:posOffset>
              </wp:positionV>
              <wp:extent cx="345440" cy="1250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45440" cy="125095"/>
                      </a:xfrm>
                      <a:prstGeom prst="rect">
                        <a:avLst/>
                      </a:prstGeom>
                    </wps:spPr>
                    <wps:txbx>
                      <w:txbxContent>
                        <w:p>
                          <w:pPr>
                            <w:spacing w:before="15"/>
                            <w:ind w:left="20" w:right="0" w:firstLine="0"/>
                            <w:jc w:val="left"/>
                            <w:rPr>
                              <w:sz w:val="14"/>
                            </w:rPr>
                          </w:pPr>
                          <w:r>
                            <w:rPr>
                              <w:color w:val="526779"/>
                              <w:sz w:val="14"/>
                            </w:rPr>
                            <w:t>Page </w:t>
                          </w:r>
                          <w:r>
                            <w:rPr>
                              <w:color w:val="526779"/>
                              <w:spacing w:val="-10"/>
                              <w:sz w:val="14"/>
                            </w:rPr>
                            <w:fldChar w:fldCharType="begin"/>
                          </w:r>
                          <w:r>
                            <w:rPr>
                              <w:color w:val="526779"/>
                              <w:spacing w:val="-10"/>
                              <w:sz w:val="14"/>
                            </w:rPr>
                            <w:instrText> PAGE </w:instrText>
                          </w:r>
                          <w:r>
                            <w:rPr>
                              <w:color w:val="526779"/>
                              <w:spacing w:val="-10"/>
                              <w:sz w:val="14"/>
                            </w:rPr>
                            <w:fldChar w:fldCharType="separate"/>
                          </w:r>
                          <w:r>
                            <w:rPr>
                              <w:color w:val="526779"/>
                              <w:spacing w:val="-10"/>
                              <w:sz w:val="14"/>
                            </w:rPr>
                            <w:t>1</w:t>
                          </w:r>
                          <w:r>
                            <w:rPr>
                              <w:color w:val="526779"/>
                              <w:spacing w:val="-10"/>
                              <w:sz w:val="14"/>
                            </w:rPr>
                            <w:fldChar w:fldCharType="end"/>
                          </w:r>
                        </w:p>
                      </w:txbxContent>
                    </wps:txbx>
                    <wps:bodyPr wrap="square" lIns="0" tIns="0" rIns="0" bIns="0" rtlCol="0">
                      <a:noAutofit/>
                    </wps:bodyPr>
                  </wps:wsp>
                </a:graphicData>
              </a:graphic>
            </wp:anchor>
          </w:drawing>
        </mc:Choice>
        <mc:Fallback>
          <w:pict>
            <v:shape style="position:absolute;margin-left:529.0896pt;margin-top:814.552856pt;width:27.2pt;height:9.85pt;mso-position-horizontal-relative:page;mso-position-vertical-relative:page;z-index:-16068608" type="#_x0000_t202" id="docshape2" filled="false" stroked="false">
              <v:textbox inset="0,0,0,0">
                <w:txbxContent>
                  <w:p>
                    <w:pPr>
                      <w:spacing w:before="15"/>
                      <w:ind w:left="20" w:right="0" w:firstLine="0"/>
                      <w:jc w:val="left"/>
                      <w:rPr>
                        <w:sz w:val="14"/>
                      </w:rPr>
                    </w:pPr>
                    <w:r>
                      <w:rPr>
                        <w:color w:val="526779"/>
                        <w:sz w:val="14"/>
                      </w:rPr>
                      <w:t>Page </w:t>
                    </w:r>
                    <w:r>
                      <w:rPr>
                        <w:color w:val="526779"/>
                        <w:spacing w:val="-10"/>
                        <w:sz w:val="14"/>
                      </w:rPr>
                      <w:fldChar w:fldCharType="begin"/>
                    </w:r>
                    <w:r>
                      <w:rPr>
                        <w:color w:val="526779"/>
                        <w:spacing w:val="-10"/>
                        <w:sz w:val="14"/>
                      </w:rPr>
                      <w:instrText> PAGE </w:instrText>
                    </w:r>
                    <w:r>
                      <w:rPr>
                        <w:color w:val="526779"/>
                        <w:spacing w:val="-10"/>
                        <w:sz w:val="14"/>
                      </w:rPr>
                      <w:fldChar w:fldCharType="separate"/>
                    </w:r>
                    <w:r>
                      <w:rPr>
                        <w:color w:val="526779"/>
                        <w:spacing w:val="-10"/>
                        <w:sz w:val="14"/>
                      </w:rPr>
                      <w:t>1</w:t>
                    </w:r>
                    <w:r>
                      <w:rPr>
                        <w:color w:val="526779"/>
                        <w:spacing w:val="-10"/>
                        <w:sz w:val="1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8896">
              <wp:simplePos x="0" y="0"/>
              <wp:positionH relativeFrom="page">
                <wp:posOffset>546100</wp:posOffset>
              </wp:positionH>
              <wp:positionV relativeFrom="page">
                <wp:posOffset>10311000</wp:posOffset>
              </wp:positionV>
              <wp:extent cx="646811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468110" cy="1270"/>
                      </a:xfrm>
                      <a:custGeom>
                        <a:avLst/>
                        <a:gdLst/>
                        <a:ahLst/>
                        <a:cxnLst/>
                        <a:rect l="l" t="t" r="r" b="b"/>
                        <a:pathLst>
                          <a:path w="6468110" h="0">
                            <a:moveTo>
                              <a:pt x="0" y="0"/>
                            </a:moveTo>
                            <a:lnTo>
                              <a:pt x="6467800" y="0"/>
                            </a:lnTo>
                          </a:path>
                        </a:pathLst>
                      </a:custGeom>
                      <a:ln w="12700">
                        <a:solidFill>
                          <a:srgbClr val="BFCDD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67584" from="43pt,811.889771pt" to="552.275600pt,811.889771pt" stroked="true" strokeweight="1pt" strokecolor="#bfcddb">
              <v:stroke dashstyle="solid"/>
              <w10:wrap type="none"/>
            </v:line>
          </w:pict>
        </mc:Fallback>
      </mc:AlternateContent>
    </w:r>
    <w:r>
      <w:rPr>
        <w:sz w:val="20"/>
      </w:rPr>
      <mc:AlternateContent>
        <mc:Choice Requires="wps">
          <w:drawing>
            <wp:anchor distT="0" distB="0" distL="0" distR="0" allowOverlap="1" layoutInCell="1" locked="0" behindDoc="1" simplePos="0" relativeHeight="487249408">
              <wp:simplePos x="0" y="0"/>
              <wp:positionH relativeFrom="page">
                <wp:posOffset>533400</wp:posOffset>
              </wp:positionH>
              <wp:positionV relativeFrom="page">
                <wp:posOffset>10344821</wp:posOffset>
              </wp:positionV>
              <wp:extent cx="1289050" cy="12509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89050" cy="125095"/>
                      </a:xfrm>
                      <a:prstGeom prst="rect">
                        <a:avLst/>
                      </a:prstGeom>
                    </wps:spPr>
                    <wps:txbx>
                      <w:txbxContent>
                        <w:p>
                          <w:pPr>
                            <w:spacing w:before="15"/>
                            <w:ind w:left="20" w:right="0" w:firstLine="0"/>
                            <w:jc w:val="left"/>
                            <w:rPr>
                              <w:sz w:val="14"/>
                            </w:rPr>
                          </w:pPr>
                          <w:r>
                            <w:rPr>
                              <w:color w:val="526779"/>
                              <w:sz w:val="14"/>
                            </w:rPr>
                            <w:t>FIT5196 Group005 | EDA </w:t>
                          </w:r>
                          <w:r>
                            <w:rPr>
                              <w:color w:val="526779"/>
                              <w:spacing w:val="-2"/>
                              <w:sz w:val="14"/>
                            </w:rPr>
                            <w:t>report</w:t>
                          </w:r>
                        </w:p>
                      </w:txbxContent>
                    </wps:txbx>
                    <wps:bodyPr wrap="square" lIns="0" tIns="0" rIns="0" bIns="0" rtlCol="0">
                      <a:noAutofit/>
                    </wps:bodyPr>
                  </wps:wsp>
                </a:graphicData>
              </a:graphic>
            </wp:anchor>
          </w:drawing>
        </mc:Choice>
        <mc:Fallback>
          <w:pict>
            <v:shape style="position:absolute;margin-left:42pt;margin-top:814.552856pt;width:101.5pt;height:9.85pt;mso-position-horizontal-relative:page;mso-position-vertical-relative:page;z-index:-16067072" type="#_x0000_t202" id="docshape4" filled="false" stroked="false">
              <v:textbox inset="0,0,0,0">
                <w:txbxContent>
                  <w:p>
                    <w:pPr>
                      <w:spacing w:before="15"/>
                      <w:ind w:left="20" w:right="0" w:firstLine="0"/>
                      <w:jc w:val="left"/>
                      <w:rPr>
                        <w:sz w:val="14"/>
                      </w:rPr>
                    </w:pPr>
                    <w:r>
                      <w:rPr>
                        <w:color w:val="526779"/>
                        <w:sz w:val="14"/>
                      </w:rPr>
                      <w:t>FIT5196 Group005 | EDA </w:t>
                    </w:r>
                    <w:r>
                      <w:rPr>
                        <w:color w:val="526779"/>
                        <w:spacing w:val="-2"/>
                        <w:sz w:val="14"/>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9920">
              <wp:simplePos x="0" y="0"/>
              <wp:positionH relativeFrom="page">
                <wp:posOffset>6719437</wp:posOffset>
              </wp:positionH>
              <wp:positionV relativeFrom="page">
                <wp:posOffset>10344821</wp:posOffset>
              </wp:positionV>
              <wp:extent cx="345440" cy="12509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45440" cy="125095"/>
                      </a:xfrm>
                      <a:prstGeom prst="rect">
                        <a:avLst/>
                      </a:prstGeom>
                    </wps:spPr>
                    <wps:txbx>
                      <w:txbxContent>
                        <w:p>
                          <w:pPr>
                            <w:spacing w:before="15"/>
                            <w:ind w:left="20" w:right="0" w:firstLine="0"/>
                            <w:jc w:val="left"/>
                            <w:rPr>
                              <w:sz w:val="14"/>
                            </w:rPr>
                          </w:pPr>
                          <w:r>
                            <w:rPr>
                              <w:color w:val="526779"/>
                              <w:sz w:val="14"/>
                            </w:rPr>
                            <w:t>Page </w:t>
                          </w:r>
                          <w:r>
                            <w:rPr>
                              <w:color w:val="526779"/>
                              <w:spacing w:val="-10"/>
                              <w:sz w:val="14"/>
                            </w:rPr>
                            <w:fldChar w:fldCharType="begin"/>
                          </w:r>
                          <w:r>
                            <w:rPr>
                              <w:color w:val="526779"/>
                              <w:spacing w:val="-10"/>
                              <w:sz w:val="14"/>
                            </w:rPr>
                            <w:instrText> PAGE </w:instrText>
                          </w:r>
                          <w:r>
                            <w:rPr>
                              <w:color w:val="526779"/>
                              <w:spacing w:val="-10"/>
                              <w:sz w:val="14"/>
                            </w:rPr>
                            <w:fldChar w:fldCharType="separate"/>
                          </w:r>
                          <w:r>
                            <w:rPr>
                              <w:color w:val="526779"/>
                              <w:spacing w:val="-10"/>
                              <w:sz w:val="14"/>
                            </w:rPr>
                            <w:t>4</w:t>
                          </w:r>
                          <w:r>
                            <w:rPr>
                              <w:color w:val="526779"/>
                              <w:spacing w:val="-10"/>
                              <w:sz w:val="14"/>
                            </w:rPr>
                            <w:fldChar w:fldCharType="end"/>
                          </w:r>
                        </w:p>
                      </w:txbxContent>
                    </wps:txbx>
                    <wps:bodyPr wrap="square" lIns="0" tIns="0" rIns="0" bIns="0" rtlCol="0">
                      <a:noAutofit/>
                    </wps:bodyPr>
                  </wps:wsp>
                </a:graphicData>
              </a:graphic>
            </wp:anchor>
          </w:drawing>
        </mc:Choice>
        <mc:Fallback>
          <w:pict>
            <v:shape style="position:absolute;margin-left:529.0896pt;margin-top:814.552856pt;width:27.2pt;height:9.85pt;mso-position-horizontal-relative:page;mso-position-vertical-relative:page;z-index:-16066560" type="#_x0000_t202" id="docshape5" filled="false" stroked="false">
              <v:textbox inset="0,0,0,0">
                <w:txbxContent>
                  <w:p>
                    <w:pPr>
                      <w:spacing w:before="15"/>
                      <w:ind w:left="20" w:right="0" w:firstLine="0"/>
                      <w:jc w:val="left"/>
                      <w:rPr>
                        <w:sz w:val="14"/>
                      </w:rPr>
                    </w:pPr>
                    <w:r>
                      <w:rPr>
                        <w:color w:val="526779"/>
                        <w:sz w:val="14"/>
                      </w:rPr>
                      <w:t>Page </w:t>
                    </w:r>
                    <w:r>
                      <w:rPr>
                        <w:color w:val="526779"/>
                        <w:spacing w:val="-10"/>
                        <w:sz w:val="14"/>
                      </w:rPr>
                      <w:fldChar w:fldCharType="begin"/>
                    </w:r>
                    <w:r>
                      <w:rPr>
                        <w:color w:val="526779"/>
                        <w:spacing w:val="-10"/>
                        <w:sz w:val="14"/>
                      </w:rPr>
                      <w:instrText> PAGE </w:instrText>
                    </w:r>
                    <w:r>
                      <w:rPr>
                        <w:color w:val="526779"/>
                        <w:spacing w:val="-10"/>
                        <w:sz w:val="14"/>
                      </w:rPr>
                      <w:fldChar w:fldCharType="separate"/>
                    </w:r>
                    <w:r>
                      <w:rPr>
                        <w:color w:val="526779"/>
                        <w:spacing w:val="-10"/>
                        <w:sz w:val="14"/>
                      </w:rPr>
                      <w:t>4</w:t>
                    </w:r>
                    <w:r>
                      <w:rPr>
                        <w:color w:val="526779"/>
                        <w:spacing w:val="-10"/>
                        <w:sz w:val="1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0944">
              <wp:simplePos x="0" y="0"/>
              <wp:positionH relativeFrom="page">
                <wp:posOffset>546100</wp:posOffset>
              </wp:positionH>
              <wp:positionV relativeFrom="page">
                <wp:posOffset>10311000</wp:posOffset>
              </wp:positionV>
              <wp:extent cx="646811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468110" cy="1270"/>
                      </a:xfrm>
                      <a:custGeom>
                        <a:avLst/>
                        <a:gdLst/>
                        <a:ahLst/>
                        <a:cxnLst/>
                        <a:rect l="l" t="t" r="r" b="b"/>
                        <a:pathLst>
                          <a:path w="6468110" h="0">
                            <a:moveTo>
                              <a:pt x="0" y="0"/>
                            </a:moveTo>
                            <a:lnTo>
                              <a:pt x="6467800" y="0"/>
                            </a:lnTo>
                          </a:path>
                        </a:pathLst>
                      </a:custGeom>
                      <a:ln w="12700">
                        <a:solidFill>
                          <a:srgbClr val="BFCDD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65536" from="43pt,811.889771pt" to="552.275600pt,811.889771pt" stroked="true" strokeweight="1pt" strokecolor="#bfcddb">
              <v:stroke dashstyle="solid"/>
              <w10:wrap type="none"/>
            </v:line>
          </w:pict>
        </mc:Fallback>
      </mc:AlternateContent>
    </w:r>
    <w:r>
      <w:rPr>
        <w:sz w:val="20"/>
      </w:rPr>
      <mc:AlternateContent>
        <mc:Choice Requires="wps">
          <w:drawing>
            <wp:anchor distT="0" distB="0" distL="0" distR="0" allowOverlap="1" layoutInCell="1" locked="0" behindDoc="1" simplePos="0" relativeHeight="487251456">
              <wp:simplePos x="0" y="0"/>
              <wp:positionH relativeFrom="page">
                <wp:posOffset>533400</wp:posOffset>
              </wp:positionH>
              <wp:positionV relativeFrom="page">
                <wp:posOffset>10344821</wp:posOffset>
              </wp:positionV>
              <wp:extent cx="1289050" cy="12509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89050" cy="125095"/>
                      </a:xfrm>
                      <a:prstGeom prst="rect">
                        <a:avLst/>
                      </a:prstGeom>
                    </wps:spPr>
                    <wps:txbx>
                      <w:txbxContent>
                        <w:p>
                          <w:pPr>
                            <w:spacing w:before="15"/>
                            <w:ind w:left="20" w:right="0" w:firstLine="0"/>
                            <w:jc w:val="left"/>
                            <w:rPr>
                              <w:sz w:val="14"/>
                            </w:rPr>
                          </w:pPr>
                          <w:r>
                            <w:rPr>
                              <w:color w:val="526779"/>
                              <w:sz w:val="14"/>
                            </w:rPr>
                            <w:t>FIT5196 Group005 | EDA </w:t>
                          </w:r>
                          <w:r>
                            <w:rPr>
                              <w:color w:val="526779"/>
                              <w:spacing w:val="-2"/>
                              <w:sz w:val="14"/>
                            </w:rPr>
                            <w:t>report</w:t>
                          </w:r>
                        </w:p>
                      </w:txbxContent>
                    </wps:txbx>
                    <wps:bodyPr wrap="square" lIns="0" tIns="0" rIns="0" bIns="0" rtlCol="0">
                      <a:noAutofit/>
                    </wps:bodyPr>
                  </wps:wsp>
                </a:graphicData>
              </a:graphic>
            </wp:anchor>
          </w:drawing>
        </mc:Choice>
        <mc:Fallback>
          <w:pict>
            <v:shape style="position:absolute;margin-left:42pt;margin-top:814.552856pt;width:101.5pt;height:9.85pt;mso-position-horizontal-relative:page;mso-position-vertical-relative:page;z-index:-16065024" type="#_x0000_t202" id="docshape7" filled="false" stroked="false">
              <v:textbox inset="0,0,0,0">
                <w:txbxContent>
                  <w:p>
                    <w:pPr>
                      <w:spacing w:before="15"/>
                      <w:ind w:left="20" w:right="0" w:firstLine="0"/>
                      <w:jc w:val="left"/>
                      <w:rPr>
                        <w:sz w:val="14"/>
                      </w:rPr>
                    </w:pPr>
                    <w:r>
                      <w:rPr>
                        <w:color w:val="526779"/>
                        <w:sz w:val="14"/>
                      </w:rPr>
                      <w:t>FIT5196 Group005 | EDA </w:t>
                    </w:r>
                    <w:r>
                      <w:rPr>
                        <w:color w:val="526779"/>
                        <w:spacing w:val="-2"/>
                        <w:sz w:val="14"/>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1968">
              <wp:simplePos x="0" y="0"/>
              <wp:positionH relativeFrom="page">
                <wp:posOffset>6719437</wp:posOffset>
              </wp:positionH>
              <wp:positionV relativeFrom="page">
                <wp:posOffset>10344821</wp:posOffset>
              </wp:positionV>
              <wp:extent cx="345440" cy="12509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45440" cy="125095"/>
                      </a:xfrm>
                      <a:prstGeom prst="rect">
                        <a:avLst/>
                      </a:prstGeom>
                    </wps:spPr>
                    <wps:txbx>
                      <w:txbxContent>
                        <w:p>
                          <w:pPr>
                            <w:spacing w:before="15"/>
                            <w:ind w:left="20" w:right="0" w:firstLine="0"/>
                            <w:jc w:val="left"/>
                            <w:rPr>
                              <w:sz w:val="14"/>
                            </w:rPr>
                          </w:pPr>
                          <w:r>
                            <w:rPr>
                              <w:color w:val="526779"/>
                              <w:sz w:val="14"/>
                            </w:rPr>
                            <w:t>Page </w:t>
                          </w:r>
                          <w:r>
                            <w:rPr>
                              <w:color w:val="526779"/>
                              <w:spacing w:val="-10"/>
                              <w:sz w:val="14"/>
                            </w:rPr>
                            <w:fldChar w:fldCharType="begin"/>
                          </w:r>
                          <w:r>
                            <w:rPr>
                              <w:color w:val="526779"/>
                              <w:spacing w:val="-10"/>
                              <w:sz w:val="14"/>
                            </w:rPr>
                            <w:instrText> PAGE </w:instrText>
                          </w:r>
                          <w:r>
                            <w:rPr>
                              <w:color w:val="526779"/>
                              <w:spacing w:val="-10"/>
                              <w:sz w:val="14"/>
                            </w:rPr>
                            <w:fldChar w:fldCharType="separate"/>
                          </w:r>
                          <w:r>
                            <w:rPr>
                              <w:color w:val="526779"/>
                              <w:spacing w:val="-10"/>
                              <w:sz w:val="14"/>
                            </w:rPr>
                            <w:t>5</w:t>
                          </w:r>
                          <w:r>
                            <w:rPr>
                              <w:color w:val="526779"/>
                              <w:spacing w:val="-10"/>
                              <w:sz w:val="14"/>
                            </w:rPr>
                            <w:fldChar w:fldCharType="end"/>
                          </w:r>
                        </w:p>
                      </w:txbxContent>
                    </wps:txbx>
                    <wps:bodyPr wrap="square" lIns="0" tIns="0" rIns="0" bIns="0" rtlCol="0">
                      <a:noAutofit/>
                    </wps:bodyPr>
                  </wps:wsp>
                </a:graphicData>
              </a:graphic>
            </wp:anchor>
          </w:drawing>
        </mc:Choice>
        <mc:Fallback>
          <w:pict>
            <v:shape style="position:absolute;margin-left:529.0896pt;margin-top:814.552856pt;width:27.2pt;height:9.85pt;mso-position-horizontal-relative:page;mso-position-vertical-relative:page;z-index:-16064512" type="#_x0000_t202" id="docshape8" filled="false" stroked="false">
              <v:textbox inset="0,0,0,0">
                <w:txbxContent>
                  <w:p>
                    <w:pPr>
                      <w:spacing w:before="15"/>
                      <w:ind w:left="20" w:right="0" w:firstLine="0"/>
                      <w:jc w:val="left"/>
                      <w:rPr>
                        <w:sz w:val="14"/>
                      </w:rPr>
                    </w:pPr>
                    <w:r>
                      <w:rPr>
                        <w:color w:val="526779"/>
                        <w:sz w:val="14"/>
                      </w:rPr>
                      <w:t>Page </w:t>
                    </w:r>
                    <w:r>
                      <w:rPr>
                        <w:color w:val="526779"/>
                        <w:spacing w:val="-10"/>
                        <w:sz w:val="14"/>
                      </w:rPr>
                      <w:fldChar w:fldCharType="begin"/>
                    </w:r>
                    <w:r>
                      <w:rPr>
                        <w:color w:val="526779"/>
                        <w:spacing w:val="-10"/>
                        <w:sz w:val="14"/>
                      </w:rPr>
                      <w:instrText> PAGE </w:instrText>
                    </w:r>
                    <w:r>
                      <w:rPr>
                        <w:color w:val="526779"/>
                        <w:spacing w:val="-10"/>
                        <w:sz w:val="14"/>
                      </w:rPr>
                      <w:fldChar w:fldCharType="separate"/>
                    </w:r>
                    <w:r>
                      <w:rPr>
                        <w:color w:val="526779"/>
                        <w:spacing w:val="-10"/>
                        <w:sz w:val="14"/>
                      </w:rPr>
                      <w:t>5</w:t>
                    </w:r>
                    <w:r>
                      <w:rPr>
                        <w:color w:val="526779"/>
                        <w:spacing w:val="-10"/>
                        <w:sz w:val="1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2992">
              <wp:simplePos x="0" y="0"/>
              <wp:positionH relativeFrom="page">
                <wp:posOffset>546100</wp:posOffset>
              </wp:positionH>
              <wp:positionV relativeFrom="page">
                <wp:posOffset>10311000</wp:posOffset>
              </wp:positionV>
              <wp:extent cx="646811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468110" cy="1270"/>
                      </a:xfrm>
                      <a:custGeom>
                        <a:avLst/>
                        <a:gdLst/>
                        <a:ahLst/>
                        <a:cxnLst/>
                        <a:rect l="l" t="t" r="r" b="b"/>
                        <a:pathLst>
                          <a:path w="6468110" h="0">
                            <a:moveTo>
                              <a:pt x="0" y="0"/>
                            </a:moveTo>
                            <a:lnTo>
                              <a:pt x="6467800" y="0"/>
                            </a:lnTo>
                          </a:path>
                        </a:pathLst>
                      </a:custGeom>
                      <a:ln w="12700">
                        <a:solidFill>
                          <a:srgbClr val="BFCDD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63488" from="43pt,811.889771pt" to="552.275600pt,811.889771pt" stroked="true" strokeweight="1pt" strokecolor="#bfcddb">
              <v:stroke dashstyle="solid"/>
              <w10:wrap type="none"/>
            </v:line>
          </w:pict>
        </mc:Fallback>
      </mc:AlternateContent>
    </w:r>
    <w:r>
      <w:rPr>
        <w:sz w:val="20"/>
      </w:rPr>
      <mc:AlternateContent>
        <mc:Choice Requires="wps">
          <w:drawing>
            <wp:anchor distT="0" distB="0" distL="0" distR="0" allowOverlap="1" layoutInCell="1" locked="0" behindDoc="1" simplePos="0" relativeHeight="487253504">
              <wp:simplePos x="0" y="0"/>
              <wp:positionH relativeFrom="page">
                <wp:posOffset>533400</wp:posOffset>
              </wp:positionH>
              <wp:positionV relativeFrom="page">
                <wp:posOffset>10344821</wp:posOffset>
              </wp:positionV>
              <wp:extent cx="1289050" cy="12509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289050" cy="125095"/>
                      </a:xfrm>
                      <a:prstGeom prst="rect">
                        <a:avLst/>
                      </a:prstGeom>
                    </wps:spPr>
                    <wps:txbx>
                      <w:txbxContent>
                        <w:p>
                          <w:pPr>
                            <w:spacing w:before="15"/>
                            <w:ind w:left="20" w:right="0" w:firstLine="0"/>
                            <w:jc w:val="left"/>
                            <w:rPr>
                              <w:sz w:val="14"/>
                            </w:rPr>
                          </w:pPr>
                          <w:r>
                            <w:rPr>
                              <w:color w:val="526779"/>
                              <w:sz w:val="14"/>
                            </w:rPr>
                            <w:t>FIT5196 Group005 | EDA </w:t>
                          </w:r>
                          <w:r>
                            <w:rPr>
                              <w:color w:val="526779"/>
                              <w:spacing w:val="-2"/>
                              <w:sz w:val="14"/>
                            </w:rPr>
                            <w:t>report</w:t>
                          </w:r>
                        </w:p>
                      </w:txbxContent>
                    </wps:txbx>
                    <wps:bodyPr wrap="square" lIns="0" tIns="0" rIns="0" bIns="0" rtlCol="0">
                      <a:noAutofit/>
                    </wps:bodyPr>
                  </wps:wsp>
                </a:graphicData>
              </a:graphic>
            </wp:anchor>
          </w:drawing>
        </mc:Choice>
        <mc:Fallback>
          <w:pict>
            <v:shape style="position:absolute;margin-left:42pt;margin-top:814.552856pt;width:101.5pt;height:9.85pt;mso-position-horizontal-relative:page;mso-position-vertical-relative:page;z-index:-16062976" type="#_x0000_t202" id="docshape10" filled="false" stroked="false">
              <v:textbox inset="0,0,0,0">
                <w:txbxContent>
                  <w:p>
                    <w:pPr>
                      <w:spacing w:before="15"/>
                      <w:ind w:left="20" w:right="0" w:firstLine="0"/>
                      <w:jc w:val="left"/>
                      <w:rPr>
                        <w:sz w:val="14"/>
                      </w:rPr>
                    </w:pPr>
                    <w:r>
                      <w:rPr>
                        <w:color w:val="526779"/>
                        <w:sz w:val="14"/>
                      </w:rPr>
                      <w:t>FIT5196 Group005 | EDA </w:t>
                    </w:r>
                    <w:r>
                      <w:rPr>
                        <w:color w:val="526779"/>
                        <w:spacing w:val="-2"/>
                        <w:sz w:val="14"/>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4016">
              <wp:simplePos x="0" y="0"/>
              <wp:positionH relativeFrom="page">
                <wp:posOffset>6719437</wp:posOffset>
              </wp:positionH>
              <wp:positionV relativeFrom="page">
                <wp:posOffset>10344821</wp:posOffset>
              </wp:positionV>
              <wp:extent cx="345440" cy="12509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45440" cy="125095"/>
                      </a:xfrm>
                      <a:prstGeom prst="rect">
                        <a:avLst/>
                      </a:prstGeom>
                    </wps:spPr>
                    <wps:txbx>
                      <w:txbxContent>
                        <w:p>
                          <w:pPr>
                            <w:spacing w:before="15"/>
                            <w:ind w:left="20" w:right="0" w:firstLine="0"/>
                            <w:jc w:val="left"/>
                            <w:rPr>
                              <w:sz w:val="14"/>
                            </w:rPr>
                          </w:pPr>
                          <w:r>
                            <w:rPr>
                              <w:color w:val="526779"/>
                              <w:sz w:val="14"/>
                            </w:rPr>
                            <w:t>Page </w:t>
                          </w:r>
                          <w:r>
                            <w:rPr>
                              <w:color w:val="526779"/>
                              <w:spacing w:val="-10"/>
                              <w:sz w:val="14"/>
                            </w:rPr>
                            <w:fldChar w:fldCharType="begin"/>
                          </w:r>
                          <w:r>
                            <w:rPr>
                              <w:color w:val="526779"/>
                              <w:spacing w:val="-10"/>
                              <w:sz w:val="14"/>
                            </w:rPr>
                            <w:instrText> PAGE </w:instrText>
                          </w:r>
                          <w:r>
                            <w:rPr>
                              <w:color w:val="526779"/>
                              <w:spacing w:val="-10"/>
                              <w:sz w:val="14"/>
                            </w:rPr>
                            <w:fldChar w:fldCharType="separate"/>
                          </w:r>
                          <w:r>
                            <w:rPr>
                              <w:color w:val="526779"/>
                              <w:spacing w:val="-10"/>
                              <w:sz w:val="14"/>
                            </w:rPr>
                            <w:t>6</w:t>
                          </w:r>
                          <w:r>
                            <w:rPr>
                              <w:color w:val="526779"/>
                              <w:spacing w:val="-10"/>
                              <w:sz w:val="14"/>
                            </w:rPr>
                            <w:fldChar w:fldCharType="end"/>
                          </w:r>
                        </w:p>
                      </w:txbxContent>
                    </wps:txbx>
                    <wps:bodyPr wrap="square" lIns="0" tIns="0" rIns="0" bIns="0" rtlCol="0">
                      <a:noAutofit/>
                    </wps:bodyPr>
                  </wps:wsp>
                </a:graphicData>
              </a:graphic>
            </wp:anchor>
          </w:drawing>
        </mc:Choice>
        <mc:Fallback>
          <w:pict>
            <v:shape style="position:absolute;margin-left:529.0896pt;margin-top:814.552856pt;width:27.2pt;height:9.85pt;mso-position-horizontal-relative:page;mso-position-vertical-relative:page;z-index:-16062464" type="#_x0000_t202" id="docshape11" filled="false" stroked="false">
              <v:textbox inset="0,0,0,0">
                <w:txbxContent>
                  <w:p>
                    <w:pPr>
                      <w:spacing w:before="15"/>
                      <w:ind w:left="20" w:right="0" w:firstLine="0"/>
                      <w:jc w:val="left"/>
                      <w:rPr>
                        <w:sz w:val="14"/>
                      </w:rPr>
                    </w:pPr>
                    <w:r>
                      <w:rPr>
                        <w:color w:val="526779"/>
                        <w:sz w:val="14"/>
                      </w:rPr>
                      <w:t>Page </w:t>
                    </w:r>
                    <w:r>
                      <w:rPr>
                        <w:color w:val="526779"/>
                        <w:spacing w:val="-10"/>
                        <w:sz w:val="14"/>
                      </w:rPr>
                      <w:fldChar w:fldCharType="begin"/>
                    </w:r>
                    <w:r>
                      <w:rPr>
                        <w:color w:val="526779"/>
                        <w:spacing w:val="-10"/>
                        <w:sz w:val="14"/>
                      </w:rPr>
                      <w:instrText> PAGE </w:instrText>
                    </w:r>
                    <w:r>
                      <w:rPr>
                        <w:color w:val="526779"/>
                        <w:spacing w:val="-10"/>
                        <w:sz w:val="14"/>
                      </w:rPr>
                      <w:fldChar w:fldCharType="separate"/>
                    </w:r>
                    <w:r>
                      <w:rPr>
                        <w:color w:val="526779"/>
                        <w:spacing w:val="-10"/>
                        <w:sz w:val="14"/>
                      </w:rPr>
                      <w:t>6</w:t>
                    </w:r>
                    <w:r>
                      <w:rPr>
                        <w:color w:val="526779"/>
                        <w:spacing w:val="-10"/>
                        <w:sz w:val="1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5040">
              <wp:simplePos x="0" y="0"/>
              <wp:positionH relativeFrom="page">
                <wp:posOffset>546100</wp:posOffset>
              </wp:positionH>
              <wp:positionV relativeFrom="page">
                <wp:posOffset>10311000</wp:posOffset>
              </wp:positionV>
              <wp:extent cx="646811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468110" cy="1270"/>
                      </a:xfrm>
                      <a:custGeom>
                        <a:avLst/>
                        <a:gdLst/>
                        <a:ahLst/>
                        <a:cxnLst/>
                        <a:rect l="l" t="t" r="r" b="b"/>
                        <a:pathLst>
                          <a:path w="6468110" h="0">
                            <a:moveTo>
                              <a:pt x="0" y="0"/>
                            </a:moveTo>
                            <a:lnTo>
                              <a:pt x="6467800" y="0"/>
                            </a:lnTo>
                          </a:path>
                        </a:pathLst>
                      </a:custGeom>
                      <a:ln w="12700">
                        <a:solidFill>
                          <a:srgbClr val="BFCDD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61440" from="43pt,811.889771pt" to="552.275600pt,811.889771pt" stroked="true" strokeweight="1pt" strokecolor="#bfcddb">
              <v:stroke dashstyle="solid"/>
              <w10:wrap type="none"/>
            </v:line>
          </w:pict>
        </mc:Fallback>
      </mc:AlternateContent>
    </w:r>
    <w:r>
      <w:rPr>
        <w:sz w:val="20"/>
      </w:rPr>
      <mc:AlternateContent>
        <mc:Choice Requires="wps">
          <w:drawing>
            <wp:anchor distT="0" distB="0" distL="0" distR="0" allowOverlap="1" layoutInCell="1" locked="0" behindDoc="1" simplePos="0" relativeHeight="487255552">
              <wp:simplePos x="0" y="0"/>
              <wp:positionH relativeFrom="page">
                <wp:posOffset>533400</wp:posOffset>
              </wp:positionH>
              <wp:positionV relativeFrom="page">
                <wp:posOffset>10344821</wp:posOffset>
              </wp:positionV>
              <wp:extent cx="1289050" cy="12509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289050" cy="125095"/>
                      </a:xfrm>
                      <a:prstGeom prst="rect">
                        <a:avLst/>
                      </a:prstGeom>
                    </wps:spPr>
                    <wps:txbx>
                      <w:txbxContent>
                        <w:p>
                          <w:pPr>
                            <w:spacing w:before="15"/>
                            <w:ind w:left="20" w:right="0" w:firstLine="0"/>
                            <w:jc w:val="left"/>
                            <w:rPr>
                              <w:sz w:val="14"/>
                            </w:rPr>
                          </w:pPr>
                          <w:r>
                            <w:rPr>
                              <w:color w:val="526779"/>
                              <w:sz w:val="14"/>
                            </w:rPr>
                            <w:t>FIT5196 Group005 | EDA </w:t>
                          </w:r>
                          <w:r>
                            <w:rPr>
                              <w:color w:val="526779"/>
                              <w:spacing w:val="-2"/>
                              <w:sz w:val="14"/>
                            </w:rPr>
                            <w:t>report</w:t>
                          </w:r>
                        </w:p>
                      </w:txbxContent>
                    </wps:txbx>
                    <wps:bodyPr wrap="square" lIns="0" tIns="0" rIns="0" bIns="0" rtlCol="0">
                      <a:noAutofit/>
                    </wps:bodyPr>
                  </wps:wsp>
                </a:graphicData>
              </a:graphic>
            </wp:anchor>
          </w:drawing>
        </mc:Choice>
        <mc:Fallback>
          <w:pict>
            <v:shape style="position:absolute;margin-left:42pt;margin-top:814.552856pt;width:101.5pt;height:9.85pt;mso-position-horizontal-relative:page;mso-position-vertical-relative:page;z-index:-16060928" type="#_x0000_t202" id="docshape13" filled="false" stroked="false">
              <v:textbox inset="0,0,0,0">
                <w:txbxContent>
                  <w:p>
                    <w:pPr>
                      <w:spacing w:before="15"/>
                      <w:ind w:left="20" w:right="0" w:firstLine="0"/>
                      <w:jc w:val="left"/>
                      <w:rPr>
                        <w:sz w:val="14"/>
                      </w:rPr>
                    </w:pPr>
                    <w:r>
                      <w:rPr>
                        <w:color w:val="526779"/>
                        <w:sz w:val="14"/>
                      </w:rPr>
                      <w:t>FIT5196 Group005 | EDA </w:t>
                    </w:r>
                    <w:r>
                      <w:rPr>
                        <w:color w:val="526779"/>
                        <w:spacing w:val="-2"/>
                        <w:sz w:val="14"/>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6064">
              <wp:simplePos x="0" y="0"/>
              <wp:positionH relativeFrom="page">
                <wp:posOffset>6719437</wp:posOffset>
              </wp:positionH>
              <wp:positionV relativeFrom="page">
                <wp:posOffset>10344821</wp:posOffset>
              </wp:positionV>
              <wp:extent cx="345440" cy="12509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45440" cy="125095"/>
                      </a:xfrm>
                      <a:prstGeom prst="rect">
                        <a:avLst/>
                      </a:prstGeom>
                    </wps:spPr>
                    <wps:txbx>
                      <w:txbxContent>
                        <w:p>
                          <w:pPr>
                            <w:spacing w:before="15"/>
                            <w:ind w:left="20" w:right="0" w:firstLine="0"/>
                            <w:jc w:val="left"/>
                            <w:rPr>
                              <w:sz w:val="14"/>
                            </w:rPr>
                          </w:pPr>
                          <w:r>
                            <w:rPr>
                              <w:color w:val="526779"/>
                              <w:sz w:val="14"/>
                            </w:rPr>
                            <w:t>Page </w:t>
                          </w:r>
                          <w:r>
                            <w:rPr>
                              <w:color w:val="526779"/>
                              <w:spacing w:val="-10"/>
                              <w:sz w:val="14"/>
                            </w:rPr>
                            <w:fldChar w:fldCharType="begin"/>
                          </w:r>
                          <w:r>
                            <w:rPr>
                              <w:color w:val="526779"/>
                              <w:spacing w:val="-10"/>
                              <w:sz w:val="14"/>
                            </w:rPr>
                            <w:instrText> PAGE </w:instrText>
                          </w:r>
                          <w:r>
                            <w:rPr>
                              <w:color w:val="526779"/>
                              <w:spacing w:val="-10"/>
                              <w:sz w:val="14"/>
                            </w:rPr>
                            <w:fldChar w:fldCharType="separate"/>
                          </w:r>
                          <w:r>
                            <w:rPr>
                              <w:color w:val="526779"/>
                              <w:spacing w:val="-10"/>
                              <w:sz w:val="14"/>
                            </w:rPr>
                            <w:t>7</w:t>
                          </w:r>
                          <w:r>
                            <w:rPr>
                              <w:color w:val="526779"/>
                              <w:spacing w:val="-10"/>
                              <w:sz w:val="14"/>
                            </w:rPr>
                            <w:fldChar w:fldCharType="end"/>
                          </w:r>
                        </w:p>
                      </w:txbxContent>
                    </wps:txbx>
                    <wps:bodyPr wrap="square" lIns="0" tIns="0" rIns="0" bIns="0" rtlCol="0">
                      <a:noAutofit/>
                    </wps:bodyPr>
                  </wps:wsp>
                </a:graphicData>
              </a:graphic>
            </wp:anchor>
          </w:drawing>
        </mc:Choice>
        <mc:Fallback>
          <w:pict>
            <v:shape style="position:absolute;margin-left:529.0896pt;margin-top:814.552856pt;width:27.2pt;height:9.85pt;mso-position-horizontal-relative:page;mso-position-vertical-relative:page;z-index:-16060416" type="#_x0000_t202" id="docshape14" filled="false" stroked="false">
              <v:textbox inset="0,0,0,0">
                <w:txbxContent>
                  <w:p>
                    <w:pPr>
                      <w:spacing w:before="15"/>
                      <w:ind w:left="20" w:right="0" w:firstLine="0"/>
                      <w:jc w:val="left"/>
                      <w:rPr>
                        <w:sz w:val="14"/>
                      </w:rPr>
                    </w:pPr>
                    <w:r>
                      <w:rPr>
                        <w:color w:val="526779"/>
                        <w:sz w:val="14"/>
                      </w:rPr>
                      <w:t>Page </w:t>
                    </w:r>
                    <w:r>
                      <w:rPr>
                        <w:color w:val="526779"/>
                        <w:spacing w:val="-10"/>
                        <w:sz w:val="14"/>
                      </w:rPr>
                      <w:fldChar w:fldCharType="begin"/>
                    </w:r>
                    <w:r>
                      <w:rPr>
                        <w:color w:val="526779"/>
                        <w:spacing w:val="-10"/>
                        <w:sz w:val="14"/>
                      </w:rPr>
                      <w:instrText> PAGE </w:instrText>
                    </w:r>
                    <w:r>
                      <w:rPr>
                        <w:color w:val="526779"/>
                        <w:spacing w:val="-10"/>
                        <w:sz w:val="14"/>
                      </w:rPr>
                      <w:fldChar w:fldCharType="separate"/>
                    </w:r>
                    <w:r>
                      <w:rPr>
                        <w:color w:val="526779"/>
                        <w:spacing w:val="-10"/>
                        <w:sz w:val="14"/>
                      </w:rPr>
                      <w:t>7</w:t>
                    </w:r>
                    <w:r>
                      <w:rPr>
                        <w:color w:val="526779"/>
                        <w:spacing w:val="-10"/>
                        <w:sz w:val="1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7088">
              <wp:simplePos x="0" y="0"/>
              <wp:positionH relativeFrom="page">
                <wp:posOffset>546100</wp:posOffset>
              </wp:positionH>
              <wp:positionV relativeFrom="page">
                <wp:posOffset>10311000</wp:posOffset>
              </wp:positionV>
              <wp:extent cx="6468110"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468110" cy="1270"/>
                      </a:xfrm>
                      <a:custGeom>
                        <a:avLst/>
                        <a:gdLst/>
                        <a:ahLst/>
                        <a:cxnLst/>
                        <a:rect l="l" t="t" r="r" b="b"/>
                        <a:pathLst>
                          <a:path w="6468110" h="0">
                            <a:moveTo>
                              <a:pt x="0" y="0"/>
                            </a:moveTo>
                            <a:lnTo>
                              <a:pt x="6467800" y="0"/>
                            </a:lnTo>
                          </a:path>
                        </a:pathLst>
                      </a:custGeom>
                      <a:ln w="12700">
                        <a:solidFill>
                          <a:srgbClr val="BFCDD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59392" from="43pt,811.889771pt" to="552.275600pt,811.889771pt" stroked="true" strokeweight="1pt" strokecolor="#bfcddb">
              <v:stroke dashstyle="solid"/>
              <w10:wrap type="none"/>
            </v:line>
          </w:pict>
        </mc:Fallback>
      </mc:AlternateContent>
    </w:r>
    <w:r>
      <w:rPr>
        <w:sz w:val="20"/>
      </w:rPr>
      <mc:AlternateContent>
        <mc:Choice Requires="wps">
          <w:drawing>
            <wp:anchor distT="0" distB="0" distL="0" distR="0" allowOverlap="1" layoutInCell="1" locked="0" behindDoc="1" simplePos="0" relativeHeight="487257600">
              <wp:simplePos x="0" y="0"/>
              <wp:positionH relativeFrom="page">
                <wp:posOffset>533400</wp:posOffset>
              </wp:positionH>
              <wp:positionV relativeFrom="page">
                <wp:posOffset>10344821</wp:posOffset>
              </wp:positionV>
              <wp:extent cx="1289050" cy="12509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289050" cy="125095"/>
                      </a:xfrm>
                      <a:prstGeom prst="rect">
                        <a:avLst/>
                      </a:prstGeom>
                    </wps:spPr>
                    <wps:txbx>
                      <w:txbxContent>
                        <w:p>
                          <w:pPr>
                            <w:spacing w:before="15"/>
                            <w:ind w:left="20" w:right="0" w:firstLine="0"/>
                            <w:jc w:val="left"/>
                            <w:rPr>
                              <w:sz w:val="14"/>
                            </w:rPr>
                          </w:pPr>
                          <w:r>
                            <w:rPr>
                              <w:color w:val="526779"/>
                              <w:sz w:val="14"/>
                            </w:rPr>
                            <w:t>FIT5196 Group005 | EDA </w:t>
                          </w:r>
                          <w:r>
                            <w:rPr>
                              <w:color w:val="526779"/>
                              <w:spacing w:val="-2"/>
                              <w:sz w:val="14"/>
                            </w:rPr>
                            <w:t>report</w:t>
                          </w:r>
                        </w:p>
                      </w:txbxContent>
                    </wps:txbx>
                    <wps:bodyPr wrap="square" lIns="0" tIns="0" rIns="0" bIns="0" rtlCol="0">
                      <a:noAutofit/>
                    </wps:bodyPr>
                  </wps:wsp>
                </a:graphicData>
              </a:graphic>
            </wp:anchor>
          </w:drawing>
        </mc:Choice>
        <mc:Fallback>
          <w:pict>
            <v:shape style="position:absolute;margin-left:42pt;margin-top:814.552856pt;width:101.5pt;height:9.85pt;mso-position-horizontal-relative:page;mso-position-vertical-relative:page;z-index:-16058880" type="#_x0000_t202" id="docshape16" filled="false" stroked="false">
              <v:textbox inset="0,0,0,0">
                <w:txbxContent>
                  <w:p>
                    <w:pPr>
                      <w:spacing w:before="15"/>
                      <w:ind w:left="20" w:right="0" w:firstLine="0"/>
                      <w:jc w:val="left"/>
                      <w:rPr>
                        <w:sz w:val="14"/>
                      </w:rPr>
                    </w:pPr>
                    <w:r>
                      <w:rPr>
                        <w:color w:val="526779"/>
                        <w:sz w:val="14"/>
                      </w:rPr>
                      <w:t>FIT5196 Group005 | EDA </w:t>
                    </w:r>
                    <w:r>
                      <w:rPr>
                        <w:color w:val="526779"/>
                        <w:spacing w:val="-2"/>
                        <w:sz w:val="14"/>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8112">
              <wp:simplePos x="0" y="0"/>
              <wp:positionH relativeFrom="page">
                <wp:posOffset>6719437</wp:posOffset>
              </wp:positionH>
              <wp:positionV relativeFrom="page">
                <wp:posOffset>10344821</wp:posOffset>
              </wp:positionV>
              <wp:extent cx="345440" cy="12509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45440" cy="125095"/>
                      </a:xfrm>
                      <a:prstGeom prst="rect">
                        <a:avLst/>
                      </a:prstGeom>
                    </wps:spPr>
                    <wps:txbx>
                      <w:txbxContent>
                        <w:p>
                          <w:pPr>
                            <w:spacing w:before="15"/>
                            <w:ind w:left="20" w:right="0" w:firstLine="0"/>
                            <w:jc w:val="left"/>
                            <w:rPr>
                              <w:sz w:val="14"/>
                            </w:rPr>
                          </w:pPr>
                          <w:r>
                            <w:rPr>
                              <w:color w:val="526779"/>
                              <w:sz w:val="14"/>
                            </w:rPr>
                            <w:t>Page </w:t>
                          </w:r>
                          <w:r>
                            <w:rPr>
                              <w:color w:val="526779"/>
                              <w:spacing w:val="-10"/>
                              <w:sz w:val="14"/>
                            </w:rPr>
                            <w:fldChar w:fldCharType="begin"/>
                          </w:r>
                          <w:r>
                            <w:rPr>
                              <w:color w:val="526779"/>
                              <w:spacing w:val="-10"/>
                              <w:sz w:val="14"/>
                            </w:rPr>
                            <w:instrText> PAGE </w:instrText>
                          </w:r>
                          <w:r>
                            <w:rPr>
                              <w:color w:val="526779"/>
                              <w:spacing w:val="-10"/>
                              <w:sz w:val="14"/>
                            </w:rPr>
                            <w:fldChar w:fldCharType="separate"/>
                          </w:r>
                          <w:r>
                            <w:rPr>
                              <w:color w:val="526779"/>
                              <w:spacing w:val="-10"/>
                              <w:sz w:val="14"/>
                            </w:rPr>
                            <w:t>8</w:t>
                          </w:r>
                          <w:r>
                            <w:rPr>
                              <w:color w:val="526779"/>
                              <w:spacing w:val="-10"/>
                              <w:sz w:val="14"/>
                            </w:rPr>
                            <w:fldChar w:fldCharType="end"/>
                          </w:r>
                        </w:p>
                      </w:txbxContent>
                    </wps:txbx>
                    <wps:bodyPr wrap="square" lIns="0" tIns="0" rIns="0" bIns="0" rtlCol="0">
                      <a:noAutofit/>
                    </wps:bodyPr>
                  </wps:wsp>
                </a:graphicData>
              </a:graphic>
            </wp:anchor>
          </w:drawing>
        </mc:Choice>
        <mc:Fallback>
          <w:pict>
            <v:shape style="position:absolute;margin-left:529.0896pt;margin-top:814.552856pt;width:27.2pt;height:9.85pt;mso-position-horizontal-relative:page;mso-position-vertical-relative:page;z-index:-16058368" type="#_x0000_t202" id="docshape17" filled="false" stroked="false">
              <v:textbox inset="0,0,0,0">
                <w:txbxContent>
                  <w:p>
                    <w:pPr>
                      <w:spacing w:before="15"/>
                      <w:ind w:left="20" w:right="0" w:firstLine="0"/>
                      <w:jc w:val="left"/>
                      <w:rPr>
                        <w:sz w:val="14"/>
                      </w:rPr>
                    </w:pPr>
                    <w:r>
                      <w:rPr>
                        <w:color w:val="526779"/>
                        <w:sz w:val="14"/>
                      </w:rPr>
                      <w:t>Page </w:t>
                    </w:r>
                    <w:r>
                      <w:rPr>
                        <w:color w:val="526779"/>
                        <w:spacing w:val="-10"/>
                        <w:sz w:val="14"/>
                      </w:rPr>
                      <w:fldChar w:fldCharType="begin"/>
                    </w:r>
                    <w:r>
                      <w:rPr>
                        <w:color w:val="526779"/>
                        <w:spacing w:val="-10"/>
                        <w:sz w:val="14"/>
                      </w:rPr>
                      <w:instrText> PAGE </w:instrText>
                    </w:r>
                    <w:r>
                      <w:rPr>
                        <w:color w:val="526779"/>
                        <w:spacing w:val="-10"/>
                        <w:sz w:val="14"/>
                      </w:rPr>
                      <w:fldChar w:fldCharType="separate"/>
                    </w:r>
                    <w:r>
                      <w:rPr>
                        <w:color w:val="526779"/>
                        <w:spacing w:val="-10"/>
                        <w:sz w:val="14"/>
                      </w:rPr>
                      <w:t>8</w:t>
                    </w:r>
                    <w:r>
                      <w:rPr>
                        <w:color w:val="526779"/>
                        <w:spacing w:val="-10"/>
                        <w:sz w:val="14"/>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9136">
              <wp:simplePos x="0" y="0"/>
              <wp:positionH relativeFrom="page">
                <wp:posOffset>546100</wp:posOffset>
              </wp:positionH>
              <wp:positionV relativeFrom="page">
                <wp:posOffset>10311000</wp:posOffset>
              </wp:positionV>
              <wp:extent cx="646811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468110" cy="1270"/>
                      </a:xfrm>
                      <a:custGeom>
                        <a:avLst/>
                        <a:gdLst/>
                        <a:ahLst/>
                        <a:cxnLst/>
                        <a:rect l="l" t="t" r="r" b="b"/>
                        <a:pathLst>
                          <a:path w="6468110" h="0">
                            <a:moveTo>
                              <a:pt x="0" y="0"/>
                            </a:moveTo>
                            <a:lnTo>
                              <a:pt x="6467800" y="0"/>
                            </a:lnTo>
                          </a:path>
                        </a:pathLst>
                      </a:custGeom>
                      <a:ln w="12700">
                        <a:solidFill>
                          <a:srgbClr val="BFCDD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57344" from="43pt,811.889771pt" to="552.275600pt,811.889771pt" stroked="true" strokeweight="1pt" strokecolor="#bfcddb">
              <v:stroke dashstyle="solid"/>
              <w10:wrap type="none"/>
            </v:line>
          </w:pict>
        </mc:Fallback>
      </mc:AlternateContent>
    </w:r>
    <w:r>
      <w:rPr>
        <w:sz w:val="20"/>
      </w:rPr>
      <mc:AlternateContent>
        <mc:Choice Requires="wps">
          <w:drawing>
            <wp:anchor distT="0" distB="0" distL="0" distR="0" allowOverlap="1" layoutInCell="1" locked="0" behindDoc="1" simplePos="0" relativeHeight="487259648">
              <wp:simplePos x="0" y="0"/>
              <wp:positionH relativeFrom="page">
                <wp:posOffset>533400</wp:posOffset>
              </wp:positionH>
              <wp:positionV relativeFrom="page">
                <wp:posOffset>10344821</wp:posOffset>
              </wp:positionV>
              <wp:extent cx="1289050" cy="12509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289050" cy="125095"/>
                      </a:xfrm>
                      <a:prstGeom prst="rect">
                        <a:avLst/>
                      </a:prstGeom>
                    </wps:spPr>
                    <wps:txbx>
                      <w:txbxContent>
                        <w:p>
                          <w:pPr>
                            <w:spacing w:before="15"/>
                            <w:ind w:left="20" w:right="0" w:firstLine="0"/>
                            <w:jc w:val="left"/>
                            <w:rPr>
                              <w:sz w:val="14"/>
                            </w:rPr>
                          </w:pPr>
                          <w:r>
                            <w:rPr>
                              <w:color w:val="526779"/>
                              <w:sz w:val="14"/>
                            </w:rPr>
                            <w:t>FIT5196 Group005 | EDA </w:t>
                          </w:r>
                          <w:r>
                            <w:rPr>
                              <w:color w:val="526779"/>
                              <w:spacing w:val="-2"/>
                              <w:sz w:val="14"/>
                            </w:rPr>
                            <w:t>report</w:t>
                          </w:r>
                        </w:p>
                      </w:txbxContent>
                    </wps:txbx>
                    <wps:bodyPr wrap="square" lIns="0" tIns="0" rIns="0" bIns="0" rtlCol="0">
                      <a:noAutofit/>
                    </wps:bodyPr>
                  </wps:wsp>
                </a:graphicData>
              </a:graphic>
            </wp:anchor>
          </w:drawing>
        </mc:Choice>
        <mc:Fallback>
          <w:pict>
            <v:shape style="position:absolute;margin-left:42pt;margin-top:814.552856pt;width:101.5pt;height:9.85pt;mso-position-horizontal-relative:page;mso-position-vertical-relative:page;z-index:-16056832" type="#_x0000_t202" id="docshape19" filled="false" stroked="false">
              <v:textbox inset="0,0,0,0">
                <w:txbxContent>
                  <w:p>
                    <w:pPr>
                      <w:spacing w:before="15"/>
                      <w:ind w:left="20" w:right="0" w:firstLine="0"/>
                      <w:jc w:val="left"/>
                      <w:rPr>
                        <w:sz w:val="14"/>
                      </w:rPr>
                    </w:pPr>
                    <w:r>
                      <w:rPr>
                        <w:color w:val="526779"/>
                        <w:sz w:val="14"/>
                      </w:rPr>
                      <w:t>FIT5196 Group005 | EDA </w:t>
                    </w:r>
                    <w:r>
                      <w:rPr>
                        <w:color w:val="526779"/>
                        <w:spacing w:val="-2"/>
                        <w:sz w:val="14"/>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0160">
              <wp:simplePos x="0" y="0"/>
              <wp:positionH relativeFrom="page">
                <wp:posOffset>6719437</wp:posOffset>
              </wp:positionH>
              <wp:positionV relativeFrom="page">
                <wp:posOffset>10344821</wp:posOffset>
              </wp:positionV>
              <wp:extent cx="345440" cy="12509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45440" cy="125095"/>
                      </a:xfrm>
                      <a:prstGeom prst="rect">
                        <a:avLst/>
                      </a:prstGeom>
                    </wps:spPr>
                    <wps:txbx>
                      <w:txbxContent>
                        <w:p>
                          <w:pPr>
                            <w:spacing w:before="15"/>
                            <w:ind w:left="20" w:right="0" w:firstLine="0"/>
                            <w:jc w:val="left"/>
                            <w:rPr>
                              <w:sz w:val="14"/>
                            </w:rPr>
                          </w:pPr>
                          <w:r>
                            <w:rPr>
                              <w:color w:val="526779"/>
                              <w:sz w:val="14"/>
                            </w:rPr>
                            <w:t>Page </w:t>
                          </w:r>
                          <w:r>
                            <w:rPr>
                              <w:color w:val="526779"/>
                              <w:spacing w:val="-10"/>
                              <w:sz w:val="14"/>
                            </w:rPr>
                            <w:fldChar w:fldCharType="begin"/>
                          </w:r>
                          <w:r>
                            <w:rPr>
                              <w:color w:val="526779"/>
                              <w:spacing w:val="-10"/>
                              <w:sz w:val="14"/>
                            </w:rPr>
                            <w:instrText> PAGE </w:instrText>
                          </w:r>
                          <w:r>
                            <w:rPr>
                              <w:color w:val="526779"/>
                              <w:spacing w:val="-10"/>
                              <w:sz w:val="14"/>
                            </w:rPr>
                            <w:fldChar w:fldCharType="separate"/>
                          </w:r>
                          <w:r>
                            <w:rPr>
                              <w:color w:val="526779"/>
                              <w:spacing w:val="-10"/>
                              <w:sz w:val="14"/>
                            </w:rPr>
                            <w:t>9</w:t>
                          </w:r>
                          <w:r>
                            <w:rPr>
                              <w:color w:val="526779"/>
                              <w:spacing w:val="-10"/>
                              <w:sz w:val="14"/>
                            </w:rPr>
                            <w:fldChar w:fldCharType="end"/>
                          </w:r>
                        </w:p>
                      </w:txbxContent>
                    </wps:txbx>
                    <wps:bodyPr wrap="square" lIns="0" tIns="0" rIns="0" bIns="0" rtlCol="0">
                      <a:noAutofit/>
                    </wps:bodyPr>
                  </wps:wsp>
                </a:graphicData>
              </a:graphic>
            </wp:anchor>
          </w:drawing>
        </mc:Choice>
        <mc:Fallback>
          <w:pict>
            <v:shape style="position:absolute;margin-left:529.0896pt;margin-top:814.552856pt;width:27.2pt;height:9.85pt;mso-position-horizontal-relative:page;mso-position-vertical-relative:page;z-index:-16056320" type="#_x0000_t202" id="docshape20" filled="false" stroked="false">
              <v:textbox inset="0,0,0,0">
                <w:txbxContent>
                  <w:p>
                    <w:pPr>
                      <w:spacing w:before="15"/>
                      <w:ind w:left="20" w:right="0" w:firstLine="0"/>
                      <w:jc w:val="left"/>
                      <w:rPr>
                        <w:sz w:val="14"/>
                      </w:rPr>
                    </w:pPr>
                    <w:r>
                      <w:rPr>
                        <w:color w:val="526779"/>
                        <w:sz w:val="14"/>
                      </w:rPr>
                      <w:t>Page </w:t>
                    </w:r>
                    <w:r>
                      <w:rPr>
                        <w:color w:val="526779"/>
                        <w:spacing w:val="-10"/>
                        <w:sz w:val="14"/>
                      </w:rPr>
                      <w:fldChar w:fldCharType="begin"/>
                    </w:r>
                    <w:r>
                      <w:rPr>
                        <w:color w:val="526779"/>
                        <w:spacing w:val="-10"/>
                        <w:sz w:val="14"/>
                      </w:rPr>
                      <w:instrText> PAGE </w:instrText>
                    </w:r>
                    <w:r>
                      <w:rPr>
                        <w:color w:val="526779"/>
                        <w:spacing w:val="-10"/>
                        <w:sz w:val="14"/>
                      </w:rPr>
                      <w:fldChar w:fldCharType="separate"/>
                    </w:r>
                    <w:r>
                      <w:rPr>
                        <w:color w:val="526779"/>
                        <w:spacing w:val="-10"/>
                        <w:sz w:val="14"/>
                      </w:rPr>
                      <w:t>9</w:t>
                    </w:r>
                    <w:r>
                      <w:rPr>
                        <w:color w:val="526779"/>
                        <w:spacing w:val="-10"/>
                        <w:sz w:val="1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1184">
              <wp:simplePos x="0" y="0"/>
              <wp:positionH relativeFrom="page">
                <wp:posOffset>546100</wp:posOffset>
              </wp:positionH>
              <wp:positionV relativeFrom="page">
                <wp:posOffset>10311000</wp:posOffset>
              </wp:positionV>
              <wp:extent cx="646811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468110" cy="1270"/>
                      </a:xfrm>
                      <a:custGeom>
                        <a:avLst/>
                        <a:gdLst/>
                        <a:ahLst/>
                        <a:cxnLst/>
                        <a:rect l="l" t="t" r="r" b="b"/>
                        <a:pathLst>
                          <a:path w="6468110" h="0">
                            <a:moveTo>
                              <a:pt x="0" y="0"/>
                            </a:moveTo>
                            <a:lnTo>
                              <a:pt x="6467800" y="0"/>
                            </a:lnTo>
                          </a:path>
                        </a:pathLst>
                      </a:custGeom>
                      <a:ln w="12700">
                        <a:solidFill>
                          <a:srgbClr val="BFCDD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55296" from="43pt,811.889771pt" to="552.275600pt,811.889771pt" stroked="true" strokeweight="1pt" strokecolor="#bfcddb">
              <v:stroke dashstyle="solid"/>
              <w10:wrap type="none"/>
            </v:line>
          </w:pict>
        </mc:Fallback>
      </mc:AlternateContent>
    </w:r>
    <w:r>
      <w:rPr>
        <w:sz w:val="20"/>
      </w:rPr>
      <mc:AlternateContent>
        <mc:Choice Requires="wps">
          <w:drawing>
            <wp:anchor distT="0" distB="0" distL="0" distR="0" allowOverlap="1" layoutInCell="1" locked="0" behindDoc="1" simplePos="0" relativeHeight="487261696">
              <wp:simplePos x="0" y="0"/>
              <wp:positionH relativeFrom="page">
                <wp:posOffset>533400</wp:posOffset>
              </wp:positionH>
              <wp:positionV relativeFrom="page">
                <wp:posOffset>10344821</wp:posOffset>
              </wp:positionV>
              <wp:extent cx="1289050" cy="12509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289050" cy="125095"/>
                      </a:xfrm>
                      <a:prstGeom prst="rect">
                        <a:avLst/>
                      </a:prstGeom>
                    </wps:spPr>
                    <wps:txbx>
                      <w:txbxContent>
                        <w:p>
                          <w:pPr>
                            <w:spacing w:before="15"/>
                            <w:ind w:left="20" w:right="0" w:firstLine="0"/>
                            <w:jc w:val="left"/>
                            <w:rPr>
                              <w:sz w:val="14"/>
                            </w:rPr>
                          </w:pPr>
                          <w:r>
                            <w:rPr>
                              <w:color w:val="526779"/>
                              <w:sz w:val="14"/>
                            </w:rPr>
                            <w:t>FIT5196 Group005 | EDA </w:t>
                          </w:r>
                          <w:r>
                            <w:rPr>
                              <w:color w:val="526779"/>
                              <w:spacing w:val="-2"/>
                              <w:sz w:val="14"/>
                            </w:rPr>
                            <w:t>report</w:t>
                          </w:r>
                        </w:p>
                      </w:txbxContent>
                    </wps:txbx>
                    <wps:bodyPr wrap="square" lIns="0" tIns="0" rIns="0" bIns="0" rtlCol="0">
                      <a:noAutofit/>
                    </wps:bodyPr>
                  </wps:wsp>
                </a:graphicData>
              </a:graphic>
            </wp:anchor>
          </w:drawing>
        </mc:Choice>
        <mc:Fallback>
          <w:pict>
            <v:shape style="position:absolute;margin-left:42pt;margin-top:814.552856pt;width:101.5pt;height:9.85pt;mso-position-horizontal-relative:page;mso-position-vertical-relative:page;z-index:-16054784" type="#_x0000_t202" id="docshape22" filled="false" stroked="false">
              <v:textbox inset="0,0,0,0">
                <w:txbxContent>
                  <w:p>
                    <w:pPr>
                      <w:spacing w:before="15"/>
                      <w:ind w:left="20" w:right="0" w:firstLine="0"/>
                      <w:jc w:val="left"/>
                      <w:rPr>
                        <w:sz w:val="14"/>
                      </w:rPr>
                    </w:pPr>
                    <w:r>
                      <w:rPr>
                        <w:color w:val="526779"/>
                        <w:sz w:val="14"/>
                      </w:rPr>
                      <w:t>FIT5196 Group005 | EDA </w:t>
                    </w:r>
                    <w:r>
                      <w:rPr>
                        <w:color w:val="526779"/>
                        <w:spacing w:val="-2"/>
                        <w:sz w:val="14"/>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2208">
              <wp:simplePos x="0" y="0"/>
              <wp:positionH relativeFrom="page">
                <wp:posOffset>6669995</wp:posOffset>
              </wp:positionH>
              <wp:positionV relativeFrom="page">
                <wp:posOffset>10344821</wp:posOffset>
              </wp:positionV>
              <wp:extent cx="394970" cy="12509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94970" cy="125095"/>
                      </a:xfrm>
                      <a:prstGeom prst="rect">
                        <a:avLst/>
                      </a:prstGeom>
                    </wps:spPr>
                    <wps:txbx>
                      <w:txbxContent>
                        <w:p>
                          <w:pPr>
                            <w:spacing w:before="15"/>
                            <w:ind w:left="20" w:right="0" w:firstLine="0"/>
                            <w:jc w:val="left"/>
                            <w:rPr>
                              <w:sz w:val="14"/>
                            </w:rPr>
                          </w:pPr>
                          <w:r>
                            <w:rPr>
                              <w:color w:val="526779"/>
                              <w:sz w:val="14"/>
                            </w:rPr>
                            <w:t>Page </w:t>
                          </w:r>
                          <w:r>
                            <w:rPr>
                              <w:color w:val="526779"/>
                              <w:spacing w:val="-5"/>
                              <w:sz w:val="14"/>
                            </w:rPr>
                            <w:fldChar w:fldCharType="begin"/>
                          </w:r>
                          <w:r>
                            <w:rPr>
                              <w:color w:val="526779"/>
                              <w:spacing w:val="-5"/>
                              <w:sz w:val="14"/>
                            </w:rPr>
                            <w:instrText> PAGE </w:instrText>
                          </w:r>
                          <w:r>
                            <w:rPr>
                              <w:color w:val="526779"/>
                              <w:spacing w:val="-5"/>
                              <w:sz w:val="14"/>
                            </w:rPr>
                            <w:fldChar w:fldCharType="separate"/>
                          </w:r>
                          <w:r>
                            <w:rPr>
                              <w:color w:val="526779"/>
                              <w:spacing w:val="-5"/>
                              <w:sz w:val="14"/>
                            </w:rPr>
                            <w:t>10</w:t>
                          </w:r>
                          <w:r>
                            <w:rPr>
                              <w:color w:val="526779"/>
                              <w:spacing w:val="-5"/>
                              <w:sz w:val="14"/>
                            </w:rPr>
                            <w:fldChar w:fldCharType="end"/>
                          </w:r>
                        </w:p>
                      </w:txbxContent>
                    </wps:txbx>
                    <wps:bodyPr wrap="square" lIns="0" tIns="0" rIns="0" bIns="0" rtlCol="0">
                      <a:noAutofit/>
                    </wps:bodyPr>
                  </wps:wsp>
                </a:graphicData>
              </a:graphic>
            </wp:anchor>
          </w:drawing>
        </mc:Choice>
        <mc:Fallback>
          <w:pict>
            <v:shape style="position:absolute;margin-left:525.196472pt;margin-top:814.552856pt;width:31.1pt;height:9.85pt;mso-position-horizontal-relative:page;mso-position-vertical-relative:page;z-index:-16054272" type="#_x0000_t202" id="docshape23" filled="false" stroked="false">
              <v:textbox inset="0,0,0,0">
                <w:txbxContent>
                  <w:p>
                    <w:pPr>
                      <w:spacing w:before="15"/>
                      <w:ind w:left="20" w:right="0" w:firstLine="0"/>
                      <w:jc w:val="left"/>
                      <w:rPr>
                        <w:sz w:val="14"/>
                      </w:rPr>
                    </w:pPr>
                    <w:r>
                      <w:rPr>
                        <w:color w:val="526779"/>
                        <w:sz w:val="14"/>
                      </w:rPr>
                      <w:t>Page </w:t>
                    </w:r>
                    <w:r>
                      <w:rPr>
                        <w:color w:val="526779"/>
                        <w:spacing w:val="-5"/>
                        <w:sz w:val="14"/>
                      </w:rPr>
                      <w:fldChar w:fldCharType="begin"/>
                    </w:r>
                    <w:r>
                      <w:rPr>
                        <w:color w:val="526779"/>
                        <w:spacing w:val="-5"/>
                        <w:sz w:val="14"/>
                      </w:rPr>
                      <w:instrText> PAGE </w:instrText>
                    </w:r>
                    <w:r>
                      <w:rPr>
                        <w:color w:val="526779"/>
                        <w:spacing w:val="-5"/>
                        <w:sz w:val="14"/>
                      </w:rPr>
                      <w:fldChar w:fldCharType="separate"/>
                    </w:r>
                    <w:r>
                      <w:rPr>
                        <w:color w:val="526779"/>
                        <w:spacing w:val="-5"/>
                        <w:sz w:val="14"/>
                      </w:rPr>
                      <w:t>10</w:t>
                    </w:r>
                    <w:r>
                      <w:rPr>
                        <w:color w:val="526779"/>
                        <w:spacing w:val="-5"/>
                        <w:sz w:val="14"/>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3232">
              <wp:simplePos x="0" y="0"/>
              <wp:positionH relativeFrom="page">
                <wp:posOffset>546100</wp:posOffset>
              </wp:positionH>
              <wp:positionV relativeFrom="page">
                <wp:posOffset>10311000</wp:posOffset>
              </wp:positionV>
              <wp:extent cx="646811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468110" cy="1270"/>
                      </a:xfrm>
                      <a:custGeom>
                        <a:avLst/>
                        <a:gdLst/>
                        <a:ahLst/>
                        <a:cxnLst/>
                        <a:rect l="l" t="t" r="r" b="b"/>
                        <a:pathLst>
                          <a:path w="6468110" h="0">
                            <a:moveTo>
                              <a:pt x="0" y="0"/>
                            </a:moveTo>
                            <a:lnTo>
                              <a:pt x="6467800" y="0"/>
                            </a:lnTo>
                          </a:path>
                        </a:pathLst>
                      </a:custGeom>
                      <a:ln w="12700">
                        <a:solidFill>
                          <a:srgbClr val="BFCDD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53248" from="43pt,811.889771pt" to="552.275600pt,811.889771pt" stroked="true" strokeweight="1pt" strokecolor="#bfcddb">
              <v:stroke dashstyle="solid"/>
              <w10:wrap type="none"/>
            </v:line>
          </w:pict>
        </mc:Fallback>
      </mc:AlternateContent>
    </w:r>
    <w:r>
      <w:rPr>
        <w:sz w:val="20"/>
      </w:rPr>
      <mc:AlternateContent>
        <mc:Choice Requires="wps">
          <w:drawing>
            <wp:anchor distT="0" distB="0" distL="0" distR="0" allowOverlap="1" layoutInCell="1" locked="0" behindDoc="1" simplePos="0" relativeHeight="487263744">
              <wp:simplePos x="0" y="0"/>
              <wp:positionH relativeFrom="page">
                <wp:posOffset>533400</wp:posOffset>
              </wp:positionH>
              <wp:positionV relativeFrom="page">
                <wp:posOffset>10344821</wp:posOffset>
              </wp:positionV>
              <wp:extent cx="1289050" cy="12509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289050" cy="125095"/>
                      </a:xfrm>
                      <a:prstGeom prst="rect">
                        <a:avLst/>
                      </a:prstGeom>
                    </wps:spPr>
                    <wps:txbx>
                      <w:txbxContent>
                        <w:p>
                          <w:pPr>
                            <w:spacing w:before="15"/>
                            <w:ind w:left="20" w:right="0" w:firstLine="0"/>
                            <w:jc w:val="left"/>
                            <w:rPr>
                              <w:sz w:val="14"/>
                            </w:rPr>
                          </w:pPr>
                          <w:r>
                            <w:rPr>
                              <w:color w:val="526779"/>
                              <w:sz w:val="14"/>
                            </w:rPr>
                            <w:t>FIT5196 Group005 | EDA </w:t>
                          </w:r>
                          <w:r>
                            <w:rPr>
                              <w:color w:val="526779"/>
                              <w:spacing w:val="-2"/>
                              <w:sz w:val="14"/>
                            </w:rPr>
                            <w:t>report</w:t>
                          </w:r>
                        </w:p>
                      </w:txbxContent>
                    </wps:txbx>
                    <wps:bodyPr wrap="square" lIns="0" tIns="0" rIns="0" bIns="0" rtlCol="0">
                      <a:noAutofit/>
                    </wps:bodyPr>
                  </wps:wsp>
                </a:graphicData>
              </a:graphic>
            </wp:anchor>
          </w:drawing>
        </mc:Choice>
        <mc:Fallback>
          <w:pict>
            <v:shape style="position:absolute;margin-left:42pt;margin-top:814.552856pt;width:101.5pt;height:9.85pt;mso-position-horizontal-relative:page;mso-position-vertical-relative:page;z-index:-16052736" type="#_x0000_t202" id="docshape25" filled="false" stroked="false">
              <v:textbox inset="0,0,0,0">
                <w:txbxContent>
                  <w:p>
                    <w:pPr>
                      <w:spacing w:before="15"/>
                      <w:ind w:left="20" w:right="0" w:firstLine="0"/>
                      <w:jc w:val="left"/>
                      <w:rPr>
                        <w:sz w:val="14"/>
                      </w:rPr>
                    </w:pPr>
                    <w:r>
                      <w:rPr>
                        <w:color w:val="526779"/>
                        <w:sz w:val="14"/>
                      </w:rPr>
                      <w:t>FIT5196 Group005 | EDA </w:t>
                    </w:r>
                    <w:r>
                      <w:rPr>
                        <w:color w:val="526779"/>
                        <w:spacing w:val="-2"/>
                        <w:sz w:val="14"/>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4256">
              <wp:simplePos x="0" y="0"/>
              <wp:positionH relativeFrom="page">
                <wp:posOffset>6669995</wp:posOffset>
              </wp:positionH>
              <wp:positionV relativeFrom="page">
                <wp:posOffset>10344821</wp:posOffset>
              </wp:positionV>
              <wp:extent cx="394970" cy="12509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94970" cy="125095"/>
                      </a:xfrm>
                      <a:prstGeom prst="rect">
                        <a:avLst/>
                      </a:prstGeom>
                    </wps:spPr>
                    <wps:txbx>
                      <w:txbxContent>
                        <w:p>
                          <w:pPr>
                            <w:spacing w:before="15"/>
                            <w:ind w:left="20" w:right="0" w:firstLine="0"/>
                            <w:jc w:val="left"/>
                            <w:rPr>
                              <w:sz w:val="14"/>
                            </w:rPr>
                          </w:pPr>
                          <w:r>
                            <w:rPr>
                              <w:color w:val="526779"/>
                              <w:sz w:val="14"/>
                            </w:rPr>
                            <w:t>Page </w:t>
                          </w:r>
                          <w:r>
                            <w:rPr>
                              <w:color w:val="526779"/>
                              <w:spacing w:val="-5"/>
                              <w:sz w:val="14"/>
                            </w:rPr>
                            <w:fldChar w:fldCharType="begin"/>
                          </w:r>
                          <w:r>
                            <w:rPr>
                              <w:color w:val="526779"/>
                              <w:spacing w:val="-5"/>
                              <w:sz w:val="14"/>
                            </w:rPr>
                            <w:instrText> PAGE </w:instrText>
                          </w:r>
                          <w:r>
                            <w:rPr>
                              <w:color w:val="526779"/>
                              <w:spacing w:val="-5"/>
                              <w:sz w:val="14"/>
                            </w:rPr>
                            <w:fldChar w:fldCharType="separate"/>
                          </w:r>
                          <w:r>
                            <w:rPr>
                              <w:color w:val="526779"/>
                              <w:spacing w:val="-5"/>
                              <w:sz w:val="14"/>
                            </w:rPr>
                            <w:t>11</w:t>
                          </w:r>
                          <w:r>
                            <w:rPr>
                              <w:color w:val="526779"/>
                              <w:spacing w:val="-5"/>
                              <w:sz w:val="14"/>
                            </w:rPr>
                            <w:fldChar w:fldCharType="end"/>
                          </w:r>
                        </w:p>
                      </w:txbxContent>
                    </wps:txbx>
                    <wps:bodyPr wrap="square" lIns="0" tIns="0" rIns="0" bIns="0" rtlCol="0">
                      <a:noAutofit/>
                    </wps:bodyPr>
                  </wps:wsp>
                </a:graphicData>
              </a:graphic>
            </wp:anchor>
          </w:drawing>
        </mc:Choice>
        <mc:Fallback>
          <w:pict>
            <v:shape style="position:absolute;margin-left:525.196472pt;margin-top:814.552856pt;width:31.1pt;height:9.85pt;mso-position-horizontal-relative:page;mso-position-vertical-relative:page;z-index:-16052224" type="#_x0000_t202" id="docshape26" filled="false" stroked="false">
              <v:textbox inset="0,0,0,0">
                <w:txbxContent>
                  <w:p>
                    <w:pPr>
                      <w:spacing w:before="15"/>
                      <w:ind w:left="20" w:right="0" w:firstLine="0"/>
                      <w:jc w:val="left"/>
                      <w:rPr>
                        <w:sz w:val="14"/>
                      </w:rPr>
                    </w:pPr>
                    <w:r>
                      <w:rPr>
                        <w:color w:val="526779"/>
                        <w:sz w:val="14"/>
                      </w:rPr>
                      <w:t>Page </w:t>
                    </w:r>
                    <w:r>
                      <w:rPr>
                        <w:color w:val="526779"/>
                        <w:spacing w:val="-5"/>
                        <w:sz w:val="14"/>
                      </w:rPr>
                      <w:fldChar w:fldCharType="begin"/>
                    </w:r>
                    <w:r>
                      <w:rPr>
                        <w:color w:val="526779"/>
                        <w:spacing w:val="-5"/>
                        <w:sz w:val="14"/>
                      </w:rPr>
                      <w:instrText> PAGE </w:instrText>
                    </w:r>
                    <w:r>
                      <w:rPr>
                        <w:color w:val="526779"/>
                        <w:spacing w:val="-5"/>
                        <w:sz w:val="14"/>
                      </w:rPr>
                      <w:fldChar w:fldCharType="separate"/>
                    </w:r>
                    <w:r>
                      <w:rPr>
                        <w:color w:val="526779"/>
                        <w:spacing w:val="-5"/>
                        <w:sz w:val="14"/>
                      </w:rPr>
                      <w:t>11</w:t>
                    </w:r>
                    <w:r>
                      <w:rPr>
                        <w:color w:val="526779"/>
                        <w:spacing w:val="-5"/>
                        <w:sz w:val="14"/>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5280">
              <wp:simplePos x="0" y="0"/>
              <wp:positionH relativeFrom="page">
                <wp:posOffset>546100</wp:posOffset>
              </wp:positionH>
              <wp:positionV relativeFrom="page">
                <wp:posOffset>10311000</wp:posOffset>
              </wp:positionV>
              <wp:extent cx="646811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468110" cy="1270"/>
                      </a:xfrm>
                      <a:custGeom>
                        <a:avLst/>
                        <a:gdLst/>
                        <a:ahLst/>
                        <a:cxnLst/>
                        <a:rect l="l" t="t" r="r" b="b"/>
                        <a:pathLst>
                          <a:path w="6468110" h="0">
                            <a:moveTo>
                              <a:pt x="0" y="0"/>
                            </a:moveTo>
                            <a:lnTo>
                              <a:pt x="6467800" y="0"/>
                            </a:lnTo>
                          </a:path>
                        </a:pathLst>
                      </a:custGeom>
                      <a:ln w="12700">
                        <a:solidFill>
                          <a:srgbClr val="BFCDD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51200" from="43pt,811.889771pt" to="552.275600pt,811.889771pt" stroked="true" strokeweight="1pt" strokecolor="#bfcddb">
              <v:stroke dashstyle="solid"/>
              <w10:wrap type="none"/>
            </v:line>
          </w:pict>
        </mc:Fallback>
      </mc:AlternateContent>
    </w:r>
    <w:r>
      <w:rPr>
        <w:sz w:val="20"/>
      </w:rPr>
      <mc:AlternateContent>
        <mc:Choice Requires="wps">
          <w:drawing>
            <wp:anchor distT="0" distB="0" distL="0" distR="0" allowOverlap="1" layoutInCell="1" locked="0" behindDoc="1" simplePos="0" relativeHeight="487265792">
              <wp:simplePos x="0" y="0"/>
              <wp:positionH relativeFrom="page">
                <wp:posOffset>533400</wp:posOffset>
              </wp:positionH>
              <wp:positionV relativeFrom="page">
                <wp:posOffset>10344821</wp:posOffset>
              </wp:positionV>
              <wp:extent cx="1289050" cy="12509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289050" cy="125095"/>
                      </a:xfrm>
                      <a:prstGeom prst="rect">
                        <a:avLst/>
                      </a:prstGeom>
                    </wps:spPr>
                    <wps:txbx>
                      <w:txbxContent>
                        <w:p>
                          <w:pPr>
                            <w:spacing w:before="15"/>
                            <w:ind w:left="20" w:right="0" w:firstLine="0"/>
                            <w:jc w:val="left"/>
                            <w:rPr>
                              <w:sz w:val="14"/>
                            </w:rPr>
                          </w:pPr>
                          <w:r>
                            <w:rPr>
                              <w:color w:val="526779"/>
                              <w:sz w:val="14"/>
                            </w:rPr>
                            <w:t>FIT5196 Group005 | EDA </w:t>
                          </w:r>
                          <w:r>
                            <w:rPr>
                              <w:color w:val="526779"/>
                              <w:spacing w:val="-2"/>
                              <w:sz w:val="14"/>
                            </w:rPr>
                            <w:t>report</w:t>
                          </w:r>
                        </w:p>
                      </w:txbxContent>
                    </wps:txbx>
                    <wps:bodyPr wrap="square" lIns="0" tIns="0" rIns="0" bIns="0" rtlCol="0">
                      <a:noAutofit/>
                    </wps:bodyPr>
                  </wps:wsp>
                </a:graphicData>
              </a:graphic>
            </wp:anchor>
          </w:drawing>
        </mc:Choice>
        <mc:Fallback>
          <w:pict>
            <v:shape style="position:absolute;margin-left:42pt;margin-top:814.552856pt;width:101.5pt;height:9.85pt;mso-position-horizontal-relative:page;mso-position-vertical-relative:page;z-index:-16050688" type="#_x0000_t202" id="docshape28" filled="false" stroked="false">
              <v:textbox inset="0,0,0,0">
                <w:txbxContent>
                  <w:p>
                    <w:pPr>
                      <w:spacing w:before="15"/>
                      <w:ind w:left="20" w:right="0" w:firstLine="0"/>
                      <w:jc w:val="left"/>
                      <w:rPr>
                        <w:sz w:val="14"/>
                      </w:rPr>
                    </w:pPr>
                    <w:r>
                      <w:rPr>
                        <w:color w:val="526779"/>
                        <w:sz w:val="14"/>
                      </w:rPr>
                      <w:t>FIT5196 Group005 | EDA </w:t>
                    </w:r>
                    <w:r>
                      <w:rPr>
                        <w:color w:val="526779"/>
                        <w:spacing w:val="-2"/>
                        <w:sz w:val="14"/>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6304">
              <wp:simplePos x="0" y="0"/>
              <wp:positionH relativeFrom="page">
                <wp:posOffset>6669995</wp:posOffset>
              </wp:positionH>
              <wp:positionV relativeFrom="page">
                <wp:posOffset>10344821</wp:posOffset>
              </wp:positionV>
              <wp:extent cx="394970" cy="12509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94970" cy="125095"/>
                      </a:xfrm>
                      <a:prstGeom prst="rect">
                        <a:avLst/>
                      </a:prstGeom>
                    </wps:spPr>
                    <wps:txbx>
                      <w:txbxContent>
                        <w:p>
                          <w:pPr>
                            <w:spacing w:before="15"/>
                            <w:ind w:left="20" w:right="0" w:firstLine="0"/>
                            <w:jc w:val="left"/>
                            <w:rPr>
                              <w:sz w:val="14"/>
                            </w:rPr>
                          </w:pPr>
                          <w:r>
                            <w:rPr>
                              <w:color w:val="526779"/>
                              <w:sz w:val="14"/>
                            </w:rPr>
                            <w:t>Page </w:t>
                          </w:r>
                          <w:r>
                            <w:rPr>
                              <w:color w:val="526779"/>
                              <w:spacing w:val="-5"/>
                              <w:sz w:val="14"/>
                            </w:rPr>
                            <w:fldChar w:fldCharType="begin"/>
                          </w:r>
                          <w:r>
                            <w:rPr>
                              <w:color w:val="526779"/>
                              <w:spacing w:val="-5"/>
                              <w:sz w:val="14"/>
                            </w:rPr>
                            <w:instrText> PAGE </w:instrText>
                          </w:r>
                          <w:r>
                            <w:rPr>
                              <w:color w:val="526779"/>
                              <w:spacing w:val="-5"/>
                              <w:sz w:val="14"/>
                            </w:rPr>
                            <w:fldChar w:fldCharType="separate"/>
                          </w:r>
                          <w:r>
                            <w:rPr>
                              <w:color w:val="526779"/>
                              <w:spacing w:val="-5"/>
                              <w:sz w:val="14"/>
                            </w:rPr>
                            <w:t>12</w:t>
                          </w:r>
                          <w:r>
                            <w:rPr>
                              <w:color w:val="526779"/>
                              <w:spacing w:val="-5"/>
                              <w:sz w:val="14"/>
                            </w:rPr>
                            <w:fldChar w:fldCharType="end"/>
                          </w:r>
                        </w:p>
                      </w:txbxContent>
                    </wps:txbx>
                    <wps:bodyPr wrap="square" lIns="0" tIns="0" rIns="0" bIns="0" rtlCol="0">
                      <a:noAutofit/>
                    </wps:bodyPr>
                  </wps:wsp>
                </a:graphicData>
              </a:graphic>
            </wp:anchor>
          </w:drawing>
        </mc:Choice>
        <mc:Fallback>
          <w:pict>
            <v:shape style="position:absolute;margin-left:525.196472pt;margin-top:814.552856pt;width:31.1pt;height:9.85pt;mso-position-horizontal-relative:page;mso-position-vertical-relative:page;z-index:-16050176" type="#_x0000_t202" id="docshape29" filled="false" stroked="false">
              <v:textbox inset="0,0,0,0">
                <w:txbxContent>
                  <w:p>
                    <w:pPr>
                      <w:spacing w:before="15"/>
                      <w:ind w:left="20" w:right="0" w:firstLine="0"/>
                      <w:jc w:val="left"/>
                      <w:rPr>
                        <w:sz w:val="14"/>
                      </w:rPr>
                    </w:pPr>
                    <w:r>
                      <w:rPr>
                        <w:color w:val="526779"/>
                        <w:sz w:val="14"/>
                      </w:rPr>
                      <w:t>Page </w:t>
                    </w:r>
                    <w:r>
                      <w:rPr>
                        <w:color w:val="526779"/>
                        <w:spacing w:val="-5"/>
                        <w:sz w:val="14"/>
                      </w:rPr>
                      <w:fldChar w:fldCharType="begin"/>
                    </w:r>
                    <w:r>
                      <w:rPr>
                        <w:color w:val="526779"/>
                        <w:spacing w:val="-5"/>
                        <w:sz w:val="14"/>
                      </w:rPr>
                      <w:instrText> PAGE </w:instrText>
                    </w:r>
                    <w:r>
                      <w:rPr>
                        <w:color w:val="526779"/>
                        <w:spacing w:val="-5"/>
                        <w:sz w:val="14"/>
                      </w:rPr>
                      <w:fldChar w:fldCharType="separate"/>
                    </w:r>
                    <w:r>
                      <w:rPr>
                        <w:color w:val="526779"/>
                        <w:spacing w:val="-5"/>
                        <w:sz w:val="14"/>
                      </w:rPr>
                      <w:t>12</w:t>
                    </w:r>
                    <w:r>
                      <w:rPr>
                        <w:color w:val="526779"/>
                        <w:spacing w:val="-5"/>
                        <w:sz w:val="14"/>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7328">
              <wp:simplePos x="0" y="0"/>
              <wp:positionH relativeFrom="page">
                <wp:posOffset>546100</wp:posOffset>
              </wp:positionH>
              <wp:positionV relativeFrom="page">
                <wp:posOffset>10311000</wp:posOffset>
              </wp:positionV>
              <wp:extent cx="6468110"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468110" cy="1270"/>
                      </a:xfrm>
                      <a:custGeom>
                        <a:avLst/>
                        <a:gdLst/>
                        <a:ahLst/>
                        <a:cxnLst/>
                        <a:rect l="l" t="t" r="r" b="b"/>
                        <a:pathLst>
                          <a:path w="6468110" h="0">
                            <a:moveTo>
                              <a:pt x="0" y="0"/>
                            </a:moveTo>
                            <a:lnTo>
                              <a:pt x="6467800" y="0"/>
                            </a:lnTo>
                          </a:path>
                        </a:pathLst>
                      </a:custGeom>
                      <a:ln w="12700">
                        <a:solidFill>
                          <a:srgbClr val="BFCDD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49152" from="43pt,811.889771pt" to="552.275600pt,811.889771pt" stroked="true" strokeweight="1pt" strokecolor="#bfcddb">
              <v:stroke dashstyle="solid"/>
              <w10:wrap type="none"/>
            </v:line>
          </w:pict>
        </mc:Fallback>
      </mc:AlternateContent>
    </w:r>
    <w:r>
      <w:rPr>
        <w:sz w:val="20"/>
      </w:rPr>
      <mc:AlternateContent>
        <mc:Choice Requires="wps">
          <w:drawing>
            <wp:anchor distT="0" distB="0" distL="0" distR="0" allowOverlap="1" layoutInCell="1" locked="0" behindDoc="1" simplePos="0" relativeHeight="487267840">
              <wp:simplePos x="0" y="0"/>
              <wp:positionH relativeFrom="page">
                <wp:posOffset>533400</wp:posOffset>
              </wp:positionH>
              <wp:positionV relativeFrom="page">
                <wp:posOffset>10344821</wp:posOffset>
              </wp:positionV>
              <wp:extent cx="1289050" cy="12509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289050" cy="125095"/>
                      </a:xfrm>
                      <a:prstGeom prst="rect">
                        <a:avLst/>
                      </a:prstGeom>
                    </wps:spPr>
                    <wps:txbx>
                      <w:txbxContent>
                        <w:p>
                          <w:pPr>
                            <w:spacing w:before="15"/>
                            <w:ind w:left="20" w:right="0" w:firstLine="0"/>
                            <w:jc w:val="left"/>
                            <w:rPr>
                              <w:sz w:val="14"/>
                            </w:rPr>
                          </w:pPr>
                          <w:r>
                            <w:rPr>
                              <w:color w:val="526779"/>
                              <w:sz w:val="14"/>
                            </w:rPr>
                            <w:t>FIT5196 Group005 | EDA </w:t>
                          </w:r>
                          <w:r>
                            <w:rPr>
                              <w:color w:val="526779"/>
                              <w:spacing w:val="-2"/>
                              <w:sz w:val="14"/>
                            </w:rPr>
                            <w:t>report</w:t>
                          </w:r>
                        </w:p>
                      </w:txbxContent>
                    </wps:txbx>
                    <wps:bodyPr wrap="square" lIns="0" tIns="0" rIns="0" bIns="0" rtlCol="0">
                      <a:noAutofit/>
                    </wps:bodyPr>
                  </wps:wsp>
                </a:graphicData>
              </a:graphic>
            </wp:anchor>
          </w:drawing>
        </mc:Choice>
        <mc:Fallback>
          <w:pict>
            <v:shape style="position:absolute;margin-left:42pt;margin-top:814.552856pt;width:101.5pt;height:9.85pt;mso-position-horizontal-relative:page;mso-position-vertical-relative:page;z-index:-16048640" type="#_x0000_t202" id="docshape31" filled="false" stroked="false">
              <v:textbox inset="0,0,0,0">
                <w:txbxContent>
                  <w:p>
                    <w:pPr>
                      <w:spacing w:before="15"/>
                      <w:ind w:left="20" w:right="0" w:firstLine="0"/>
                      <w:jc w:val="left"/>
                      <w:rPr>
                        <w:sz w:val="14"/>
                      </w:rPr>
                    </w:pPr>
                    <w:r>
                      <w:rPr>
                        <w:color w:val="526779"/>
                        <w:sz w:val="14"/>
                      </w:rPr>
                      <w:t>FIT5196 Group005 | EDA </w:t>
                    </w:r>
                    <w:r>
                      <w:rPr>
                        <w:color w:val="526779"/>
                        <w:spacing w:val="-2"/>
                        <w:sz w:val="14"/>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8352">
              <wp:simplePos x="0" y="0"/>
              <wp:positionH relativeFrom="page">
                <wp:posOffset>6669995</wp:posOffset>
              </wp:positionH>
              <wp:positionV relativeFrom="page">
                <wp:posOffset>10344821</wp:posOffset>
              </wp:positionV>
              <wp:extent cx="394970" cy="12509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94970" cy="125095"/>
                      </a:xfrm>
                      <a:prstGeom prst="rect">
                        <a:avLst/>
                      </a:prstGeom>
                    </wps:spPr>
                    <wps:txbx>
                      <w:txbxContent>
                        <w:p>
                          <w:pPr>
                            <w:spacing w:before="15"/>
                            <w:ind w:left="20" w:right="0" w:firstLine="0"/>
                            <w:jc w:val="left"/>
                            <w:rPr>
                              <w:sz w:val="14"/>
                            </w:rPr>
                          </w:pPr>
                          <w:r>
                            <w:rPr>
                              <w:color w:val="526779"/>
                              <w:sz w:val="14"/>
                            </w:rPr>
                            <w:t>Page </w:t>
                          </w:r>
                          <w:r>
                            <w:rPr>
                              <w:color w:val="526779"/>
                              <w:spacing w:val="-5"/>
                              <w:sz w:val="14"/>
                            </w:rPr>
                            <w:fldChar w:fldCharType="begin"/>
                          </w:r>
                          <w:r>
                            <w:rPr>
                              <w:color w:val="526779"/>
                              <w:spacing w:val="-5"/>
                              <w:sz w:val="14"/>
                            </w:rPr>
                            <w:instrText> PAGE </w:instrText>
                          </w:r>
                          <w:r>
                            <w:rPr>
                              <w:color w:val="526779"/>
                              <w:spacing w:val="-5"/>
                              <w:sz w:val="14"/>
                            </w:rPr>
                            <w:fldChar w:fldCharType="separate"/>
                          </w:r>
                          <w:r>
                            <w:rPr>
                              <w:color w:val="526779"/>
                              <w:spacing w:val="-5"/>
                              <w:sz w:val="14"/>
                            </w:rPr>
                            <w:t>13</w:t>
                          </w:r>
                          <w:r>
                            <w:rPr>
                              <w:color w:val="526779"/>
                              <w:spacing w:val="-5"/>
                              <w:sz w:val="14"/>
                            </w:rPr>
                            <w:fldChar w:fldCharType="end"/>
                          </w:r>
                        </w:p>
                      </w:txbxContent>
                    </wps:txbx>
                    <wps:bodyPr wrap="square" lIns="0" tIns="0" rIns="0" bIns="0" rtlCol="0">
                      <a:noAutofit/>
                    </wps:bodyPr>
                  </wps:wsp>
                </a:graphicData>
              </a:graphic>
            </wp:anchor>
          </w:drawing>
        </mc:Choice>
        <mc:Fallback>
          <w:pict>
            <v:shape style="position:absolute;margin-left:525.196472pt;margin-top:814.552856pt;width:31.1pt;height:9.85pt;mso-position-horizontal-relative:page;mso-position-vertical-relative:page;z-index:-16048128" type="#_x0000_t202" id="docshape32" filled="false" stroked="false">
              <v:textbox inset="0,0,0,0">
                <w:txbxContent>
                  <w:p>
                    <w:pPr>
                      <w:spacing w:before="15"/>
                      <w:ind w:left="20" w:right="0" w:firstLine="0"/>
                      <w:jc w:val="left"/>
                      <w:rPr>
                        <w:sz w:val="14"/>
                      </w:rPr>
                    </w:pPr>
                    <w:r>
                      <w:rPr>
                        <w:color w:val="526779"/>
                        <w:sz w:val="14"/>
                      </w:rPr>
                      <w:t>Page </w:t>
                    </w:r>
                    <w:r>
                      <w:rPr>
                        <w:color w:val="526779"/>
                        <w:spacing w:val="-5"/>
                        <w:sz w:val="14"/>
                      </w:rPr>
                      <w:fldChar w:fldCharType="begin"/>
                    </w:r>
                    <w:r>
                      <w:rPr>
                        <w:color w:val="526779"/>
                        <w:spacing w:val="-5"/>
                        <w:sz w:val="14"/>
                      </w:rPr>
                      <w:instrText> PAGE </w:instrText>
                    </w:r>
                    <w:r>
                      <w:rPr>
                        <w:color w:val="526779"/>
                        <w:spacing w:val="-5"/>
                        <w:sz w:val="14"/>
                      </w:rPr>
                      <w:fldChar w:fldCharType="separate"/>
                    </w:r>
                    <w:r>
                      <w:rPr>
                        <w:color w:val="526779"/>
                        <w:spacing w:val="-5"/>
                        <w:sz w:val="14"/>
                      </w:rPr>
                      <w:t>13</w:t>
                    </w:r>
                    <w:r>
                      <w:rPr>
                        <w:color w:val="526779"/>
                        <w:spacing w:val="-5"/>
                        <w:sz w:val="1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8384">
              <wp:simplePos x="0" y="0"/>
              <wp:positionH relativeFrom="page">
                <wp:posOffset>533400</wp:posOffset>
              </wp:positionH>
              <wp:positionV relativeFrom="page">
                <wp:posOffset>551445</wp:posOffset>
              </wp:positionV>
              <wp:extent cx="4011929" cy="5251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011929" cy="525145"/>
                      </a:xfrm>
                      <a:prstGeom prst="rect">
                        <a:avLst/>
                      </a:prstGeom>
                    </wps:spPr>
                    <wps:txbx>
                      <w:txbxContent>
                        <w:p>
                          <w:pPr>
                            <w:spacing w:before="10"/>
                            <w:ind w:left="20" w:right="0" w:firstLine="0"/>
                            <w:jc w:val="left"/>
                            <w:rPr>
                              <w:rFonts w:ascii="Arial"/>
                              <w:b/>
                              <w:sz w:val="30"/>
                            </w:rPr>
                          </w:pPr>
                          <w:r>
                            <w:rPr>
                              <w:rFonts w:ascii="Arial"/>
                              <w:b/>
                              <w:color w:val="183D60"/>
                              <w:sz w:val="30"/>
                            </w:rPr>
                            <w:t>Assessed visualisations - Figures 1-</w:t>
                          </w:r>
                          <w:r>
                            <w:rPr>
                              <w:rFonts w:ascii="Arial"/>
                              <w:b/>
                              <w:color w:val="183D60"/>
                              <w:spacing w:val="-10"/>
                              <w:sz w:val="30"/>
                            </w:rPr>
                            <w:t>2</w:t>
                          </w:r>
                        </w:p>
                        <w:p>
                          <w:pPr>
                            <w:spacing w:before="209"/>
                            <w:ind w:left="20" w:right="0" w:firstLine="0"/>
                            <w:jc w:val="left"/>
                            <w:rPr>
                              <w:rFonts w:ascii="Arial"/>
                              <w:b/>
                              <w:sz w:val="21"/>
                            </w:rPr>
                          </w:pPr>
                          <w:r>
                            <w:rPr>
                              <w:rFonts w:ascii="Arial"/>
                              <w:b/>
                              <w:color w:val="183D60"/>
                              <w:sz w:val="21"/>
                            </w:rPr>
                            <w:t>Figure 1: Paid-value distribution and concentration </w:t>
                          </w:r>
                          <w:r>
                            <w:rPr>
                              <w:rFonts w:ascii="Arial"/>
                              <w:b/>
                              <w:color w:val="183D60"/>
                              <w:spacing w:val="-2"/>
                              <w:sz w:val="21"/>
                            </w:rPr>
                            <w:t>(univariate)</w:t>
                          </w:r>
                        </w:p>
                      </w:txbxContent>
                    </wps:txbx>
                    <wps:bodyPr wrap="square" lIns="0" tIns="0" rIns="0" bIns="0" rtlCol="0">
                      <a:noAutofit/>
                    </wps:bodyPr>
                  </wps:wsp>
                </a:graphicData>
              </a:graphic>
            </wp:anchor>
          </w:drawing>
        </mc:Choice>
        <mc:Fallback>
          <w:pict>
            <v:shape style="position:absolute;margin-left:42pt;margin-top:43.420868pt;width:315.9pt;height:41.35pt;mso-position-horizontal-relative:page;mso-position-vertical-relative:page;z-index:-16068096" type="#_x0000_t202" id="docshape3" filled="false" stroked="false">
              <v:textbox inset="0,0,0,0">
                <w:txbxContent>
                  <w:p>
                    <w:pPr>
                      <w:spacing w:before="10"/>
                      <w:ind w:left="20" w:right="0" w:firstLine="0"/>
                      <w:jc w:val="left"/>
                      <w:rPr>
                        <w:rFonts w:ascii="Arial"/>
                        <w:b/>
                        <w:sz w:val="30"/>
                      </w:rPr>
                    </w:pPr>
                    <w:r>
                      <w:rPr>
                        <w:rFonts w:ascii="Arial"/>
                        <w:b/>
                        <w:color w:val="183D60"/>
                        <w:sz w:val="30"/>
                      </w:rPr>
                      <w:t>Assessed visualisations - Figures 1-</w:t>
                    </w:r>
                    <w:r>
                      <w:rPr>
                        <w:rFonts w:ascii="Arial"/>
                        <w:b/>
                        <w:color w:val="183D60"/>
                        <w:spacing w:val="-10"/>
                        <w:sz w:val="30"/>
                      </w:rPr>
                      <w:t>2</w:t>
                    </w:r>
                  </w:p>
                  <w:p>
                    <w:pPr>
                      <w:spacing w:before="209"/>
                      <w:ind w:left="20" w:right="0" w:firstLine="0"/>
                      <w:jc w:val="left"/>
                      <w:rPr>
                        <w:rFonts w:ascii="Arial"/>
                        <w:b/>
                        <w:sz w:val="21"/>
                      </w:rPr>
                    </w:pPr>
                    <w:r>
                      <w:rPr>
                        <w:rFonts w:ascii="Arial"/>
                        <w:b/>
                        <w:color w:val="183D60"/>
                        <w:sz w:val="21"/>
                      </w:rPr>
                      <w:t>Figure 1: Paid-value distribution and concentration </w:t>
                    </w:r>
                    <w:r>
                      <w:rPr>
                        <w:rFonts w:ascii="Arial"/>
                        <w:b/>
                        <w:color w:val="183D60"/>
                        <w:spacing w:val="-2"/>
                        <w:sz w:val="21"/>
                      </w:rPr>
                      <w:t>(univariate)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0432">
              <wp:simplePos x="0" y="0"/>
              <wp:positionH relativeFrom="page">
                <wp:posOffset>533400</wp:posOffset>
              </wp:positionH>
              <wp:positionV relativeFrom="page">
                <wp:posOffset>551445</wp:posOffset>
              </wp:positionV>
              <wp:extent cx="5226685" cy="52514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226685" cy="525145"/>
                      </a:xfrm>
                      <a:prstGeom prst="rect">
                        <a:avLst/>
                      </a:prstGeom>
                    </wps:spPr>
                    <wps:txbx>
                      <w:txbxContent>
                        <w:p>
                          <w:pPr>
                            <w:spacing w:before="10"/>
                            <w:ind w:left="20" w:right="0" w:firstLine="0"/>
                            <w:jc w:val="left"/>
                            <w:rPr>
                              <w:rFonts w:ascii="Arial"/>
                              <w:b/>
                              <w:sz w:val="30"/>
                            </w:rPr>
                          </w:pPr>
                          <w:r>
                            <w:rPr>
                              <w:rFonts w:ascii="Arial"/>
                              <w:b/>
                              <w:color w:val="183D60"/>
                              <w:sz w:val="30"/>
                            </w:rPr>
                            <w:t>Assessed visualisations - Figures 3-</w:t>
                          </w:r>
                          <w:r>
                            <w:rPr>
                              <w:rFonts w:ascii="Arial"/>
                              <w:b/>
                              <w:color w:val="183D60"/>
                              <w:spacing w:val="-10"/>
                              <w:sz w:val="30"/>
                            </w:rPr>
                            <w:t>4</w:t>
                          </w:r>
                        </w:p>
                        <w:p>
                          <w:pPr>
                            <w:spacing w:before="209"/>
                            <w:ind w:left="20" w:right="0" w:firstLine="0"/>
                            <w:jc w:val="left"/>
                            <w:rPr>
                              <w:rFonts w:ascii="Arial"/>
                              <w:b/>
                              <w:sz w:val="21"/>
                            </w:rPr>
                          </w:pPr>
                          <w:r>
                            <w:rPr>
                              <w:rFonts w:ascii="Arial"/>
                              <w:b/>
                              <w:color w:val="183D60"/>
                              <w:sz w:val="21"/>
                            </w:rPr>
                            <w:t>Figure 3 - Category sales and contribution proxy (composition/group </w:t>
                          </w:r>
                          <w:r>
                            <w:rPr>
                              <w:rFonts w:ascii="Arial"/>
                              <w:b/>
                              <w:color w:val="183D60"/>
                              <w:spacing w:val="-2"/>
                              <w:sz w:val="21"/>
                            </w:rPr>
                            <w:t>comparison)</w:t>
                          </w:r>
                        </w:p>
                      </w:txbxContent>
                    </wps:txbx>
                    <wps:bodyPr wrap="square" lIns="0" tIns="0" rIns="0" bIns="0" rtlCol="0">
                      <a:noAutofit/>
                    </wps:bodyPr>
                  </wps:wsp>
                </a:graphicData>
              </a:graphic>
            </wp:anchor>
          </w:drawing>
        </mc:Choice>
        <mc:Fallback>
          <w:pict>
            <v:shape style="position:absolute;margin-left:42pt;margin-top:43.420868pt;width:411.55pt;height:41.35pt;mso-position-horizontal-relative:page;mso-position-vertical-relative:page;z-index:-16066048" type="#_x0000_t202" id="docshape6" filled="false" stroked="false">
              <v:textbox inset="0,0,0,0">
                <w:txbxContent>
                  <w:p>
                    <w:pPr>
                      <w:spacing w:before="10"/>
                      <w:ind w:left="20" w:right="0" w:firstLine="0"/>
                      <w:jc w:val="left"/>
                      <w:rPr>
                        <w:rFonts w:ascii="Arial"/>
                        <w:b/>
                        <w:sz w:val="30"/>
                      </w:rPr>
                    </w:pPr>
                    <w:r>
                      <w:rPr>
                        <w:rFonts w:ascii="Arial"/>
                        <w:b/>
                        <w:color w:val="183D60"/>
                        <w:sz w:val="30"/>
                      </w:rPr>
                      <w:t>Assessed visualisations - Figures 3-</w:t>
                    </w:r>
                    <w:r>
                      <w:rPr>
                        <w:rFonts w:ascii="Arial"/>
                        <w:b/>
                        <w:color w:val="183D60"/>
                        <w:spacing w:val="-10"/>
                        <w:sz w:val="30"/>
                      </w:rPr>
                      <w:t>4</w:t>
                    </w:r>
                  </w:p>
                  <w:p>
                    <w:pPr>
                      <w:spacing w:before="209"/>
                      <w:ind w:left="20" w:right="0" w:firstLine="0"/>
                      <w:jc w:val="left"/>
                      <w:rPr>
                        <w:rFonts w:ascii="Arial"/>
                        <w:b/>
                        <w:sz w:val="21"/>
                      </w:rPr>
                    </w:pPr>
                    <w:r>
                      <w:rPr>
                        <w:rFonts w:ascii="Arial"/>
                        <w:b/>
                        <w:color w:val="183D60"/>
                        <w:sz w:val="21"/>
                      </w:rPr>
                      <w:t>Figure 3 - Category sales and contribution proxy (composition/group </w:t>
                    </w:r>
                    <w:r>
                      <w:rPr>
                        <w:rFonts w:ascii="Arial"/>
                        <w:b/>
                        <w:color w:val="183D60"/>
                        <w:spacing w:val="-2"/>
                        <w:sz w:val="21"/>
                      </w:rPr>
                      <w:t>comparison)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2480">
              <wp:simplePos x="0" y="0"/>
              <wp:positionH relativeFrom="page">
                <wp:posOffset>533400</wp:posOffset>
              </wp:positionH>
              <wp:positionV relativeFrom="page">
                <wp:posOffset>551445</wp:posOffset>
              </wp:positionV>
              <wp:extent cx="4242435" cy="52514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242435" cy="525145"/>
                      </a:xfrm>
                      <a:prstGeom prst="rect">
                        <a:avLst/>
                      </a:prstGeom>
                    </wps:spPr>
                    <wps:txbx>
                      <w:txbxContent>
                        <w:p>
                          <w:pPr>
                            <w:spacing w:before="10"/>
                            <w:ind w:left="20" w:right="0" w:firstLine="0"/>
                            <w:jc w:val="left"/>
                            <w:rPr>
                              <w:rFonts w:ascii="Arial"/>
                              <w:b/>
                              <w:sz w:val="30"/>
                            </w:rPr>
                          </w:pPr>
                          <w:r>
                            <w:rPr>
                              <w:rFonts w:ascii="Arial"/>
                              <w:b/>
                              <w:color w:val="183D60"/>
                              <w:sz w:val="30"/>
                            </w:rPr>
                            <w:t>Assessed visualisations - Figures 5-</w:t>
                          </w:r>
                          <w:r>
                            <w:rPr>
                              <w:rFonts w:ascii="Arial"/>
                              <w:b/>
                              <w:color w:val="183D60"/>
                              <w:spacing w:val="-10"/>
                              <w:sz w:val="30"/>
                            </w:rPr>
                            <w:t>6</w:t>
                          </w:r>
                        </w:p>
                        <w:p>
                          <w:pPr>
                            <w:spacing w:before="209"/>
                            <w:ind w:left="20" w:right="0" w:firstLine="0"/>
                            <w:jc w:val="left"/>
                            <w:rPr>
                              <w:rFonts w:ascii="Arial"/>
                              <w:b/>
                              <w:sz w:val="21"/>
                            </w:rPr>
                          </w:pPr>
                          <w:r>
                            <w:rPr>
                              <w:rFonts w:ascii="Arial"/>
                              <w:b/>
                              <w:color w:val="183D60"/>
                              <w:sz w:val="21"/>
                            </w:rPr>
                            <w:t>Figure 5: Rating distribution by value experience </w:t>
                          </w:r>
                          <w:r>
                            <w:rPr>
                              <w:rFonts w:ascii="Arial"/>
                              <w:b/>
                              <w:color w:val="183D60"/>
                              <w:spacing w:val="-2"/>
                              <w:sz w:val="21"/>
                            </w:rPr>
                            <w:t>(bivariate/review)</w:t>
                          </w:r>
                        </w:p>
                      </w:txbxContent>
                    </wps:txbx>
                    <wps:bodyPr wrap="square" lIns="0" tIns="0" rIns="0" bIns="0" rtlCol="0">
                      <a:noAutofit/>
                    </wps:bodyPr>
                  </wps:wsp>
                </a:graphicData>
              </a:graphic>
            </wp:anchor>
          </w:drawing>
        </mc:Choice>
        <mc:Fallback>
          <w:pict>
            <v:shape style="position:absolute;margin-left:42pt;margin-top:43.420868pt;width:334.05pt;height:41.35pt;mso-position-horizontal-relative:page;mso-position-vertical-relative:page;z-index:-16064000" type="#_x0000_t202" id="docshape9" filled="false" stroked="false">
              <v:textbox inset="0,0,0,0">
                <w:txbxContent>
                  <w:p>
                    <w:pPr>
                      <w:spacing w:before="10"/>
                      <w:ind w:left="20" w:right="0" w:firstLine="0"/>
                      <w:jc w:val="left"/>
                      <w:rPr>
                        <w:rFonts w:ascii="Arial"/>
                        <w:b/>
                        <w:sz w:val="30"/>
                      </w:rPr>
                    </w:pPr>
                    <w:r>
                      <w:rPr>
                        <w:rFonts w:ascii="Arial"/>
                        <w:b/>
                        <w:color w:val="183D60"/>
                        <w:sz w:val="30"/>
                      </w:rPr>
                      <w:t>Assessed visualisations - Figures 5-</w:t>
                    </w:r>
                    <w:r>
                      <w:rPr>
                        <w:rFonts w:ascii="Arial"/>
                        <w:b/>
                        <w:color w:val="183D60"/>
                        <w:spacing w:val="-10"/>
                        <w:sz w:val="30"/>
                      </w:rPr>
                      <w:t>6</w:t>
                    </w:r>
                  </w:p>
                  <w:p>
                    <w:pPr>
                      <w:spacing w:before="209"/>
                      <w:ind w:left="20" w:right="0" w:firstLine="0"/>
                      <w:jc w:val="left"/>
                      <w:rPr>
                        <w:rFonts w:ascii="Arial"/>
                        <w:b/>
                        <w:sz w:val="21"/>
                      </w:rPr>
                    </w:pPr>
                    <w:r>
                      <w:rPr>
                        <w:rFonts w:ascii="Arial"/>
                        <w:b/>
                        <w:color w:val="183D60"/>
                        <w:sz w:val="21"/>
                      </w:rPr>
                      <w:t>Figure 5: Rating distribution by value experience </w:t>
                    </w:r>
                    <w:r>
                      <w:rPr>
                        <w:rFonts w:ascii="Arial"/>
                        <w:b/>
                        <w:color w:val="183D60"/>
                        <w:spacing w:val="-2"/>
                        <w:sz w:val="21"/>
                      </w:rPr>
                      <w:t>(bivariate/review)</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4528">
              <wp:simplePos x="0" y="0"/>
              <wp:positionH relativeFrom="page">
                <wp:posOffset>533400</wp:posOffset>
              </wp:positionH>
              <wp:positionV relativeFrom="page">
                <wp:posOffset>551445</wp:posOffset>
              </wp:positionV>
              <wp:extent cx="3413760" cy="23876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413760" cy="238760"/>
                      </a:xfrm>
                      <a:prstGeom prst="rect">
                        <a:avLst/>
                      </a:prstGeom>
                    </wps:spPr>
                    <wps:txbx>
                      <w:txbxContent>
                        <w:p>
                          <w:pPr>
                            <w:spacing w:before="10"/>
                            <w:ind w:left="20" w:right="0" w:firstLine="0"/>
                            <w:jc w:val="left"/>
                            <w:rPr>
                              <w:rFonts w:ascii="Arial"/>
                              <w:b/>
                              <w:sz w:val="30"/>
                            </w:rPr>
                          </w:pPr>
                          <w:r>
                            <w:rPr>
                              <w:rFonts w:ascii="Arial"/>
                              <w:b/>
                              <w:color w:val="183D60"/>
                              <w:sz w:val="30"/>
                            </w:rPr>
                            <w:t>Assessed visualisations - Figures 7-</w:t>
                          </w:r>
                          <w:r>
                            <w:rPr>
                              <w:rFonts w:ascii="Arial"/>
                              <w:b/>
                              <w:color w:val="183D60"/>
                              <w:spacing w:val="-10"/>
                              <w:sz w:val="30"/>
                            </w:rPr>
                            <w:t>8</w:t>
                          </w:r>
                        </w:p>
                      </w:txbxContent>
                    </wps:txbx>
                    <wps:bodyPr wrap="square" lIns="0" tIns="0" rIns="0" bIns="0" rtlCol="0">
                      <a:noAutofit/>
                    </wps:bodyPr>
                  </wps:wsp>
                </a:graphicData>
              </a:graphic>
            </wp:anchor>
          </w:drawing>
        </mc:Choice>
        <mc:Fallback>
          <w:pict>
            <v:shape style="position:absolute;margin-left:42pt;margin-top:43.420868pt;width:268.8pt;height:18.8pt;mso-position-horizontal-relative:page;mso-position-vertical-relative:page;z-index:-16061952" type="#_x0000_t202" id="docshape12" filled="false" stroked="false">
              <v:textbox inset="0,0,0,0">
                <w:txbxContent>
                  <w:p>
                    <w:pPr>
                      <w:spacing w:before="10"/>
                      <w:ind w:left="20" w:right="0" w:firstLine="0"/>
                      <w:jc w:val="left"/>
                      <w:rPr>
                        <w:rFonts w:ascii="Arial"/>
                        <w:b/>
                        <w:sz w:val="30"/>
                      </w:rPr>
                    </w:pPr>
                    <w:r>
                      <w:rPr>
                        <w:rFonts w:ascii="Arial"/>
                        <w:b/>
                        <w:color w:val="183D60"/>
                        <w:sz w:val="30"/>
                      </w:rPr>
                      <w:t>Assessed visualisations - Figures 7-</w:t>
                    </w:r>
                    <w:r>
                      <w:rPr>
                        <w:rFonts w:ascii="Arial"/>
                        <w:b/>
                        <w:color w:val="183D60"/>
                        <w:spacing w:val="-10"/>
                        <w:sz w:val="30"/>
                      </w:rPr>
                      <w:t>8</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6576">
              <wp:simplePos x="0" y="0"/>
              <wp:positionH relativeFrom="page">
                <wp:posOffset>533400</wp:posOffset>
              </wp:positionH>
              <wp:positionV relativeFrom="page">
                <wp:posOffset>551445</wp:posOffset>
              </wp:positionV>
              <wp:extent cx="2598420" cy="23876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598420" cy="238760"/>
                      </a:xfrm>
                      <a:prstGeom prst="rect">
                        <a:avLst/>
                      </a:prstGeom>
                    </wps:spPr>
                    <wps:txbx>
                      <w:txbxContent>
                        <w:p>
                          <w:pPr>
                            <w:spacing w:before="10"/>
                            <w:ind w:left="20" w:right="0" w:firstLine="0"/>
                            <w:jc w:val="left"/>
                            <w:rPr>
                              <w:rFonts w:ascii="Arial"/>
                              <w:b/>
                              <w:sz w:val="30"/>
                            </w:rPr>
                          </w:pPr>
                          <w:r>
                            <w:rPr>
                              <w:rFonts w:ascii="Arial"/>
                              <w:b/>
                              <w:color w:val="183D60"/>
                              <w:sz w:val="30"/>
                            </w:rPr>
                            <w:t>Evidence-based findings 1-</w:t>
                          </w:r>
                          <w:r>
                            <w:rPr>
                              <w:rFonts w:ascii="Arial"/>
                              <w:b/>
                              <w:color w:val="183D60"/>
                              <w:spacing w:val="-10"/>
                              <w:sz w:val="30"/>
                            </w:rPr>
                            <w:t>5</w:t>
                          </w:r>
                        </w:p>
                      </w:txbxContent>
                    </wps:txbx>
                    <wps:bodyPr wrap="square" lIns="0" tIns="0" rIns="0" bIns="0" rtlCol="0">
                      <a:noAutofit/>
                    </wps:bodyPr>
                  </wps:wsp>
                </a:graphicData>
              </a:graphic>
            </wp:anchor>
          </w:drawing>
        </mc:Choice>
        <mc:Fallback>
          <w:pict>
            <v:shape style="position:absolute;margin-left:42pt;margin-top:43.420868pt;width:204.6pt;height:18.8pt;mso-position-horizontal-relative:page;mso-position-vertical-relative:page;z-index:-16059904" type="#_x0000_t202" id="docshape15" filled="false" stroked="false">
              <v:textbox inset="0,0,0,0">
                <w:txbxContent>
                  <w:p>
                    <w:pPr>
                      <w:spacing w:before="10"/>
                      <w:ind w:left="20" w:right="0" w:firstLine="0"/>
                      <w:jc w:val="left"/>
                      <w:rPr>
                        <w:rFonts w:ascii="Arial"/>
                        <w:b/>
                        <w:sz w:val="30"/>
                      </w:rPr>
                    </w:pPr>
                    <w:r>
                      <w:rPr>
                        <w:rFonts w:ascii="Arial"/>
                        <w:b/>
                        <w:color w:val="183D60"/>
                        <w:sz w:val="30"/>
                      </w:rPr>
                      <w:t>Evidence-based findings 1-</w:t>
                    </w:r>
                    <w:r>
                      <w:rPr>
                        <w:rFonts w:ascii="Arial"/>
                        <w:b/>
                        <w:color w:val="183D60"/>
                        <w:spacing w:val="-10"/>
                        <w:sz w:val="30"/>
                      </w:rPr>
                      <w:t>5</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8624">
              <wp:simplePos x="0" y="0"/>
              <wp:positionH relativeFrom="page">
                <wp:posOffset>533400</wp:posOffset>
              </wp:positionH>
              <wp:positionV relativeFrom="page">
                <wp:posOffset>551445</wp:posOffset>
              </wp:positionV>
              <wp:extent cx="2703830" cy="23876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703830" cy="238760"/>
                      </a:xfrm>
                      <a:prstGeom prst="rect">
                        <a:avLst/>
                      </a:prstGeom>
                    </wps:spPr>
                    <wps:txbx>
                      <w:txbxContent>
                        <w:p>
                          <w:pPr>
                            <w:spacing w:before="10"/>
                            <w:ind w:left="20" w:right="0" w:firstLine="0"/>
                            <w:jc w:val="left"/>
                            <w:rPr>
                              <w:rFonts w:ascii="Arial"/>
                              <w:b/>
                              <w:sz w:val="30"/>
                            </w:rPr>
                          </w:pPr>
                          <w:r>
                            <w:rPr>
                              <w:rFonts w:ascii="Arial"/>
                              <w:b/>
                              <w:color w:val="183D60"/>
                              <w:sz w:val="30"/>
                            </w:rPr>
                            <w:t>Evidence-based findings 6-</w:t>
                          </w:r>
                          <w:r>
                            <w:rPr>
                              <w:rFonts w:ascii="Arial"/>
                              <w:b/>
                              <w:color w:val="183D60"/>
                              <w:spacing w:val="-5"/>
                              <w:sz w:val="30"/>
                            </w:rPr>
                            <w:t>10</w:t>
                          </w:r>
                        </w:p>
                      </w:txbxContent>
                    </wps:txbx>
                    <wps:bodyPr wrap="square" lIns="0" tIns="0" rIns="0" bIns="0" rtlCol="0">
                      <a:noAutofit/>
                    </wps:bodyPr>
                  </wps:wsp>
                </a:graphicData>
              </a:graphic>
            </wp:anchor>
          </w:drawing>
        </mc:Choice>
        <mc:Fallback>
          <w:pict>
            <v:shape style="position:absolute;margin-left:42pt;margin-top:43.420868pt;width:212.9pt;height:18.8pt;mso-position-horizontal-relative:page;mso-position-vertical-relative:page;z-index:-16057856" type="#_x0000_t202" id="docshape18" filled="false" stroked="false">
              <v:textbox inset="0,0,0,0">
                <w:txbxContent>
                  <w:p>
                    <w:pPr>
                      <w:spacing w:before="10"/>
                      <w:ind w:left="20" w:right="0" w:firstLine="0"/>
                      <w:jc w:val="left"/>
                      <w:rPr>
                        <w:rFonts w:ascii="Arial"/>
                        <w:b/>
                        <w:sz w:val="30"/>
                      </w:rPr>
                    </w:pPr>
                    <w:r>
                      <w:rPr>
                        <w:rFonts w:ascii="Arial"/>
                        <w:b/>
                        <w:color w:val="183D60"/>
                        <w:sz w:val="30"/>
                      </w:rPr>
                      <w:t>Evidence-based findings 6-</w:t>
                    </w:r>
                    <w:r>
                      <w:rPr>
                        <w:rFonts w:ascii="Arial"/>
                        <w:b/>
                        <w:color w:val="183D60"/>
                        <w:spacing w:val="-5"/>
                        <w:sz w:val="30"/>
                      </w:rPr>
                      <w:t>10</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0672">
              <wp:simplePos x="0" y="0"/>
              <wp:positionH relativeFrom="page">
                <wp:posOffset>533400</wp:posOffset>
              </wp:positionH>
              <wp:positionV relativeFrom="page">
                <wp:posOffset>549904</wp:posOffset>
              </wp:positionV>
              <wp:extent cx="2038350" cy="22034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038350" cy="220345"/>
                      </a:xfrm>
                      <a:prstGeom prst="rect">
                        <a:avLst/>
                      </a:prstGeom>
                    </wps:spPr>
                    <wps:txbx>
                      <w:txbxContent>
                        <w:p>
                          <w:pPr>
                            <w:spacing w:before="15"/>
                            <w:ind w:left="20" w:right="0" w:firstLine="0"/>
                            <w:jc w:val="left"/>
                            <w:rPr>
                              <w:rFonts w:ascii="Arial"/>
                              <w:b/>
                              <w:sz w:val="27"/>
                            </w:rPr>
                          </w:pPr>
                          <w:r>
                            <w:rPr>
                              <w:rFonts w:ascii="Arial"/>
                              <w:b/>
                              <w:color w:val="183D60"/>
                              <w:sz w:val="27"/>
                            </w:rPr>
                            <w:t>Future</w:t>
                          </w:r>
                          <w:r>
                            <w:rPr>
                              <w:rFonts w:ascii="Arial"/>
                              <w:b/>
                              <w:color w:val="183D60"/>
                              <w:spacing w:val="10"/>
                              <w:sz w:val="27"/>
                            </w:rPr>
                            <w:t> </w:t>
                          </w:r>
                          <w:r>
                            <w:rPr>
                              <w:rFonts w:ascii="Arial"/>
                              <w:b/>
                              <w:color w:val="183D60"/>
                              <w:sz w:val="27"/>
                            </w:rPr>
                            <w:t>ML</w:t>
                          </w:r>
                          <w:r>
                            <w:rPr>
                              <w:rFonts w:ascii="Arial"/>
                              <w:b/>
                              <w:color w:val="183D60"/>
                              <w:spacing w:val="10"/>
                              <w:sz w:val="27"/>
                            </w:rPr>
                            <w:t> </w:t>
                          </w:r>
                          <w:r>
                            <w:rPr>
                              <w:rFonts w:ascii="Arial"/>
                              <w:b/>
                              <w:color w:val="183D60"/>
                              <w:sz w:val="27"/>
                            </w:rPr>
                            <w:t>questions</w:t>
                          </w:r>
                          <w:r>
                            <w:rPr>
                              <w:rFonts w:ascii="Arial"/>
                              <w:b/>
                              <w:color w:val="183D60"/>
                              <w:spacing w:val="10"/>
                              <w:sz w:val="27"/>
                            </w:rPr>
                            <w:t> </w:t>
                          </w:r>
                          <w:r>
                            <w:rPr>
                              <w:rFonts w:ascii="Arial"/>
                              <w:b/>
                              <w:color w:val="183D60"/>
                              <w:sz w:val="27"/>
                            </w:rPr>
                            <w:t>1-</w:t>
                          </w:r>
                          <w:r>
                            <w:rPr>
                              <w:rFonts w:ascii="Arial"/>
                              <w:b/>
                              <w:color w:val="183D60"/>
                              <w:spacing w:val="-10"/>
                              <w:sz w:val="27"/>
                            </w:rPr>
                            <w:t>3</w:t>
                          </w:r>
                        </w:p>
                      </w:txbxContent>
                    </wps:txbx>
                    <wps:bodyPr wrap="square" lIns="0" tIns="0" rIns="0" bIns="0" rtlCol="0">
                      <a:noAutofit/>
                    </wps:bodyPr>
                  </wps:wsp>
                </a:graphicData>
              </a:graphic>
            </wp:anchor>
          </w:drawing>
        </mc:Choice>
        <mc:Fallback>
          <w:pict>
            <v:shape style="position:absolute;margin-left:42pt;margin-top:43.299534pt;width:160.5pt;height:17.350pt;mso-position-horizontal-relative:page;mso-position-vertical-relative:page;z-index:-16055808" type="#_x0000_t202" id="docshape21" filled="false" stroked="false">
              <v:textbox inset="0,0,0,0">
                <w:txbxContent>
                  <w:p>
                    <w:pPr>
                      <w:spacing w:before="15"/>
                      <w:ind w:left="20" w:right="0" w:firstLine="0"/>
                      <w:jc w:val="left"/>
                      <w:rPr>
                        <w:rFonts w:ascii="Arial"/>
                        <w:b/>
                        <w:sz w:val="27"/>
                      </w:rPr>
                    </w:pPr>
                    <w:r>
                      <w:rPr>
                        <w:rFonts w:ascii="Arial"/>
                        <w:b/>
                        <w:color w:val="183D60"/>
                        <w:sz w:val="27"/>
                      </w:rPr>
                      <w:t>Future</w:t>
                    </w:r>
                    <w:r>
                      <w:rPr>
                        <w:rFonts w:ascii="Arial"/>
                        <w:b/>
                        <w:color w:val="183D60"/>
                        <w:spacing w:val="10"/>
                        <w:sz w:val="27"/>
                      </w:rPr>
                      <w:t> </w:t>
                    </w:r>
                    <w:r>
                      <w:rPr>
                        <w:rFonts w:ascii="Arial"/>
                        <w:b/>
                        <w:color w:val="183D60"/>
                        <w:sz w:val="27"/>
                      </w:rPr>
                      <w:t>ML</w:t>
                    </w:r>
                    <w:r>
                      <w:rPr>
                        <w:rFonts w:ascii="Arial"/>
                        <w:b/>
                        <w:color w:val="183D60"/>
                        <w:spacing w:val="10"/>
                        <w:sz w:val="27"/>
                      </w:rPr>
                      <w:t> </w:t>
                    </w:r>
                    <w:r>
                      <w:rPr>
                        <w:rFonts w:ascii="Arial"/>
                        <w:b/>
                        <w:color w:val="183D60"/>
                        <w:sz w:val="27"/>
                      </w:rPr>
                      <w:t>questions</w:t>
                    </w:r>
                    <w:r>
                      <w:rPr>
                        <w:rFonts w:ascii="Arial"/>
                        <w:b/>
                        <w:color w:val="183D60"/>
                        <w:spacing w:val="10"/>
                        <w:sz w:val="27"/>
                      </w:rPr>
                      <w:t> </w:t>
                    </w:r>
                    <w:r>
                      <w:rPr>
                        <w:rFonts w:ascii="Arial"/>
                        <w:b/>
                        <w:color w:val="183D60"/>
                        <w:sz w:val="27"/>
                      </w:rPr>
                      <w:t>1-</w:t>
                    </w:r>
                    <w:r>
                      <w:rPr>
                        <w:rFonts w:ascii="Arial"/>
                        <w:b/>
                        <w:color w:val="183D60"/>
                        <w:spacing w:val="-10"/>
                        <w:sz w:val="27"/>
                      </w:rPr>
                      <w:t>3</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2720">
              <wp:simplePos x="0" y="0"/>
              <wp:positionH relativeFrom="page">
                <wp:posOffset>533400</wp:posOffset>
              </wp:positionH>
              <wp:positionV relativeFrom="page">
                <wp:posOffset>551445</wp:posOffset>
              </wp:positionV>
              <wp:extent cx="2226945" cy="23876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226945" cy="238760"/>
                      </a:xfrm>
                      <a:prstGeom prst="rect">
                        <a:avLst/>
                      </a:prstGeom>
                    </wps:spPr>
                    <wps:txbx>
                      <w:txbxContent>
                        <w:p>
                          <w:pPr>
                            <w:spacing w:before="10"/>
                            <w:ind w:left="20" w:right="0" w:firstLine="0"/>
                            <w:jc w:val="left"/>
                            <w:rPr>
                              <w:rFonts w:ascii="Arial"/>
                              <w:b/>
                              <w:sz w:val="30"/>
                            </w:rPr>
                          </w:pPr>
                          <w:r>
                            <w:rPr>
                              <w:rFonts w:ascii="Arial"/>
                              <w:b/>
                              <w:color w:val="183D60"/>
                              <w:sz w:val="30"/>
                            </w:rPr>
                            <w:t>Future ML questions 4-</w:t>
                          </w:r>
                          <w:r>
                            <w:rPr>
                              <w:rFonts w:ascii="Arial"/>
                              <w:b/>
                              <w:color w:val="183D60"/>
                              <w:spacing w:val="-10"/>
                              <w:sz w:val="30"/>
                            </w:rPr>
                            <w:t>5</w:t>
                          </w:r>
                        </w:p>
                      </w:txbxContent>
                    </wps:txbx>
                    <wps:bodyPr wrap="square" lIns="0" tIns="0" rIns="0" bIns="0" rtlCol="0">
                      <a:noAutofit/>
                    </wps:bodyPr>
                  </wps:wsp>
                </a:graphicData>
              </a:graphic>
            </wp:anchor>
          </w:drawing>
        </mc:Choice>
        <mc:Fallback>
          <w:pict>
            <v:shape style="position:absolute;margin-left:42pt;margin-top:43.420868pt;width:175.35pt;height:18.8pt;mso-position-horizontal-relative:page;mso-position-vertical-relative:page;z-index:-16053760" type="#_x0000_t202" id="docshape24" filled="false" stroked="false">
              <v:textbox inset="0,0,0,0">
                <w:txbxContent>
                  <w:p>
                    <w:pPr>
                      <w:spacing w:before="10"/>
                      <w:ind w:left="20" w:right="0" w:firstLine="0"/>
                      <w:jc w:val="left"/>
                      <w:rPr>
                        <w:rFonts w:ascii="Arial"/>
                        <w:b/>
                        <w:sz w:val="30"/>
                      </w:rPr>
                    </w:pPr>
                    <w:r>
                      <w:rPr>
                        <w:rFonts w:ascii="Arial"/>
                        <w:b/>
                        <w:color w:val="183D60"/>
                        <w:sz w:val="30"/>
                      </w:rPr>
                      <w:t>Future ML questions 4-</w:t>
                    </w:r>
                    <w:r>
                      <w:rPr>
                        <w:rFonts w:ascii="Arial"/>
                        <w:b/>
                        <w:color w:val="183D60"/>
                        <w:spacing w:val="-10"/>
                        <w:sz w:val="30"/>
                      </w:rPr>
                      <w:t>5</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4768">
              <wp:simplePos x="0" y="0"/>
              <wp:positionH relativeFrom="page">
                <wp:posOffset>533400</wp:posOffset>
              </wp:positionH>
              <wp:positionV relativeFrom="page">
                <wp:posOffset>551445</wp:posOffset>
              </wp:positionV>
              <wp:extent cx="1042035" cy="23876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042035" cy="238760"/>
                      </a:xfrm>
                      <a:prstGeom prst="rect">
                        <a:avLst/>
                      </a:prstGeom>
                    </wps:spPr>
                    <wps:txbx>
                      <w:txbxContent>
                        <w:p>
                          <w:pPr>
                            <w:spacing w:before="10"/>
                            <w:ind w:left="20" w:right="0" w:firstLine="0"/>
                            <w:jc w:val="left"/>
                            <w:rPr>
                              <w:rFonts w:ascii="Arial"/>
                              <w:b/>
                              <w:sz w:val="30"/>
                            </w:rPr>
                          </w:pPr>
                          <w:r>
                            <w:rPr>
                              <w:rFonts w:ascii="Arial"/>
                              <w:b/>
                              <w:color w:val="183D60"/>
                              <w:spacing w:val="-2"/>
                              <w:sz w:val="30"/>
                            </w:rPr>
                            <w:t>Limitations</w:t>
                          </w:r>
                        </w:p>
                      </w:txbxContent>
                    </wps:txbx>
                    <wps:bodyPr wrap="square" lIns="0" tIns="0" rIns="0" bIns="0" rtlCol="0">
                      <a:noAutofit/>
                    </wps:bodyPr>
                  </wps:wsp>
                </a:graphicData>
              </a:graphic>
            </wp:anchor>
          </w:drawing>
        </mc:Choice>
        <mc:Fallback>
          <w:pict>
            <v:shape style="position:absolute;margin-left:42pt;margin-top:43.420868pt;width:82.05pt;height:18.8pt;mso-position-horizontal-relative:page;mso-position-vertical-relative:page;z-index:-16051712" type="#_x0000_t202" id="docshape27" filled="false" stroked="false">
              <v:textbox inset="0,0,0,0">
                <w:txbxContent>
                  <w:p>
                    <w:pPr>
                      <w:spacing w:before="10"/>
                      <w:ind w:left="20" w:right="0" w:firstLine="0"/>
                      <w:jc w:val="left"/>
                      <w:rPr>
                        <w:rFonts w:ascii="Arial"/>
                        <w:b/>
                        <w:sz w:val="30"/>
                      </w:rPr>
                    </w:pPr>
                    <w:r>
                      <w:rPr>
                        <w:rFonts w:ascii="Arial"/>
                        <w:b/>
                        <w:color w:val="183D60"/>
                        <w:spacing w:val="-2"/>
                        <w:sz w:val="30"/>
                      </w:rPr>
                      <w:t>Limitations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6816">
              <wp:simplePos x="0" y="0"/>
              <wp:positionH relativeFrom="page">
                <wp:posOffset>533400</wp:posOffset>
              </wp:positionH>
              <wp:positionV relativeFrom="page">
                <wp:posOffset>551445</wp:posOffset>
              </wp:positionV>
              <wp:extent cx="2884170" cy="23876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884170" cy="238760"/>
                      </a:xfrm>
                      <a:prstGeom prst="rect">
                        <a:avLst/>
                      </a:prstGeom>
                    </wps:spPr>
                    <wps:txbx>
                      <w:txbxContent>
                        <w:p>
                          <w:pPr>
                            <w:spacing w:before="10"/>
                            <w:ind w:left="20" w:right="0" w:firstLine="0"/>
                            <w:jc w:val="left"/>
                            <w:rPr>
                              <w:rFonts w:ascii="Arial"/>
                              <w:b/>
                              <w:sz w:val="30"/>
                            </w:rPr>
                          </w:pPr>
                          <w:r>
                            <w:rPr>
                              <w:rFonts w:ascii="Arial"/>
                              <w:b/>
                              <w:color w:val="183D60"/>
                              <w:sz w:val="30"/>
                            </w:rPr>
                            <w:t>References and </w:t>
                          </w:r>
                          <w:r>
                            <w:rPr>
                              <w:rFonts w:ascii="Arial"/>
                              <w:b/>
                              <w:color w:val="183D60"/>
                              <w:spacing w:val="-2"/>
                              <w:sz w:val="30"/>
                            </w:rPr>
                            <w:t>Reproducibility</w:t>
                          </w:r>
                        </w:p>
                      </w:txbxContent>
                    </wps:txbx>
                    <wps:bodyPr wrap="square" lIns="0" tIns="0" rIns="0" bIns="0" rtlCol="0">
                      <a:noAutofit/>
                    </wps:bodyPr>
                  </wps:wsp>
                </a:graphicData>
              </a:graphic>
            </wp:anchor>
          </w:drawing>
        </mc:Choice>
        <mc:Fallback>
          <w:pict>
            <v:shape style="position:absolute;margin-left:42pt;margin-top:43.420868pt;width:227.1pt;height:18.8pt;mso-position-horizontal-relative:page;mso-position-vertical-relative:page;z-index:-16049664" type="#_x0000_t202" id="docshape30" filled="false" stroked="false">
              <v:textbox inset="0,0,0,0">
                <w:txbxContent>
                  <w:p>
                    <w:pPr>
                      <w:spacing w:before="10"/>
                      <w:ind w:left="20" w:right="0" w:firstLine="0"/>
                      <w:jc w:val="left"/>
                      <w:rPr>
                        <w:rFonts w:ascii="Arial"/>
                        <w:b/>
                        <w:sz w:val="30"/>
                      </w:rPr>
                    </w:pPr>
                    <w:r>
                      <w:rPr>
                        <w:rFonts w:ascii="Arial"/>
                        <w:b/>
                        <w:color w:val="183D60"/>
                        <w:sz w:val="30"/>
                      </w:rPr>
                      <w:t>References and </w:t>
                    </w:r>
                    <w:r>
                      <w:rPr>
                        <w:rFonts w:ascii="Arial"/>
                        <w:b/>
                        <w:color w:val="183D60"/>
                        <w:spacing w:val="-2"/>
                        <w:sz w:val="30"/>
                      </w:rPr>
                      <w:t>Reproducibility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0" w:hanging="114"/>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1038" w:hanging="114"/>
      </w:pPr>
      <w:rPr>
        <w:rFonts w:hint="default"/>
        <w:lang w:val="en-US" w:eastAsia="en-US" w:bidi="ar-SA"/>
      </w:rPr>
    </w:lvl>
    <w:lvl w:ilvl="2">
      <w:start w:val="0"/>
      <w:numFmt w:val="bullet"/>
      <w:lvlText w:val="•"/>
      <w:lvlJc w:val="left"/>
      <w:pPr>
        <w:ind w:left="2057" w:hanging="114"/>
      </w:pPr>
      <w:rPr>
        <w:rFonts w:hint="default"/>
        <w:lang w:val="en-US" w:eastAsia="en-US" w:bidi="ar-SA"/>
      </w:rPr>
    </w:lvl>
    <w:lvl w:ilvl="3">
      <w:start w:val="0"/>
      <w:numFmt w:val="bullet"/>
      <w:lvlText w:val="•"/>
      <w:lvlJc w:val="left"/>
      <w:pPr>
        <w:ind w:left="3075" w:hanging="114"/>
      </w:pPr>
      <w:rPr>
        <w:rFonts w:hint="default"/>
        <w:lang w:val="en-US" w:eastAsia="en-US" w:bidi="ar-SA"/>
      </w:rPr>
    </w:lvl>
    <w:lvl w:ilvl="4">
      <w:start w:val="0"/>
      <w:numFmt w:val="bullet"/>
      <w:lvlText w:val="•"/>
      <w:lvlJc w:val="left"/>
      <w:pPr>
        <w:ind w:left="4094" w:hanging="114"/>
      </w:pPr>
      <w:rPr>
        <w:rFonts w:hint="default"/>
        <w:lang w:val="en-US" w:eastAsia="en-US" w:bidi="ar-SA"/>
      </w:rPr>
    </w:lvl>
    <w:lvl w:ilvl="5">
      <w:start w:val="0"/>
      <w:numFmt w:val="bullet"/>
      <w:lvlText w:val="•"/>
      <w:lvlJc w:val="left"/>
      <w:pPr>
        <w:ind w:left="5112" w:hanging="114"/>
      </w:pPr>
      <w:rPr>
        <w:rFonts w:hint="default"/>
        <w:lang w:val="en-US" w:eastAsia="en-US" w:bidi="ar-SA"/>
      </w:rPr>
    </w:lvl>
    <w:lvl w:ilvl="6">
      <w:start w:val="0"/>
      <w:numFmt w:val="bullet"/>
      <w:lvlText w:val="•"/>
      <w:lvlJc w:val="left"/>
      <w:pPr>
        <w:ind w:left="6131" w:hanging="114"/>
      </w:pPr>
      <w:rPr>
        <w:rFonts w:hint="default"/>
        <w:lang w:val="en-US" w:eastAsia="en-US" w:bidi="ar-SA"/>
      </w:rPr>
    </w:lvl>
    <w:lvl w:ilvl="7">
      <w:start w:val="0"/>
      <w:numFmt w:val="bullet"/>
      <w:lvlText w:val="•"/>
      <w:lvlJc w:val="left"/>
      <w:pPr>
        <w:ind w:left="7149" w:hanging="114"/>
      </w:pPr>
      <w:rPr>
        <w:rFonts w:hint="default"/>
        <w:lang w:val="en-US" w:eastAsia="en-US" w:bidi="ar-SA"/>
      </w:rPr>
    </w:lvl>
    <w:lvl w:ilvl="8">
      <w:start w:val="0"/>
      <w:numFmt w:val="bullet"/>
      <w:lvlText w:val="•"/>
      <w:lvlJc w:val="left"/>
      <w:pPr>
        <w:ind w:left="8168" w:hanging="114"/>
      </w:pPr>
      <w:rPr>
        <w:rFonts w:hint="default"/>
        <w:lang w:val="en-US" w:eastAsia="en-US" w:bidi="ar-SA"/>
      </w:rPr>
    </w:lvl>
  </w:abstractNum>
  <w:abstractNum w:abstractNumId="1">
    <w:multiLevelType w:val="hybridMultilevel"/>
    <w:lvl w:ilvl="0">
      <w:start w:val="1"/>
      <w:numFmt w:val="decimal"/>
      <w:lvlText w:val="%1."/>
      <w:lvlJc w:val="left"/>
      <w:pPr>
        <w:ind w:left="210" w:hanging="201"/>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10" w:hanging="114"/>
      </w:pPr>
      <w:rPr>
        <w:rFonts w:hint="default" w:ascii="Arial MT" w:hAnsi="Arial MT" w:eastAsia="Arial MT" w:cs="Arial MT"/>
        <w:b w:val="0"/>
        <w:bCs w:val="0"/>
        <w:i w:val="0"/>
        <w:iCs w:val="0"/>
        <w:spacing w:val="0"/>
        <w:w w:val="100"/>
        <w:sz w:val="18"/>
        <w:szCs w:val="18"/>
        <w:lang w:val="en-US" w:eastAsia="en-US" w:bidi="ar-SA"/>
      </w:rPr>
    </w:lvl>
    <w:lvl w:ilvl="2">
      <w:start w:val="0"/>
      <w:numFmt w:val="bullet"/>
      <w:lvlText w:val="•"/>
      <w:lvlJc w:val="left"/>
      <w:pPr>
        <w:ind w:left="1329" w:hanging="114"/>
      </w:pPr>
      <w:rPr>
        <w:rFonts w:hint="default"/>
        <w:lang w:val="en-US" w:eastAsia="en-US" w:bidi="ar-SA"/>
      </w:rPr>
    </w:lvl>
    <w:lvl w:ilvl="3">
      <w:start w:val="0"/>
      <w:numFmt w:val="bullet"/>
      <w:lvlText w:val="•"/>
      <w:lvlJc w:val="left"/>
      <w:pPr>
        <w:ind w:left="2439" w:hanging="114"/>
      </w:pPr>
      <w:rPr>
        <w:rFonts w:hint="default"/>
        <w:lang w:val="en-US" w:eastAsia="en-US" w:bidi="ar-SA"/>
      </w:rPr>
    </w:lvl>
    <w:lvl w:ilvl="4">
      <w:start w:val="0"/>
      <w:numFmt w:val="bullet"/>
      <w:lvlText w:val="•"/>
      <w:lvlJc w:val="left"/>
      <w:pPr>
        <w:ind w:left="3548" w:hanging="114"/>
      </w:pPr>
      <w:rPr>
        <w:rFonts w:hint="default"/>
        <w:lang w:val="en-US" w:eastAsia="en-US" w:bidi="ar-SA"/>
      </w:rPr>
    </w:lvl>
    <w:lvl w:ilvl="5">
      <w:start w:val="0"/>
      <w:numFmt w:val="bullet"/>
      <w:lvlText w:val="•"/>
      <w:lvlJc w:val="left"/>
      <w:pPr>
        <w:ind w:left="4658" w:hanging="114"/>
      </w:pPr>
      <w:rPr>
        <w:rFonts w:hint="default"/>
        <w:lang w:val="en-US" w:eastAsia="en-US" w:bidi="ar-SA"/>
      </w:rPr>
    </w:lvl>
    <w:lvl w:ilvl="6">
      <w:start w:val="0"/>
      <w:numFmt w:val="bullet"/>
      <w:lvlText w:val="•"/>
      <w:lvlJc w:val="left"/>
      <w:pPr>
        <w:ind w:left="5767" w:hanging="114"/>
      </w:pPr>
      <w:rPr>
        <w:rFonts w:hint="default"/>
        <w:lang w:val="en-US" w:eastAsia="en-US" w:bidi="ar-SA"/>
      </w:rPr>
    </w:lvl>
    <w:lvl w:ilvl="7">
      <w:start w:val="0"/>
      <w:numFmt w:val="bullet"/>
      <w:lvlText w:val="•"/>
      <w:lvlJc w:val="left"/>
      <w:pPr>
        <w:ind w:left="6877" w:hanging="114"/>
      </w:pPr>
      <w:rPr>
        <w:rFonts w:hint="default"/>
        <w:lang w:val="en-US" w:eastAsia="en-US" w:bidi="ar-SA"/>
      </w:rPr>
    </w:lvl>
    <w:lvl w:ilvl="8">
      <w:start w:val="0"/>
      <w:numFmt w:val="bullet"/>
      <w:lvlText w:val="•"/>
      <w:lvlJc w:val="left"/>
      <w:pPr>
        <w:ind w:left="7986" w:hanging="114"/>
      </w:pPr>
      <w:rPr>
        <w:rFonts w:hint="default"/>
        <w:lang w:val="en-US" w:eastAsia="en-US" w:bidi="ar-SA"/>
      </w:rPr>
    </w:lvl>
  </w:abstractNum>
  <w:abstractNum w:abstractNumId="0">
    <w:multiLevelType w:val="hybridMultilevel"/>
    <w:lvl w:ilvl="0">
      <w:start w:val="1"/>
      <w:numFmt w:val="decimal"/>
      <w:lvlText w:val="%1."/>
      <w:lvlJc w:val="left"/>
      <w:pPr>
        <w:ind w:left="337" w:hanging="328"/>
        <w:jc w:val="left"/>
      </w:pPr>
      <w:rPr>
        <w:rFonts w:hint="default" w:ascii="Arial" w:hAnsi="Arial" w:eastAsia="Arial" w:cs="Arial"/>
        <w:b/>
        <w:bCs/>
        <w:i w:val="0"/>
        <w:iCs w:val="0"/>
        <w:color w:val="183D60"/>
        <w:spacing w:val="0"/>
        <w:w w:val="101"/>
        <w:sz w:val="29"/>
        <w:szCs w:val="29"/>
        <w:lang w:val="en-US" w:eastAsia="en-US" w:bidi="ar-SA"/>
      </w:rPr>
    </w:lvl>
    <w:lvl w:ilvl="1">
      <w:start w:val="1"/>
      <w:numFmt w:val="decimal"/>
      <w:lvlText w:val="%1.%2."/>
      <w:lvlJc w:val="left"/>
      <w:pPr>
        <w:ind w:left="411" w:hanging="402"/>
        <w:jc w:val="left"/>
      </w:pPr>
      <w:rPr>
        <w:rFonts w:hint="default" w:ascii="Arial" w:hAnsi="Arial" w:eastAsia="Arial" w:cs="Arial"/>
        <w:b/>
        <w:bCs/>
        <w:i w:val="0"/>
        <w:iCs w:val="0"/>
        <w:color w:val="183D60"/>
        <w:spacing w:val="0"/>
        <w:w w:val="103"/>
        <w:sz w:val="20"/>
        <w:szCs w:val="20"/>
        <w:lang w:val="en-US" w:eastAsia="en-US" w:bidi="ar-SA"/>
      </w:rPr>
    </w:lvl>
    <w:lvl w:ilvl="2">
      <w:start w:val="0"/>
      <w:numFmt w:val="bullet"/>
      <w:lvlText w:val="•"/>
      <w:lvlJc w:val="left"/>
      <w:pPr>
        <w:ind w:left="1507" w:hanging="402"/>
      </w:pPr>
      <w:rPr>
        <w:rFonts w:hint="default"/>
        <w:lang w:val="en-US" w:eastAsia="en-US" w:bidi="ar-SA"/>
      </w:rPr>
    </w:lvl>
    <w:lvl w:ilvl="3">
      <w:start w:val="0"/>
      <w:numFmt w:val="bullet"/>
      <w:lvlText w:val="•"/>
      <w:lvlJc w:val="left"/>
      <w:pPr>
        <w:ind w:left="2594" w:hanging="402"/>
      </w:pPr>
      <w:rPr>
        <w:rFonts w:hint="default"/>
        <w:lang w:val="en-US" w:eastAsia="en-US" w:bidi="ar-SA"/>
      </w:rPr>
    </w:lvl>
    <w:lvl w:ilvl="4">
      <w:start w:val="0"/>
      <w:numFmt w:val="bullet"/>
      <w:lvlText w:val="•"/>
      <w:lvlJc w:val="left"/>
      <w:pPr>
        <w:ind w:left="3681" w:hanging="402"/>
      </w:pPr>
      <w:rPr>
        <w:rFonts w:hint="default"/>
        <w:lang w:val="en-US" w:eastAsia="en-US" w:bidi="ar-SA"/>
      </w:rPr>
    </w:lvl>
    <w:lvl w:ilvl="5">
      <w:start w:val="0"/>
      <w:numFmt w:val="bullet"/>
      <w:lvlText w:val="•"/>
      <w:lvlJc w:val="left"/>
      <w:pPr>
        <w:ind w:left="4769" w:hanging="402"/>
      </w:pPr>
      <w:rPr>
        <w:rFonts w:hint="default"/>
        <w:lang w:val="en-US" w:eastAsia="en-US" w:bidi="ar-SA"/>
      </w:rPr>
    </w:lvl>
    <w:lvl w:ilvl="6">
      <w:start w:val="0"/>
      <w:numFmt w:val="bullet"/>
      <w:lvlText w:val="•"/>
      <w:lvlJc w:val="left"/>
      <w:pPr>
        <w:ind w:left="5856" w:hanging="402"/>
      </w:pPr>
      <w:rPr>
        <w:rFonts w:hint="default"/>
        <w:lang w:val="en-US" w:eastAsia="en-US" w:bidi="ar-SA"/>
      </w:rPr>
    </w:lvl>
    <w:lvl w:ilvl="7">
      <w:start w:val="0"/>
      <w:numFmt w:val="bullet"/>
      <w:lvlText w:val="•"/>
      <w:lvlJc w:val="left"/>
      <w:pPr>
        <w:ind w:left="6943" w:hanging="402"/>
      </w:pPr>
      <w:rPr>
        <w:rFonts w:hint="default"/>
        <w:lang w:val="en-US" w:eastAsia="en-US" w:bidi="ar-SA"/>
      </w:rPr>
    </w:lvl>
    <w:lvl w:ilvl="8">
      <w:start w:val="0"/>
      <w:numFmt w:val="bullet"/>
      <w:lvlText w:val="•"/>
      <w:lvlJc w:val="left"/>
      <w:pPr>
        <w:ind w:left="8030" w:hanging="402"/>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8"/>
      <w:szCs w:val="18"/>
      <w:lang w:val="en-US" w:eastAsia="en-US" w:bidi="ar-SA"/>
    </w:rPr>
  </w:style>
  <w:style w:styleId="Heading1" w:type="paragraph">
    <w:name w:val="Heading 1"/>
    <w:basedOn w:val="Normal"/>
    <w:uiPriority w:val="1"/>
    <w:qFormat/>
    <w:pPr>
      <w:spacing w:before="10"/>
      <w:ind w:left="20"/>
      <w:outlineLvl w:val="1"/>
    </w:pPr>
    <w:rPr>
      <w:rFonts w:ascii="Arial" w:hAnsi="Arial" w:eastAsia="Arial" w:cs="Arial"/>
      <w:b/>
      <w:bCs/>
      <w:sz w:val="30"/>
      <w:szCs w:val="30"/>
      <w:lang w:val="en-US" w:eastAsia="en-US" w:bidi="ar-SA"/>
    </w:rPr>
  </w:style>
  <w:style w:styleId="Heading2" w:type="paragraph">
    <w:name w:val="Heading 2"/>
    <w:basedOn w:val="Normal"/>
    <w:uiPriority w:val="1"/>
    <w:qFormat/>
    <w:pPr>
      <w:spacing w:before="65"/>
      <w:ind w:left="337" w:hanging="327"/>
      <w:outlineLvl w:val="2"/>
    </w:pPr>
    <w:rPr>
      <w:rFonts w:ascii="Arial" w:hAnsi="Arial" w:eastAsia="Arial" w:cs="Arial"/>
      <w:b/>
      <w:bCs/>
      <w:sz w:val="29"/>
      <w:szCs w:val="29"/>
      <w:lang w:val="en-US" w:eastAsia="en-US" w:bidi="ar-SA"/>
    </w:rPr>
  </w:style>
  <w:style w:styleId="Heading3" w:type="paragraph">
    <w:name w:val="Heading 3"/>
    <w:basedOn w:val="Normal"/>
    <w:uiPriority w:val="1"/>
    <w:qFormat/>
    <w:pPr>
      <w:spacing w:before="209"/>
      <w:ind w:left="10"/>
      <w:outlineLvl w:val="3"/>
    </w:pPr>
    <w:rPr>
      <w:rFonts w:ascii="Arial" w:hAnsi="Arial" w:eastAsia="Arial" w:cs="Arial"/>
      <w:b/>
      <w:bCs/>
      <w:sz w:val="21"/>
      <w:szCs w:val="21"/>
      <w:lang w:val="en-US" w:eastAsia="en-US" w:bidi="ar-SA"/>
    </w:rPr>
  </w:style>
  <w:style w:styleId="Heading4" w:type="paragraph">
    <w:name w:val="Heading 4"/>
    <w:basedOn w:val="Normal"/>
    <w:uiPriority w:val="1"/>
    <w:qFormat/>
    <w:pPr>
      <w:spacing w:before="107"/>
      <w:ind w:left="410" w:hanging="400"/>
      <w:outlineLvl w:val="4"/>
    </w:pPr>
    <w:rPr>
      <w:rFonts w:ascii="Arial" w:hAnsi="Arial" w:eastAsia="Arial" w:cs="Arial"/>
      <w:b/>
      <w:bCs/>
      <w:sz w:val="20"/>
      <w:szCs w:val="20"/>
      <w:lang w:val="en-US" w:eastAsia="en-US" w:bidi="ar-SA"/>
    </w:rPr>
  </w:style>
  <w:style w:styleId="Heading5" w:type="paragraph">
    <w:name w:val="Heading 5"/>
    <w:basedOn w:val="Normal"/>
    <w:uiPriority w:val="1"/>
    <w:qFormat/>
    <w:pPr>
      <w:ind w:left="10"/>
      <w:outlineLvl w:val="5"/>
    </w:pPr>
    <w:rPr>
      <w:rFonts w:ascii="Arial" w:hAnsi="Arial" w:eastAsia="Arial" w:cs="Arial"/>
      <w:b/>
      <w:bCs/>
      <w:sz w:val="19"/>
      <w:szCs w:val="19"/>
      <w:lang w:val="en-US" w:eastAsia="en-US" w:bidi="ar-SA"/>
    </w:rPr>
  </w:style>
  <w:style w:styleId="Heading6" w:type="paragraph">
    <w:name w:val="Heading 6"/>
    <w:basedOn w:val="Normal"/>
    <w:uiPriority w:val="1"/>
    <w:qFormat/>
    <w:pPr>
      <w:spacing w:before="102"/>
      <w:ind w:left="10"/>
      <w:outlineLvl w:val="6"/>
    </w:pPr>
    <w:rPr>
      <w:rFonts w:ascii="Arial" w:hAnsi="Arial" w:eastAsia="Arial" w:cs="Arial"/>
      <w:b/>
      <w:bCs/>
      <w:sz w:val="18"/>
      <w:szCs w:val="18"/>
      <w:lang w:val="en-US" w:eastAsia="en-US" w:bidi="ar-SA"/>
    </w:rPr>
  </w:style>
  <w:style w:styleId="Title" w:type="paragraph">
    <w:name w:val="Title"/>
    <w:basedOn w:val="Normal"/>
    <w:uiPriority w:val="1"/>
    <w:qFormat/>
    <w:pPr>
      <w:spacing w:before="113"/>
      <w:ind w:left="10" w:right="3702"/>
    </w:pPr>
    <w:rPr>
      <w:rFonts w:ascii="Arial" w:hAnsi="Arial" w:eastAsia="Arial" w:cs="Arial"/>
      <w:b/>
      <w:bCs/>
      <w:sz w:val="50"/>
      <w:szCs w:val="50"/>
      <w:lang w:val="en-US" w:eastAsia="en-US" w:bidi="ar-SA"/>
    </w:rPr>
  </w:style>
  <w:style w:styleId="ListParagraph" w:type="paragraph">
    <w:name w:val="List Paragraph"/>
    <w:basedOn w:val="Normal"/>
    <w:uiPriority w:val="1"/>
    <w:qFormat/>
    <w:pPr>
      <w:spacing w:before="123"/>
      <w:ind w:left="10"/>
    </w:pPr>
    <w:rPr>
      <w:rFonts w:ascii="Arial MT" w:hAnsi="Arial MT" w:eastAsia="Arial MT" w:cs="Arial MT"/>
      <w:lang w:val="en-US" w:eastAsia="en-US" w:bidi="ar-SA"/>
    </w:rPr>
  </w:style>
  <w:style w:styleId="TableParagraph" w:type="paragraph">
    <w:name w:val="Table Paragraph"/>
    <w:basedOn w:val="Normal"/>
    <w:uiPriority w:val="1"/>
    <w:qFormat/>
    <w:pPr>
      <w:spacing w:before="87"/>
      <w:ind w:left="96"/>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image3.png"/><Relationship Id="rId13" Type="http://schemas.openxmlformats.org/officeDocument/2006/relationships/image" Target="media/image4.jpeg"/><Relationship Id="rId14" Type="http://schemas.openxmlformats.org/officeDocument/2006/relationships/header" Target="header3.xml"/><Relationship Id="rId15" Type="http://schemas.openxmlformats.org/officeDocument/2006/relationships/footer" Target="footer4.xml"/><Relationship Id="rId16" Type="http://schemas.openxmlformats.org/officeDocument/2006/relationships/image" Target="media/image5.png"/><Relationship Id="rId17" Type="http://schemas.openxmlformats.org/officeDocument/2006/relationships/image" Target="media/image6.jpeg"/><Relationship Id="rId18" Type="http://schemas.openxmlformats.org/officeDocument/2006/relationships/header" Target="header4.xml"/><Relationship Id="rId19" Type="http://schemas.openxmlformats.org/officeDocument/2006/relationships/footer" Target="footer5.xml"/><Relationship Id="rId20" Type="http://schemas.openxmlformats.org/officeDocument/2006/relationships/image" Target="media/image7.jpeg"/><Relationship Id="rId21" Type="http://schemas.openxmlformats.org/officeDocument/2006/relationships/image" Target="media/image8.jpeg"/><Relationship Id="rId22" Type="http://schemas.openxmlformats.org/officeDocument/2006/relationships/header" Target="header5.xml"/><Relationship Id="rId23" Type="http://schemas.openxmlformats.org/officeDocument/2006/relationships/footer" Target="footer6.xml"/><Relationship Id="rId24" Type="http://schemas.openxmlformats.org/officeDocument/2006/relationships/header" Target="header6.xml"/><Relationship Id="rId25" Type="http://schemas.openxmlformats.org/officeDocument/2006/relationships/footer" Target="footer7.xml"/><Relationship Id="rId26" Type="http://schemas.openxmlformats.org/officeDocument/2006/relationships/header" Target="header7.xml"/><Relationship Id="rId27" Type="http://schemas.openxmlformats.org/officeDocument/2006/relationships/footer" Target="footer8.xml"/><Relationship Id="rId28" Type="http://schemas.openxmlformats.org/officeDocument/2006/relationships/header" Target="header8.xml"/><Relationship Id="rId29" Type="http://schemas.openxmlformats.org/officeDocument/2006/relationships/footer" Target="footer9.xml"/><Relationship Id="rId30" Type="http://schemas.openxmlformats.org/officeDocument/2006/relationships/header" Target="header9.xml"/><Relationship Id="rId31" Type="http://schemas.openxmlformats.org/officeDocument/2006/relationships/footer" Target="footer10.xml"/><Relationship Id="rId32" Type="http://schemas.openxmlformats.org/officeDocument/2006/relationships/header" Target="header10.xml"/><Relationship Id="rId33" Type="http://schemas.openxmlformats.org/officeDocument/2006/relationships/footer" Target="footer11.xml"/><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FIT5196 Group005</dc:creator>
  <dc:subject>unspecified</dc:subject>
  <dc:title>Group005 EDA report - submitted notebook</dc:title>
  <dcterms:created xsi:type="dcterms:W3CDTF">2026-09-09T11:56:51Z</dcterms:created>
  <dcterms:modified xsi:type="dcterms:W3CDTF">2026-09-09T11:56:51Z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2026-09-09T00:00:00Z</vt:filetime>
  </property>
  <property fmtid="{D5CDD505-2E9C-101B-9397-08002B2CF9AE}" pid="4" name="Creator">
    <vt:lpwstr>anonymous</vt:lpwstr>
  </property>
  <property fmtid="{D5CDD505-2E9C-101B-9397-08002B2CF9AE}" pid="5" name="LastSaved">
    <vt:filetime>2026-09-09T00:00:00Z</vt:filetime>
  </property>
  <property fmtid="{D5CDD505-2E9C-101B-9397-08002B2CF9AE}" pid="6" name="Producer">
    <vt:lpwstr>ReportLab PDF Library - (opensource)</vt:lpwstr>
  </property>
</Properties>
</file>