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pStyle w:val="Title"/>
        <w:spacing w:before="1440" w:after="240"/>
        <w:jc w:val="center"/>
      </w:pPr>
      <w:r>
        <w:t>SmartSupport AI</w:t>
      </w:r>
    </w:p>
    <w:p>
      <w:pPr>
        <w:spacing w:after="360"/>
        <w:jc w:val="center"/>
      </w:pPr>
      <w:r>
        <w:rPr>
          <w:rFonts w:ascii="Aptos Display" w:hAnsi="Aptos Display"/>
          <w:b/>
          <w:color w:val="007080"/>
          <w:sz w:val="38"/>
        </w:rPr>
        <w:t>Risk Assessment &amp; Mitigation Plan</w:t>
        <w:br/>
        <w:t>Stakeholder Analysis</w:t>
      </w:r>
    </w:p>
    <w:p>
      <w:pPr>
        <w:spacing w:after="560"/>
        <w:jc w:val="center"/>
      </w:pPr>
      <w:r>
        <w:rPr>
          <w:i/>
          <w:color w:val="5A6978"/>
          <w:sz w:val="22"/>
        </w:rPr>
        <w:t>Project 5: Agentic AI Customer Support Platform</w:t>
      </w:r>
    </w:p>
    <w:p/>
    <w:p>
      <w:r>
        <w:br w:type="page"/>
      </w:r>
    </w:p>
    <w:p>
      <w:pPr>
        <w:pStyle w:val="Heading1"/>
        <w:keepNext/>
        <w:pBdr>
          <w:bottom w:val="single" w:sz="8" w:space="3" w:color="00A0A8"/>
        </w:pBdr>
      </w:pPr>
      <w:r>
        <w:t>1. Project Overview</w:t>
      </w:r>
    </w:p>
    <w:p>
      <w:r>
        <w:t>SmartSupport AI is a customer-support platform that uses a Large Language Model (LLM) to answer customer questions, retrieve relevant help articles, perform selected support actions, and transfer complex cases to human agents. The proposed system includes a customer chat widget, conversation and message storage, a knowledge base, support tickets, agent and admin dashboards, analytics, and audit logs.</w:t>
      </w:r>
    </w:p>
    <w:p>
      <w:r>
        <w:t>The proposed technology stack includes ASP.NET Core MVC, Entity Framework Core, ASP.NET Identity, OpenAI API or Azure OpenAI, Semantic Kernel, SignalR, Azure Cognitive Search, Redis, Azure Blob Storage, Chart.js, Bootstrap 5, and Microsoft Azure.</w:t>
      </w:r>
    </w:p>
    <w:p>
      <w:r>
        <w:t>This document focuses on the analysis and planning side of the project. Risk ratings are initial estimates based on the project proposal and should be reviewed by the team as implementation details become clearer.</w:t>
      </w:r>
    </w:p>
    <w:p>
      <w:pPr>
        <w:pStyle w:val="Heading1"/>
        <w:keepNext/>
        <w:pBdr>
          <w:bottom w:val="single" w:sz="8" w:space="3" w:color="00A0A8"/>
        </w:pBdr>
      </w:pPr>
      <w:r>
        <w:t>2. Stakeholder Analysis</w:t>
      </w:r>
    </w:p>
    <w:p>
      <w:r>
        <w:t>Stakeholders are people or groups who use the system, operate it, fund it, maintain it, or may be affected by its behavior. Understanding their needs helps the team prioritize requirements and manage risks.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cantSplit/>
          <w:tblHeader w:val="true"/>
        </w:trPr>
        <w:tc>
          <w:tcPr>
            <w:tcW w:type="dxa" w:w="1800"/>
            <w:vAlign w:val="center"/>
            <w:shd w:fill="143153"/>
            <w:tcMar>
              <w:top w:w="80" w:type="dxa"/>
              <w:start w:w="90" w:type="dxa"/>
              <w:bottom w:w="80" w:type="dxa"/>
              <w:end w:w="90" w:type="dxa"/>
            </w:tcMar>
          </w:tcPr>
          <w:p>
            <w:pPr>
              <w:spacing w:after="30" w:before="20" w:line="240" w:lineRule="auto"/>
            </w:pPr>
            <w:r>
              <w:rPr>
                <w:rFonts w:ascii="Aptos" w:hAnsi="Aptos"/>
                <w:b/>
                <w:color w:val="FFFFFF"/>
                <w:sz w:val="15"/>
              </w:rPr>
            </w:r>
            <w:r>
              <w:rPr>
                <w:rFonts w:ascii="Aptos" w:hAnsi="Aptos"/>
                <w:b/>
                <w:color w:val="FFFFFF"/>
                <w:sz w:val="15"/>
              </w:rPr>
              <w:t>Stakeholder</w:t>
            </w:r>
          </w:p>
        </w:tc>
        <w:tc>
          <w:tcPr>
            <w:tcW w:type="dxa" w:w="2448"/>
            <w:vAlign w:val="center"/>
            <w:shd w:fill="143153"/>
            <w:tcMar>
              <w:top w:w="80" w:type="dxa"/>
              <w:start w:w="90" w:type="dxa"/>
              <w:bottom w:w="80" w:type="dxa"/>
              <w:end w:w="90" w:type="dxa"/>
            </w:tcMar>
          </w:tcPr>
          <w:p>
            <w:pPr>
              <w:spacing w:after="30" w:before="20" w:line="240" w:lineRule="auto"/>
            </w:pPr>
            <w:r>
              <w:rPr>
                <w:rFonts w:ascii="Aptos" w:hAnsi="Aptos"/>
                <w:b/>
                <w:color w:val="FFFFFF"/>
                <w:sz w:val="15"/>
              </w:rPr>
            </w:r>
            <w:r>
              <w:rPr>
                <w:rFonts w:ascii="Aptos" w:hAnsi="Aptos"/>
                <w:b/>
                <w:color w:val="FFFFFF"/>
                <w:sz w:val="15"/>
              </w:rPr>
              <w:t>Role / Interest</w:t>
            </w:r>
          </w:p>
        </w:tc>
        <w:tc>
          <w:tcPr>
            <w:tcW w:type="dxa" w:w="936"/>
            <w:vAlign w:val="center"/>
            <w:shd w:fill="143153"/>
            <w:tcMar>
              <w:top w:w="80" w:type="dxa"/>
              <w:start w:w="90" w:type="dxa"/>
              <w:bottom w:w="80" w:type="dxa"/>
              <w:end w:w="90" w:type="dxa"/>
            </w:tcMar>
          </w:tcPr>
          <w:p>
            <w:pPr>
              <w:spacing w:after="30" w:before="20" w:line="240" w:lineRule="auto"/>
            </w:pPr>
            <w:r>
              <w:rPr>
                <w:rFonts w:ascii="Aptos" w:hAnsi="Aptos"/>
                <w:b/>
                <w:color w:val="FFFFFF"/>
                <w:sz w:val="15"/>
              </w:rPr>
            </w:r>
            <w:r>
              <w:rPr>
                <w:rFonts w:ascii="Aptos" w:hAnsi="Aptos"/>
                <w:b/>
                <w:color w:val="FFFFFF"/>
                <w:sz w:val="15"/>
              </w:rPr>
              <w:t>Influence</w:t>
            </w:r>
          </w:p>
        </w:tc>
        <w:tc>
          <w:tcPr>
            <w:tcW w:type="dxa" w:w="1152"/>
            <w:vAlign w:val="center"/>
            <w:shd w:fill="143153"/>
            <w:tcMar>
              <w:top w:w="80" w:type="dxa"/>
              <w:start w:w="90" w:type="dxa"/>
              <w:bottom w:w="80" w:type="dxa"/>
              <w:end w:w="90" w:type="dxa"/>
            </w:tcMar>
          </w:tcPr>
          <w:p>
            <w:pPr>
              <w:spacing w:after="30" w:before="20" w:line="240" w:lineRule="auto"/>
            </w:pPr>
            <w:r>
              <w:rPr>
                <w:rFonts w:ascii="Aptos" w:hAnsi="Aptos"/>
                <w:b/>
                <w:color w:val="FFFFFF"/>
                <w:sz w:val="15"/>
              </w:rPr>
            </w:r>
            <w:r>
              <w:rPr>
                <w:rFonts w:ascii="Aptos" w:hAnsi="Aptos"/>
                <w:b/>
                <w:color w:val="FFFFFF"/>
                <w:sz w:val="15"/>
              </w:rPr>
              <w:t>Impact on Project</w:t>
            </w:r>
          </w:p>
        </w:tc>
        <w:tc>
          <w:tcPr>
            <w:tcW w:type="dxa" w:w="3528"/>
            <w:vAlign w:val="center"/>
            <w:shd w:fill="143153"/>
            <w:tcMar>
              <w:top w:w="80" w:type="dxa"/>
              <w:start w:w="90" w:type="dxa"/>
              <w:bottom w:w="80" w:type="dxa"/>
              <w:end w:w="90" w:type="dxa"/>
            </w:tcMar>
          </w:tcPr>
          <w:p>
            <w:pPr>
              <w:spacing w:after="30" w:before="20" w:line="240" w:lineRule="auto"/>
            </w:pPr>
            <w:r>
              <w:rPr>
                <w:rFonts w:ascii="Aptos" w:hAnsi="Aptos"/>
                <w:b/>
                <w:color w:val="FFFFFF"/>
                <w:sz w:val="15"/>
              </w:rPr>
            </w:r>
            <w:r>
              <w:rPr>
                <w:rFonts w:ascii="Aptos" w:hAnsi="Aptos"/>
                <w:b/>
                <w:color w:val="FFFFFF"/>
                <w:sz w:val="15"/>
              </w:rPr>
              <w:t>Main Needs / Expectations</w:t>
            </w:r>
          </w:p>
        </w:tc>
      </w:tr>
      <w:tr>
        <w:trPr>
          <w:cantSplit/>
        </w:trPr>
        <w:tc>
          <w:tcPr>
            <w:tcW w:type="dxa" w:w="1800"/>
            <w:vAlign w:val="center"/>
            <w:tcMar>
              <w:top w:w="80" w:type="dxa"/>
              <w:start w:w="90" w:type="dxa"/>
              <w:bottom w:w="80" w:type="dxa"/>
              <w:end w:w="90" w:type="dxa"/>
            </w:tcMar>
            <w:shd w:fill="FFFFFF"/>
          </w:tcPr>
          <w:p>
            <w:pPr>
              <w:spacing w:after="30" w:before="20" w:line="240" w:lineRule="auto"/>
            </w:pPr>
            <w:r>
              <w:rPr>
                <w:rFonts w:ascii="Aptos" w:hAnsi="Aptos"/>
                <w:color w:val="2D3748"/>
                <w:sz w:val="15"/>
              </w:rPr>
            </w:r>
            <w:r>
              <w:rPr>
                <w:rFonts w:ascii="Aptos" w:hAnsi="Aptos"/>
                <w:b w:val="0"/>
                <w:color w:val="2D3748"/>
                <w:sz w:val="15"/>
              </w:rPr>
              <w:t>Customers / End Users</w:t>
            </w:r>
          </w:p>
        </w:tc>
        <w:tc>
          <w:tcPr>
            <w:tcW w:type="dxa" w:w="2448"/>
            <w:vAlign w:val="center"/>
            <w:tcMar>
              <w:top w:w="80" w:type="dxa"/>
              <w:start w:w="90" w:type="dxa"/>
              <w:bottom w:w="80" w:type="dxa"/>
              <w:end w:w="90" w:type="dxa"/>
            </w:tcMar>
            <w:shd w:fill="FFFFFF"/>
          </w:tcPr>
          <w:p>
            <w:pPr>
              <w:spacing w:after="30" w:before="20" w:line="240" w:lineRule="auto"/>
            </w:pPr>
            <w:r>
              <w:rPr>
                <w:rFonts w:ascii="Aptos" w:hAnsi="Aptos"/>
                <w:color w:val="2D3748"/>
                <w:sz w:val="15"/>
              </w:rPr>
            </w:r>
            <w:r>
              <w:rPr>
                <w:rFonts w:ascii="Aptos" w:hAnsi="Aptos"/>
                <w:b w:val="0"/>
                <w:color w:val="2D3748"/>
                <w:sz w:val="15"/>
              </w:rPr>
              <w:t>Ask questions, get accurate answers, check order information, and receive help quickly.</w:t>
            </w:r>
          </w:p>
        </w:tc>
        <w:tc>
          <w:tcPr>
            <w:tcW w:type="dxa" w:w="936"/>
            <w:vAlign w:val="center"/>
            <w:tcMar>
              <w:top w:w="80" w:type="dxa"/>
              <w:start w:w="90" w:type="dxa"/>
              <w:bottom w:w="80" w:type="dxa"/>
              <w:end w:w="90" w:type="dxa"/>
            </w:tcMar>
            <w:shd w:fill="FCE8E6"/>
          </w:tcPr>
          <w:p>
            <w:pPr>
              <w:spacing w:after="30" w:before="20" w:line="240" w:lineRule="auto"/>
            </w:pPr>
            <w:r>
              <w:rPr>
                <w:rFonts w:ascii="Aptos" w:hAnsi="Aptos"/>
                <w:b/>
                <w:color w:val="A62A2A"/>
                <w:sz w:val="15"/>
              </w:rPr>
            </w:r>
            <w:r>
              <w:rPr>
                <w:rFonts w:ascii="Aptos" w:hAnsi="Aptos"/>
                <w:b/>
                <w:color w:val="A62A2A"/>
                <w:sz w:val="15"/>
              </w:rPr>
              <w:t>High</w:t>
            </w:r>
          </w:p>
        </w:tc>
        <w:tc>
          <w:tcPr>
            <w:tcW w:type="dxa" w:w="1152"/>
            <w:vAlign w:val="center"/>
            <w:tcMar>
              <w:top w:w="80" w:type="dxa"/>
              <w:start w:w="90" w:type="dxa"/>
              <w:bottom w:w="80" w:type="dxa"/>
              <w:end w:w="90" w:type="dxa"/>
            </w:tcMar>
            <w:shd w:fill="FCE8E6"/>
          </w:tcPr>
          <w:p>
            <w:pPr>
              <w:spacing w:after="30" w:before="20" w:line="240" w:lineRule="auto"/>
            </w:pPr>
            <w:r>
              <w:rPr>
                <w:rFonts w:ascii="Aptos" w:hAnsi="Aptos"/>
                <w:b/>
                <w:color w:val="A62A2A"/>
                <w:sz w:val="15"/>
              </w:rPr>
            </w:r>
            <w:r>
              <w:rPr>
                <w:rFonts w:ascii="Aptos" w:hAnsi="Aptos"/>
                <w:b/>
                <w:color w:val="A62A2A"/>
                <w:sz w:val="15"/>
              </w:rPr>
              <w:t>High</w:t>
            </w:r>
          </w:p>
        </w:tc>
        <w:tc>
          <w:tcPr>
            <w:tcW w:type="dxa" w:w="3528"/>
            <w:vAlign w:val="center"/>
            <w:tcMar>
              <w:top w:w="80" w:type="dxa"/>
              <w:start w:w="90" w:type="dxa"/>
              <w:bottom w:w="80" w:type="dxa"/>
              <w:end w:w="90" w:type="dxa"/>
            </w:tcMar>
            <w:shd w:fill="FFFFFF"/>
          </w:tcPr>
          <w:p>
            <w:pPr>
              <w:spacing w:after="30" w:before="20" w:line="240" w:lineRule="auto"/>
            </w:pPr>
            <w:r>
              <w:rPr>
                <w:rFonts w:ascii="Aptos" w:hAnsi="Aptos"/>
                <w:color w:val="2D3748"/>
                <w:sz w:val="15"/>
              </w:rPr>
            </w:r>
            <w:r>
              <w:rPr>
                <w:rFonts w:ascii="Aptos" w:hAnsi="Aptos"/>
                <w:b w:val="0"/>
                <w:color w:val="2D3748"/>
                <w:sz w:val="15"/>
              </w:rPr>
              <w:t>Simple chat experience; accurate, understandable answers; privacy; clear handoff to a human.</w:t>
            </w:r>
          </w:p>
        </w:tc>
      </w:tr>
      <w:tr>
        <w:trPr>
          <w:cantSplit/>
        </w:trPr>
        <w:tc>
          <w:tcPr>
            <w:tcW w:type="dxa" w:w="1800"/>
            <w:vAlign w:val="center"/>
            <w:tcMar>
              <w:top w:w="80" w:type="dxa"/>
              <w:start w:w="90" w:type="dxa"/>
              <w:bottom w:w="80" w:type="dxa"/>
              <w:end w:w="90" w:type="dxa"/>
            </w:tcMar>
            <w:shd w:fill="F1F6F8"/>
          </w:tcPr>
          <w:p>
            <w:pPr>
              <w:spacing w:after="30" w:before="20" w:line="240" w:lineRule="auto"/>
            </w:pPr>
            <w:r>
              <w:rPr>
                <w:rFonts w:ascii="Aptos" w:hAnsi="Aptos"/>
                <w:color w:val="2D3748"/>
                <w:sz w:val="15"/>
              </w:rPr>
            </w:r>
            <w:r>
              <w:rPr>
                <w:rFonts w:ascii="Aptos" w:hAnsi="Aptos"/>
                <w:b w:val="0"/>
                <w:color w:val="2D3748"/>
                <w:sz w:val="15"/>
              </w:rPr>
              <w:t>Human Support Agents</w:t>
            </w:r>
          </w:p>
        </w:tc>
        <w:tc>
          <w:tcPr>
            <w:tcW w:type="dxa" w:w="2448"/>
            <w:vAlign w:val="center"/>
            <w:tcMar>
              <w:top w:w="80" w:type="dxa"/>
              <w:start w:w="90" w:type="dxa"/>
              <w:bottom w:w="80" w:type="dxa"/>
              <w:end w:w="90" w:type="dxa"/>
            </w:tcMar>
            <w:shd w:fill="F1F6F8"/>
          </w:tcPr>
          <w:p>
            <w:pPr>
              <w:spacing w:after="30" w:before="20" w:line="240" w:lineRule="auto"/>
            </w:pPr>
            <w:r>
              <w:rPr>
                <w:rFonts w:ascii="Aptos" w:hAnsi="Aptos"/>
                <w:color w:val="2D3748"/>
                <w:sz w:val="15"/>
              </w:rPr>
            </w:r>
            <w:r>
              <w:rPr>
                <w:rFonts w:ascii="Aptos" w:hAnsi="Aptos"/>
                <w:b w:val="0"/>
                <w:color w:val="2D3748"/>
                <w:sz w:val="15"/>
              </w:rPr>
              <w:t>Handle escalated conversations, manage tickets, review AI summaries, and help customers.</w:t>
            </w:r>
          </w:p>
        </w:tc>
        <w:tc>
          <w:tcPr>
            <w:tcW w:type="dxa" w:w="936"/>
            <w:vAlign w:val="center"/>
            <w:tcMar>
              <w:top w:w="80" w:type="dxa"/>
              <w:start w:w="90" w:type="dxa"/>
              <w:bottom w:w="80" w:type="dxa"/>
              <w:end w:w="90" w:type="dxa"/>
            </w:tcMar>
            <w:shd w:fill="FCE8E6"/>
          </w:tcPr>
          <w:p>
            <w:pPr>
              <w:spacing w:after="30" w:before="20" w:line="240" w:lineRule="auto"/>
            </w:pPr>
            <w:r>
              <w:rPr>
                <w:rFonts w:ascii="Aptos" w:hAnsi="Aptos"/>
                <w:b/>
                <w:color w:val="A62A2A"/>
                <w:sz w:val="15"/>
              </w:rPr>
            </w:r>
            <w:r>
              <w:rPr>
                <w:rFonts w:ascii="Aptos" w:hAnsi="Aptos"/>
                <w:b/>
                <w:color w:val="A62A2A"/>
                <w:sz w:val="15"/>
              </w:rPr>
              <w:t>High</w:t>
            </w:r>
          </w:p>
        </w:tc>
        <w:tc>
          <w:tcPr>
            <w:tcW w:type="dxa" w:w="1152"/>
            <w:vAlign w:val="center"/>
            <w:tcMar>
              <w:top w:w="80" w:type="dxa"/>
              <w:start w:w="90" w:type="dxa"/>
              <w:bottom w:w="80" w:type="dxa"/>
              <w:end w:w="90" w:type="dxa"/>
            </w:tcMar>
            <w:shd w:fill="FCE8E6"/>
          </w:tcPr>
          <w:p>
            <w:pPr>
              <w:spacing w:after="30" w:before="20" w:line="240" w:lineRule="auto"/>
            </w:pPr>
            <w:r>
              <w:rPr>
                <w:rFonts w:ascii="Aptos" w:hAnsi="Aptos"/>
                <w:b/>
                <w:color w:val="A62A2A"/>
                <w:sz w:val="15"/>
              </w:rPr>
            </w:r>
            <w:r>
              <w:rPr>
                <w:rFonts w:ascii="Aptos" w:hAnsi="Aptos"/>
                <w:b/>
                <w:color w:val="A62A2A"/>
                <w:sz w:val="15"/>
              </w:rPr>
              <w:t>High</w:t>
            </w:r>
          </w:p>
        </w:tc>
        <w:tc>
          <w:tcPr>
            <w:tcW w:type="dxa" w:w="3528"/>
            <w:vAlign w:val="center"/>
            <w:tcMar>
              <w:top w:w="80" w:type="dxa"/>
              <w:start w:w="90" w:type="dxa"/>
              <w:bottom w:w="80" w:type="dxa"/>
              <w:end w:w="90" w:type="dxa"/>
            </w:tcMar>
            <w:shd w:fill="F1F6F8"/>
          </w:tcPr>
          <w:p>
            <w:pPr>
              <w:spacing w:after="30" w:before="20" w:line="240" w:lineRule="auto"/>
            </w:pPr>
            <w:r>
              <w:rPr>
                <w:rFonts w:ascii="Aptos" w:hAnsi="Aptos"/>
                <w:color w:val="2D3748"/>
                <w:sz w:val="15"/>
              </w:rPr>
            </w:r>
            <w:r>
              <w:rPr>
                <w:rFonts w:ascii="Aptos" w:hAnsi="Aptos"/>
                <w:b w:val="0"/>
                <w:color w:val="2D3748"/>
                <w:sz w:val="15"/>
              </w:rPr>
              <w:t>Useful summaries, clear ticket priorities, access to conversation history, ability to correct AI suggestions.</w:t>
            </w:r>
          </w:p>
        </w:tc>
      </w:tr>
      <w:tr>
        <w:trPr>
          <w:cantSplit/>
        </w:trPr>
        <w:tc>
          <w:tcPr>
            <w:tcW w:type="dxa" w:w="1800"/>
            <w:vAlign w:val="center"/>
            <w:tcMar>
              <w:top w:w="80" w:type="dxa"/>
              <w:start w:w="90" w:type="dxa"/>
              <w:bottom w:w="80" w:type="dxa"/>
              <w:end w:w="90" w:type="dxa"/>
            </w:tcMar>
            <w:shd w:fill="FFFFFF"/>
          </w:tcPr>
          <w:p>
            <w:pPr>
              <w:spacing w:after="30" w:before="20" w:line="240" w:lineRule="auto"/>
            </w:pPr>
            <w:r>
              <w:rPr>
                <w:rFonts w:ascii="Aptos" w:hAnsi="Aptos"/>
                <w:color w:val="2D3748"/>
                <w:sz w:val="15"/>
              </w:rPr>
            </w:r>
            <w:r>
              <w:rPr>
                <w:rFonts w:ascii="Aptos" w:hAnsi="Aptos"/>
                <w:b w:val="0"/>
                <w:color w:val="2D3748"/>
                <w:sz w:val="15"/>
              </w:rPr>
              <w:t>Support Team Lead / Manager</w:t>
            </w:r>
          </w:p>
        </w:tc>
        <w:tc>
          <w:tcPr>
            <w:tcW w:type="dxa" w:w="2448"/>
            <w:vAlign w:val="center"/>
            <w:tcMar>
              <w:top w:w="80" w:type="dxa"/>
              <w:start w:w="90" w:type="dxa"/>
              <w:bottom w:w="80" w:type="dxa"/>
              <w:end w:w="90" w:type="dxa"/>
            </w:tcMar>
            <w:shd w:fill="FFFFFF"/>
          </w:tcPr>
          <w:p>
            <w:pPr>
              <w:spacing w:after="30" w:before="20" w:line="240" w:lineRule="auto"/>
            </w:pPr>
            <w:r>
              <w:rPr>
                <w:rFonts w:ascii="Aptos" w:hAnsi="Aptos"/>
                <w:color w:val="2D3748"/>
                <w:sz w:val="15"/>
              </w:rPr>
            </w:r>
            <w:r>
              <w:rPr>
                <w:rFonts w:ascii="Aptos" w:hAnsi="Aptos"/>
                <w:b w:val="0"/>
                <w:color w:val="2D3748"/>
                <w:sz w:val="15"/>
              </w:rPr>
              <w:t>Monitor service quality, workload, escalation rates, and customer satisfaction.</w:t>
            </w:r>
          </w:p>
        </w:tc>
        <w:tc>
          <w:tcPr>
            <w:tcW w:type="dxa" w:w="936"/>
            <w:vAlign w:val="center"/>
            <w:tcMar>
              <w:top w:w="80" w:type="dxa"/>
              <w:start w:w="90" w:type="dxa"/>
              <w:bottom w:w="80" w:type="dxa"/>
              <w:end w:w="90" w:type="dxa"/>
            </w:tcMar>
            <w:shd w:fill="FCE8E6"/>
          </w:tcPr>
          <w:p>
            <w:pPr>
              <w:spacing w:after="30" w:before="20" w:line="240" w:lineRule="auto"/>
            </w:pPr>
            <w:r>
              <w:rPr>
                <w:rFonts w:ascii="Aptos" w:hAnsi="Aptos"/>
                <w:b/>
                <w:color w:val="A62A2A"/>
                <w:sz w:val="15"/>
              </w:rPr>
            </w:r>
            <w:r>
              <w:rPr>
                <w:rFonts w:ascii="Aptos" w:hAnsi="Aptos"/>
                <w:b/>
                <w:color w:val="A62A2A"/>
                <w:sz w:val="15"/>
              </w:rPr>
              <w:t>High</w:t>
            </w:r>
          </w:p>
        </w:tc>
        <w:tc>
          <w:tcPr>
            <w:tcW w:type="dxa" w:w="1152"/>
            <w:vAlign w:val="center"/>
            <w:tcMar>
              <w:top w:w="80" w:type="dxa"/>
              <w:start w:w="90" w:type="dxa"/>
              <w:bottom w:w="80" w:type="dxa"/>
              <w:end w:w="90" w:type="dxa"/>
            </w:tcMar>
            <w:shd w:fill="FFFFFF"/>
          </w:tcPr>
          <w:p>
            <w:pPr>
              <w:spacing w:after="30" w:before="20" w:line="240" w:lineRule="auto"/>
            </w:pPr>
            <w:r>
              <w:rPr>
                <w:rFonts w:ascii="Aptos" w:hAnsi="Aptos"/>
                <w:color w:val="2D3748"/>
                <w:sz w:val="15"/>
              </w:rPr>
            </w:r>
            <w:r>
              <w:rPr>
                <w:rFonts w:ascii="Aptos" w:hAnsi="Aptos"/>
                <w:b w:val="0"/>
                <w:color w:val="2D3748"/>
                <w:sz w:val="15"/>
              </w:rPr>
              <w:t>Medium–High</w:t>
            </w:r>
          </w:p>
        </w:tc>
        <w:tc>
          <w:tcPr>
            <w:tcW w:type="dxa" w:w="3528"/>
            <w:vAlign w:val="center"/>
            <w:tcMar>
              <w:top w:w="80" w:type="dxa"/>
              <w:start w:w="90" w:type="dxa"/>
              <w:bottom w:w="80" w:type="dxa"/>
              <w:end w:w="90" w:type="dxa"/>
            </w:tcMar>
            <w:shd w:fill="FFFFFF"/>
          </w:tcPr>
          <w:p>
            <w:pPr>
              <w:spacing w:after="30" w:before="20" w:line="240" w:lineRule="auto"/>
            </w:pPr>
            <w:r>
              <w:rPr>
                <w:rFonts w:ascii="Aptos" w:hAnsi="Aptos"/>
                <w:color w:val="2D3748"/>
                <w:sz w:val="15"/>
              </w:rPr>
            </w:r>
            <w:r>
              <w:rPr>
                <w:rFonts w:ascii="Aptos" w:hAnsi="Aptos"/>
                <w:b w:val="0"/>
                <w:color w:val="2D3748"/>
                <w:sz w:val="15"/>
              </w:rPr>
              <w:t>Reliable analytics, queue visibility, performance indicators, and consistent workflows.</w:t>
            </w:r>
          </w:p>
        </w:tc>
      </w:tr>
      <w:tr>
        <w:trPr>
          <w:cantSplit/>
        </w:trPr>
        <w:tc>
          <w:tcPr>
            <w:tcW w:type="dxa" w:w="1800"/>
            <w:vAlign w:val="center"/>
            <w:tcMar>
              <w:top w:w="80" w:type="dxa"/>
              <w:start w:w="90" w:type="dxa"/>
              <w:bottom w:w="80" w:type="dxa"/>
              <w:end w:w="90" w:type="dxa"/>
            </w:tcMar>
            <w:shd w:fill="F1F6F8"/>
          </w:tcPr>
          <w:p>
            <w:pPr>
              <w:spacing w:after="30" w:before="20" w:line="240" w:lineRule="auto"/>
            </w:pPr>
            <w:r>
              <w:rPr>
                <w:rFonts w:ascii="Aptos" w:hAnsi="Aptos"/>
                <w:color w:val="2D3748"/>
                <w:sz w:val="15"/>
              </w:rPr>
            </w:r>
            <w:r>
              <w:rPr>
                <w:rFonts w:ascii="Aptos" w:hAnsi="Aptos"/>
                <w:b w:val="0"/>
                <w:color w:val="2D3748"/>
                <w:sz w:val="15"/>
              </w:rPr>
              <w:t>System Administrator</w:t>
            </w:r>
          </w:p>
        </w:tc>
        <w:tc>
          <w:tcPr>
            <w:tcW w:type="dxa" w:w="2448"/>
            <w:vAlign w:val="center"/>
            <w:tcMar>
              <w:top w:w="80" w:type="dxa"/>
              <w:start w:w="90" w:type="dxa"/>
              <w:bottom w:w="80" w:type="dxa"/>
              <w:end w:w="90" w:type="dxa"/>
            </w:tcMar>
            <w:shd w:fill="F1F6F8"/>
          </w:tcPr>
          <w:p>
            <w:pPr>
              <w:spacing w:after="30" w:before="20" w:line="240" w:lineRule="auto"/>
            </w:pPr>
            <w:r>
              <w:rPr>
                <w:rFonts w:ascii="Aptos" w:hAnsi="Aptos"/>
                <w:color w:val="2D3748"/>
                <w:sz w:val="15"/>
              </w:rPr>
            </w:r>
            <w:r>
              <w:rPr>
                <w:rFonts w:ascii="Aptos" w:hAnsi="Aptos"/>
                <w:b w:val="0"/>
                <w:color w:val="2D3748"/>
                <w:sz w:val="15"/>
              </w:rPr>
              <w:t>Configure users, roles, prompts, knowledge articles, integrations, and system settings.</w:t>
            </w:r>
          </w:p>
        </w:tc>
        <w:tc>
          <w:tcPr>
            <w:tcW w:type="dxa" w:w="936"/>
            <w:vAlign w:val="center"/>
            <w:tcMar>
              <w:top w:w="80" w:type="dxa"/>
              <w:start w:w="90" w:type="dxa"/>
              <w:bottom w:w="80" w:type="dxa"/>
              <w:end w:w="90" w:type="dxa"/>
            </w:tcMar>
            <w:shd w:fill="FCE8E6"/>
          </w:tcPr>
          <w:p>
            <w:pPr>
              <w:spacing w:after="30" w:before="20" w:line="240" w:lineRule="auto"/>
            </w:pPr>
            <w:r>
              <w:rPr>
                <w:rFonts w:ascii="Aptos" w:hAnsi="Aptos"/>
                <w:b/>
                <w:color w:val="A62A2A"/>
                <w:sz w:val="15"/>
              </w:rPr>
            </w:r>
            <w:r>
              <w:rPr>
                <w:rFonts w:ascii="Aptos" w:hAnsi="Aptos"/>
                <w:b/>
                <w:color w:val="A62A2A"/>
                <w:sz w:val="15"/>
              </w:rPr>
              <w:t>High</w:t>
            </w:r>
          </w:p>
        </w:tc>
        <w:tc>
          <w:tcPr>
            <w:tcW w:type="dxa" w:w="1152"/>
            <w:vAlign w:val="center"/>
            <w:tcMar>
              <w:top w:w="80" w:type="dxa"/>
              <w:start w:w="90" w:type="dxa"/>
              <w:bottom w:w="80" w:type="dxa"/>
              <w:end w:w="90" w:type="dxa"/>
            </w:tcMar>
            <w:shd w:fill="FFF3D6"/>
          </w:tcPr>
          <w:p>
            <w:pPr>
              <w:spacing w:after="30" w:before="20" w:line="240" w:lineRule="auto"/>
            </w:pPr>
            <w:r>
              <w:rPr>
                <w:rFonts w:ascii="Aptos" w:hAnsi="Aptos"/>
                <w:b/>
                <w:color w:val="855700"/>
                <w:sz w:val="15"/>
              </w:rPr>
            </w:r>
            <w:r>
              <w:rPr>
                <w:rFonts w:ascii="Aptos" w:hAnsi="Aptos"/>
                <w:b/>
                <w:color w:val="855700"/>
                <w:sz w:val="15"/>
              </w:rPr>
              <w:t>Medium</w:t>
            </w:r>
          </w:p>
        </w:tc>
        <w:tc>
          <w:tcPr>
            <w:tcW w:type="dxa" w:w="3528"/>
            <w:vAlign w:val="center"/>
            <w:tcMar>
              <w:top w:w="80" w:type="dxa"/>
              <w:start w:w="90" w:type="dxa"/>
              <w:bottom w:w="80" w:type="dxa"/>
              <w:end w:w="90" w:type="dxa"/>
            </w:tcMar>
            <w:shd w:fill="F1F6F8"/>
          </w:tcPr>
          <w:p>
            <w:pPr>
              <w:spacing w:after="30" w:before="20" w:line="240" w:lineRule="auto"/>
            </w:pPr>
            <w:r>
              <w:rPr>
                <w:rFonts w:ascii="Aptos" w:hAnsi="Aptos"/>
                <w:color w:val="2D3748"/>
                <w:sz w:val="15"/>
              </w:rPr>
            </w:r>
            <w:r>
              <w:rPr>
                <w:rFonts w:ascii="Aptos" w:hAnsi="Aptos"/>
                <w:b w:val="0"/>
                <w:color w:val="2D3748"/>
                <w:sz w:val="15"/>
              </w:rPr>
              <w:t>Secure admin access, manageable configuration, logs, and operational controls.</w:t>
            </w:r>
          </w:p>
        </w:tc>
      </w:tr>
      <w:tr>
        <w:trPr>
          <w:cantSplit/>
        </w:trPr>
        <w:tc>
          <w:tcPr>
            <w:tcW w:type="dxa" w:w="1800"/>
            <w:vAlign w:val="center"/>
            <w:tcMar>
              <w:top w:w="80" w:type="dxa"/>
              <w:start w:w="90" w:type="dxa"/>
              <w:bottom w:w="80" w:type="dxa"/>
              <w:end w:w="90" w:type="dxa"/>
            </w:tcMar>
            <w:shd w:fill="FFFFFF"/>
          </w:tcPr>
          <w:p>
            <w:pPr>
              <w:spacing w:after="30" w:before="20" w:line="240" w:lineRule="auto"/>
            </w:pPr>
            <w:r>
              <w:rPr>
                <w:rFonts w:ascii="Aptos" w:hAnsi="Aptos"/>
                <w:color w:val="2D3748"/>
                <w:sz w:val="15"/>
              </w:rPr>
            </w:r>
            <w:r>
              <w:rPr>
                <w:rFonts w:ascii="Aptos" w:hAnsi="Aptos"/>
                <w:b w:val="0"/>
                <w:color w:val="2D3748"/>
                <w:sz w:val="15"/>
              </w:rPr>
              <w:t>Project Team / Developers</w:t>
            </w:r>
          </w:p>
        </w:tc>
        <w:tc>
          <w:tcPr>
            <w:tcW w:type="dxa" w:w="2448"/>
            <w:vAlign w:val="center"/>
            <w:tcMar>
              <w:top w:w="80" w:type="dxa"/>
              <w:start w:w="90" w:type="dxa"/>
              <w:bottom w:w="80" w:type="dxa"/>
              <w:end w:w="90" w:type="dxa"/>
            </w:tcMar>
            <w:shd w:fill="FFFFFF"/>
          </w:tcPr>
          <w:p>
            <w:pPr>
              <w:spacing w:after="30" w:before="20" w:line="240" w:lineRule="auto"/>
            </w:pPr>
            <w:r>
              <w:rPr>
                <w:rFonts w:ascii="Aptos" w:hAnsi="Aptos"/>
                <w:color w:val="2D3748"/>
                <w:sz w:val="15"/>
              </w:rPr>
            </w:r>
            <w:r>
              <w:rPr>
                <w:rFonts w:ascii="Aptos" w:hAnsi="Aptos"/>
                <w:b w:val="0"/>
                <w:color w:val="2D3748"/>
                <w:sz w:val="15"/>
              </w:rPr>
              <w:t>Design, implement, test, document, and deploy the application.</w:t>
            </w:r>
          </w:p>
        </w:tc>
        <w:tc>
          <w:tcPr>
            <w:tcW w:type="dxa" w:w="936"/>
            <w:vAlign w:val="center"/>
            <w:tcMar>
              <w:top w:w="80" w:type="dxa"/>
              <w:start w:w="90" w:type="dxa"/>
              <w:bottom w:w="80" w:type="dxa"/>
              <w:end w:w="90" w:type="dxa"/>
            </w:tcMar>
            <w:shd w:fill="FCE8E6"/>
          </w:tcPr>
          <w:p>
            <w:pPr>
              <w:spacing w:after="30" w:before="20" w:line="240" w:lineRule="auto"/>
            </w:pPr>
            <w:r>
              <w:rPr>
                <w:rFonts w:ascii="Aptos" w:hAnsi="Aptos"/>
                <w:b/>
                <w:color w:val="A62A2A"/>
                <w:sz w:val="15"/>
              </w:rPr>
            </w:r>
            <w:r>
              <w:rPr>
                <w:rFonts w:ascii="Aptos" w:hAnsi="Aptos"/>
                <w:b/>
                <w:color w:val="A62A2A"/>
                <w:sz w:val="15"/>
              </w:rPr>
              <w:t>High</w:t>
            </w:r>
          </w:p>
        </w:tc>
        <w:tc>
          <w:tcPr>
            <w:tcW w:type="dxa" w:w="1152"/>
            <w:vAlign w:val="center"/>
            <w:tcMar>
              <w:top w:w="80" w:type="dxa"/>
              <w:start w:w="90" w:type="dxa"/>
              <w:bottom w:w="80" w:type="dxa"/>
              <w:end w:w="90" w:type="dxa"/>
            </w:tcMar>
            <w:shd w:fill="FCE8E6"/>
          </w:tcPr>
          <w:p>
            <w:pPr>
              <w:spacing w:after="30" w:before="20" w:line="240" w:lineRule="auto"/>
            </w:pPr>
            <w:r>
              <w:rPr>
                <w:rFonts w:ascii="Aptos" w:hAnsi="Aptos"/>
                <w:b/>
                <w:color w:val="A62A2A"/>
                <w:sz w:val="15"/>
              </w:rPr>
            </w:r>
            <w:r>
              <w:rPr>
                <w:rFonts w:ascii="Aptos" w:hAnsi="Aptos"/>
                <w:b/>
                <w:color w:val="A62A2A"/>
                <w:sz w:val="15"/>
              </w:rPr>
              <w:t>High</w:t>
            </w:r>
          </w:p>
        </w:tc>
        <w:tc>
          <w:tcPr>
            <w:tcW w:type="dxa" w:w="3528"/>
            <w:vAlign w:val="center"/>
            <w:tcMar>
              <w:top w:w="80" w:type="dxa"/>
              <w:start w:w="90" w:type="dxa"/>
              <w:bottom w:w="80" w:type="dxa"/>
              <w:end w:w="90" w:type="dxa"/>
            </w:tcMar>
            <w:shd w:fill="FFFFFF"/>
          </w:tcPr>
          <w:p>
            <w:pPr>
              <w:spacing w:after="30" w:before="20" w:line="240" w:lineRule="auto"/>
            </w:pPr>
            <w:r>
              <w:rPr>
                <w:rFonts w:ascii="Aptos" w:hAnsi="Aptos"/>
                <w:color w:val="2D3748"/>
                <w:sz w:val="15"/>
              </w:rPr>
            </w:r>
            <w:r>
              <w:rPr>
                <w:rFonts w:ascii="Aptos" w:hAnsi="Aptos"/>
                <w:b w:val="0"/>
                <w:color w:val="2D3748"/>
                <w:sz w:val="15"/>
              </w:rPr>
              <w:t>Clear scope, stable architecture, test data, API documentation, and realistic milestones.</w:t>
            </w:r>
          </w:p>
        </w:tc>
      </w:tr>
      <w:tr>
        <w:trPr>
          <w:cantSplit/>
        </w:trPr>
        <w:tc>
          <w:tcPr>
            <w:tcW w:type="dxa" w:w="1800"/>
            <w:vAlign w:val="center"/>
            <w:tcMar>
              <w:top w:w="80" w:type="dxa"/>
              <w:start w:w="90" w:type="dxa"/>
              <w:bottom w:w="80" w:type="dxa"/>
              <w:end w:w="90" w:type="dxa"/>
            </w:tcMar>
            <w:shd w:fill="F1F6F8"/>
          </w:tcPr>
          <w:p>
            <w:pPr>
              <w:spacing w:after="30" w:before="20" w:line="240" w:lineRule="auto"/>
            </w:pPr>
            <w:r>
              <w:rPr>
                <w:rFonts w:ascii="Aptos" w:hAnsi="Aptos"/>
                <w:color w:val="2D3748"/>
                <w:sz w:val="15"/>
              </w:rPr>
            </w:r>
            <w:r>
              <w:rPr>
                <w:rFonts w:ascii="Aptos" w:hAnsi="Aptos"/>
                <w:b w:val="0"/>
                <w:color w:val="2D3748"/>
                <w:sz w:val="15"/>
              </w:rPr>
              <w:t>Business / Product Owner</w:t>
            </w:r>
          </w:p>
        </w:tc>
        <w:tc>
          <w:tcPr>
            <w:tcW w:type="dxa" w:w="2448"/>
            <w:vAlign w:val="center"/>
            <w:tcMar>
              <w:top w:w="80" w:type="dxa"/>
              <w:start w:w="90" w:type="dxa"/>
              <w:bottom w:w="80" w:type="dxa"/>
              <w:end w:w="90" w:type="dxa"/>
            </w:tcMar>
            <w:shd w:fill="F1F6F8"/>
          </w:tcPr>
          <w:p>
            <w:pPr>
              <w:spacing w:after="30" w:before="20" w:line="240" w:lineRule="auto"/>
            </w:pPr>
            <w:r>
              <w:rPr>
                <w:rFonts w:ascii="Aptos" w:hAnsi="Aptos"/>
                <w:color w:val="2D3748"/>
                <w:sz w:val="15"/>
              </w:rPr>
            </w:r>
            <w:r>
              <w:rPr>
                <w:rFonts w:ascii="Aptos" w:hAnsi="Aptos"/>
                <w:b w:val="0"/>
                <w:color w:val="2D3748"/>
                <w:sz w:val="15"/>
              </w:rPr>
              <w:t>Defines support goals, approves scope, and evaluates whether the system meets business needs.</w:t>
            </w:r>
          </w:p>
        </w:tc>
        <w:tc>
          <w:tcPr>
            <w:tcW w:type="dxa" w:w="936"/>
            <w:vAlign w:val="center"/>
            <w:tcMar>
              <w:top w:w="80" w:type="dxa"/>
              <w:start w:w="90" w:type="dxa"/>
              <w:bottom w:w="80" w:type="dxa"/>
              <w:end w:w="90" w:type="dxa"/>
            </w:tcMar>
            <w:shd w:fill="FCE8E6"/>
          </w:tcPr>
          <w:p>
            <w:pPr>
              <w:spacing w:after="30" w:before="20" w:line="240" w:lineRule="auto"/>
            </w:pPr>
            <w:r>
              <w:rPr>
                <w:rFonts w:ascii="Aptos" w:hAnsi="Aptos"/>
                <w:b/>
                <w:color w:val="A62A2A"/>
                <w:sz w:val="15"/>
              </w:rPr>
            </w:r>
            <w:r>
              <w:rPr>
                <w:rFonts w:ascii="Aptos" w:hAnsi="Aptos"/>
                <w:b/>
                <w:color w:val="A62A2A"/>
                <w:sz w:val="15"/>
              </w:rPr>
              <w:t>High</w:t>
            </w:r>
          </w:p>
        </w:tc>
        <w:tc>
          <w:tcPr>
            <w:tcW w:type="dxa" w:w="1152"/>
            <w:vAlign w:val="center"/>
            <w:tcMar>
              <w:top w:w="80" w:type="dxa"/>
              <w:start w:w="90" w:type="dxa"/>
              <w:bottom w:w="80" w:type="dxa"/>
              <w:end w:w="90" w:type="dxa"/>
            </w:tcMar>
            <w:shd w:fill="F1F6F8"/>
          </w:tcPr>
          <w:p>
            <w:pPr>
              <w:spacing w:after="30" w:before="20" w:line="240" w:lineRule="auto"/>
            </w:pPr>
            <w:r>
              <w:rPr>
                <w:rFonts w:ascii="Aptos" w:hAnsi="Aptos"/>
                <w:color w:val="2D3748"/>
                <w:sz w:val="15"/>
              </w:rPr>
            </w:r>
            <w:r>
              <w:rPr>
                <w:rFonts w:ascii="Aptos" w:hAnsi="Aptos"/>
                <w:b w:val="0"/>
                <w:color w:val="2D3748"/>
                <w:sz w:val="15"/>
              </w:rPr>
              <w:t>Medium–High</w:t>
            </w:r>
          </w:p>
        </w:tc>
        <w:tc>
          <w:tcPr>
            <w:tcW w:type="dxa" w:w="3528"/>
            <w:vAlign w:val="center"/>
            <w:tcMar>
              <w:top w:w="80" w:type="dxa"/>
              <w:start w:w="90" w:type="dxa"/>
              <w:bottom w:w="80" w:type="dxa"/>
              <w:end w:w="90" w:type="dxa"/>
            </w:tcMar>
            <w:shd w:fill="F1F6F8"/>
          </w:tcPr>
          <w:p>
            <w:pPr>
              <w:spacing w:after="30" w:before="20" w:line="240" w:lineRule="auto"/>
            </w:pPr>
            <w:r>
              <w:rPr>
                <w:rFonts w:ascii="Aptos" w:hAnsi="Aptos"/>
                <w:color w:val="2D3748"/>
                <w:sz w:val="15"/>
              </w:rPr>
            </w:r>
            <w:r>
              <w:rPr>
                <w:rFonts w:ascii="Aptos" w:hAnsi="Aptos"/>
                <w:b w:val="0"/>
                <w:color w:val="2D3748"/>
                <w:sz w:val="15"/>
              </w:rPr>
              <w:t>Reduced response time, acceptable operating cost, measurable service quality, and controlled risk.</w:t>
            </w:r>
          </w:p>
        </w:tc>
      </w:tr>
      <w:tr>
        <w:trPr>
          <w:cantSplit/>
        </w:trPr>
        <w:tc>
          <w:tcPr>
            <w:tcW w:type="dxa" w:w="1800"/>
            <w:vAlign w:val="center"/>
            <w:tcMar>
              <w:top w:w="80" w:type="dxa"/>
              <w:start w:w="90" w:type="dxa"/>
              <w:bottom w:w="80" w:type="dxa"/>
              <w:end w:w="90" w:type="dxa"/>
            </w:tcMar>
            <w:shd w:fill="FFFFFF"/>
          </w:tcPr>
          <w:p>
            <w:pPr>
              <w:spacing w:after="30" w:before="20" w:line="240" w:lineRule="auto"/>
            </w:pPr>
            <w:r>
              <w:rPr>
                <w:rFonts w:ascii="Aptos" w:hAnsi="Aptos"/>
                <w:color w:val="2D3748"/>
                <w:sz w:val="15"/>
              </w:rPr>
            </w:r>
            <w:r>
              <w:rPr>
                <w:rFonts w:ascii="Aptos" w:hAnsi="Aptos"/>
                <w:b w:val="0"/>
                <w:color w:val="2D3748"/>
                <w:sz w:val="15"/>
              </w:rPr>
              <w:t>AI / Cloud Service Providers</w:t>
            </w:r>
          </w:p>
        </w:tc>
        <w:tc>
          <w:tcPr>
            <w:tcW w:type="dxa" w:w="2448"/>
            <w:vAlign w:val="center"/>
            <w:tcMar>
              <w:top w:w="80" w:type="dxa"/>
              <w:start w:w="90" w:type="dxa"/>
              <w:bottom w:w="80" w:type="dxa"/>
              <w:end w:w="90" w:type="dxa"/>
            </w:tcMar>
            <w:shd w:fill="FFFFFF"/>
          </w:tcPr>
          <w:p>
            <w:pPr>
              <w:spacing w:after="30" w:before="20" w:line="240" w:lineRule="auto"/>
            </w:pPr>
            <w:r>
              <w:rPr>
                <w:rFonts w:ascii="Aptos" w:hAnsi="Aptos"/>
                <w:color w:val="2D3748"/>
                <w:sz w:val="15"/>
              </w:rPr>
            </w:r>
            <w:r>
              <w:rPr>
                <w:rFonts w:ascii="Aptos" w:hAnsi="Aptos"/>
                <w:b w:val="0"/>
                <w:color w:val="2D3748"/>
                <w:sz w:val="15"/>
              </w:rPr>
              <w:t>Provide the external LLM and cloud/search services used by the platform.</w:t>
            </w:r>
          </w:p>
        </w:tc>
        <w:tc>
          <w:tcPr>
            <w:tcW w:type="dxa" w:w="936"/>
            <w:vAlign w:val="center"/>
            <w:tcMar>
              <w:top w:w="80" w:type="dxa"/>
              <w:start w:w="90" w:type="dxa"/>
              <w:bottom w:w="80" w:type="dxa"/>
              <w:end w:w="90" w:type="dxa"/>
            </w:tcMar>
            <w:shd w:fill="FFF3D6"/>
          </w:tcPr>
          <w:p>
            <w:pPr>
              <w:spacing w:after="30" w:before="20" w:line="240" w:lineRule="auto"/>
            </w:pPr>
            <w:r>
              <w:rPr>
                <w:rFonts w:ascii="Aptos" w:hAnsi="Aptos"/>
                <w:b/>
                <w:color w:val="855700"/>
                <w:sz w:val="15"/>
              </w:rPr>
            </w:r>
            <w:r>
              <w:rPr>
                <w:rFonts w:ascii="Aptos" w:hAnsi="Aptos"/>
                <w:b/>
                <w:color w:val="855700"/>
                <w:sz w:val="15"/>
              </w:rPr>
              <w:t>Medium</w:t>
            </w:r>
          </w:p>
        </w:tc>
        <w:tc>
          <w:tcPr>
            <w:tcW w:type="dxa" w:w="1152"/>
            <w:vAlign w:val="center"/>
            <w:tcMar>
              <w:top w:w="80" w:type="dxa"/>
              <w:start w:w="90" w:type="dxa"/>
              <w:bottom w:w="80" w:type="dxa"/>
              <w:end w:w="90" w:type="dxa"/>
            </w:tcMar>
            <w:shd w:fill="FFF3D6"/>
          </w:tcPr>
          <w:p>
            <w:pPr>
              <w:spacing w:after="30" w:before="20" w:line="240" w:lineRule="auto"/>
            </w:pPr>
            <w:r>
              <w:rPr>
                <w:rFonts w:ascii="Aptos" w:hAnsi="Aptos"/>
                <w:b/>
                <w:color w:val="855700"/>
                <w:sz w:val="15"/>
              </w:rPr>
            </w:r>
            <w:r>
              <w:rPr>
                <w:rFonts w:ascii="Aptos" w:hAnsi="Aptos"/>
                <w:b/>
                <w:color w:val="855700"/>
                <w:sz w:val="15"/>
              </w:rPr>
              <w:t>Medium</w:t>
            </w:r>
          </w:p>
        </w:tc>
        <w:tc>
          <w:tcPr>
            <w:tcW w:type="dxa" w:w="3528"/>
            <w:vAlign w:val="center"/>
            <w:tcMar>
              <w:top w:w="80" w:type="dxa"/>
              <w:start w:w="90" w:type="dxa"/>
              <w:bottom w:w="80" w:type="dxa"/>
              <w:end w:w="90" w:type="dxa"/>
            </w:tcMar>
            <w:shd w:fill="FFFFFF"/>
          </w:tcPr>
          <w:p>
            <w:pPr>
              <w:spacing w:after="30" w:before="20" w:line="240" w:lineRule="auto"/>
            </w:pPr>
            <w:r>
              <w:rPr>
                <w:rFonts w:ascii="Aptos" w:hAnsi="Aptos"/>
                <w:color w:val="2D3748"/>
                <w:sz w:val="15"/>
              </w:rPr>
            </w:r>
            <w:r>
              <w:rPr>
                <w:rFonts w:ascii="Aptos" w:hAnsi="Aptos"/>
                <w:b w:val="0"/>
                <w:color w:val="2D3748"/>
                <w:sz w:val="15"/>
              </w:rPr>
              <w:t>Valid API configuration, service availability, usage limits, and compliance with provider terms.</w:t>
            </w:r>
          </w:p>
        </w:tc>
      </w:tr>
      <w:tr>
        <w:trPr>
          <w:cantSplit/>
        </w:trPr>
        <w:tc>
          <w:tcPr>
            <w:tcW w:type="dxa" w:w="1800"/>
            <w:vAlign w:val="center"/>
            <w:tcMar>
              <w:top w:w="80" w:type="dxa"/>
              <w:start w:w="90" w:type="dxa"/>
              <w:bottom w:w="80" w:type="dxa"/>
              <w:end w:w="90" w:type="dxa"/>
            </w:tcMar>
            <w:shd w:fill="F1F6F8"/>
          </w:tcPr>
          <w:p>
            <w:pPr>
              <w:spacing w:after="30" w:before="20" w:line="240" w:lineRule="auto"/>
            </w:pPr>
            <w:r>
              <w:rPr>
                <w:rFonts w:ascii="Aptos" w:hAnsi="Aptos"/>
                <w:color w:val="2D3748"/>
                <w:sz w:val="15"/>
              </w:rPr>
            </w:r>
            <w:r>
              <w:rPr>
                <w:rFonts w:ascii="Aptos" w:hAnsi="Aptos"/>
                <w:b w:val="0"/>
                <w:color w:val="2D3748"/>
                <w:sz w:val="15"/>
              </w:rPr>
              <w:t>Security / Privacy Responsible Person</w:t>
            </w:r>
          </w:p>
        </w:tc>
        <w:tc>
          <w:tcPr>
            <w:tcW w:type="dxa" w:w="2448"/>
            <w:vAlign w:val="center"/>
            <w:tcMar>
              <w:top w:w="80" w:type="dxa"/>
              <w:start w:w="90" w:type="dxa"/>
              <w:bottom w:w="80" w:type="dxa"/>
              <w:end w:w="90" w:type="dxa"/>
            </w:tcMar>
            <w:shd w:fill="F1F6F8"/>
          </w:tcPr>
          <w:p>
            <w:pPr>
              <w:spacing w:after="30" w:before="20" w:line="240" w:lineRule="auto"/>
            </w:pPr>
            <w:r>
              <w:rPr>
                <w:rFonts w:ascii="Aptos" w:hAnsi="Aptos"/>
                <w:color w:val="2D3748"/>
                <w:sz w:val="15"/>
              </w:rPr>
            </w:r>
            <w:r>
              <w:rPr>
                <w:rFonts w:ascii="Aptos" w:hAnsi="Aptos"/>
                <w:b w:val="0"/>
                <w:color w:val="2D3748"/>
                <w:sz w:val="15"/>
              </w:rPr>
              <w:t>Reviews access controls, sensitive data handling, retention, and auditability.</w:t>
            </w:r>
          </w:p>
        </w:tc>
        <w:tc>
          <w:tcPr>
            <w:tcW w:type="dxa" w:w="936"/>
            <w:vAlign w:val="center"/>
            <w:tcMar>
              <w:top w:w="80" w:type="dxa"/>
              <w:start w:w="90" w:type="dxa"/>
              <w:bottom w:w="80" w:type="dxa"/>
              <w:end w:w="90" w:type="dxa"/>
            </w:tcMar>
            <w:shd w:fill="FCE8E6"/>
          </w:tcPr>
          <w:p>
            <w:pPr>
              <w:spacing w:after="30" w:before="20" w:line="240" w:lineRule="auto"/>
            </w:pPr>
            <w:r>
              <w:rPr>
                <w:rFonts w:ascii="Aptos" w:hAnsi="Aptos"/>
                <w:b/>
                <w:color w:val="A62A2A"/>
                <w:sz w:val="15"/>
              </w:rPr>
            </w:r>
            <w:r>
              <w:rPr>
                <w:rFonts w:ascii="Aptos" w:hAnsi="Aptos"/>
                <w:b/>
                <w:color w:val="A62A2A"/>
                <w:sz w:val="15"/>
              </w:rPr>
              <w:t>High</w:t>
            </w:r>
          </w:p>
        </w:tc>
        <w:tc>
          <w:tcPr>
            <w:tcW w:type="dxa" w:w="1152"/>
            <w:vAlign w:val="center"/>
            <w:tcMar>
              <w:top w:w="80" w:type="dxa"/>
              <w:start w:w="90" w:type="dxa"/>
              <w:bottom w:w="80" w:type="dxa"/>
              <w:end w:w="90" w:type="dxa"/>
            </w:tcMar>
            <w:shd w:fill="FFF3D6"/>
          </w:tcPr>
          <w:p>
            <w:pPr>
              <w:spacing w:after="30" w:before="20" w:line="240" w:lineRule="auto"/>
            </w:pPr>
            <w:r>
              <w:rPr>
                <w:rFonts w:ascii="Aptos" w:hAnsi="Aptos"/>
                <w:b/>
                <w:color w:val="855700"/>
                <w:sz w:val="15"/>
              </w:rPr>
            </w:r>
            <w:r>
              <w:rPr>
                <w:rFonts w:ascii="Aptos" w:hAnsi="Aptos"/>
                <w:b/>
                <w:color w:val="855700"/>
                <w:sz w:val="15"/>
              </w:rPr>
              <w:t>Medium</w:t>
            </w:r>
          </w:p>
        </w:tc>
        <w:tc>
          <w:tcPr>
            <w:tcW w:type="dxa" w:w="3528"/>
            <w:vAlign w:val="center"/>
            <w:tcMar>
              <w:top w:w="80" w:type="dxa"/>
              <w:start w:w="90" w:type="dxa"/>
              <w:bottom w:w="80" w:type="dxa"/>
              <w:end w:w="90" w:type="dxa"/>
            </w:tcMar>
            <w:shd w:fill="F1F6F8"/>
          </w:tcPr>
          <w:p>
            <w:pPr>
              <w:spacing w:after="30" w:before="20" w:line="240" w:lineRule="auto"/>
            </w:pPr>
            <w:r>
              <w:rPr>
                <w:rFonts w:ascii="Aptos" w:hAnsi="Aptos"/>
                <w:color w:val="2D3748"/>
                <w:sz w:val="15"/>
              </w:rPr>
            </w:r>
            <w:r>
              <w:rPr>
                <w:rFonts w:ascii="Aptos" w:hAnsi="Aptos"/>
                <w:b w:val="0"/>
                <w:color w:val="2D3748"/>
                <w:sz w:val="15"/>
              </w:rPr>
              <w:t>Least-privilege access, appropriate data retention, protection of personal information, and traceable actions.</w:t>
            </w:r>
          </w:p>
        </w:tc>
      </w:tr>
    </w:tbl>
    <w:p/>
    <w:p>
      <w:pPr>
        <w:pStyle w:val="Heading2"/>
        <w:keepNext/>
      </w:pPr>
      <w:r>
        <w:t>2.1 Stakeholder Engagement Plan</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304"/>
            <w:vAlign w:val="center"/>
            <w:shd w:fill="143153"/>
            <w:tcMar>
              <w:top w:w="80" w:type="dxa"/>
              <w:start w:w="90" w:type="dxa"/>
              <w:bottom w:w="80" w:type="dxa"/>
              <w:end w:w="90" w:type="dxa"/>
            </w:tcMar>
          </w:tcPr>
          <w:p>
            <w:pPr>
              <w:spacing w:after="30" w:before="20" w:line="240" w:lineRule="auto"/>
            </w:pPr>
            <w:r>
              <w:rPr>
                <w:rFonts w:ascii="Aptos" w:hAnsi="Aptos"/>
                <w:b/>
                <w:color w:val="FFFFFF"/>
                <w:sz w:val="16"/>
              </w:rPr>
            </w:r>
            <w:r>
              <w:rPr>
                <w:rFonts w:ascii="Aptos" w:hAnsi="Aptos"/>
                <w:b/>
                <w:color w:val="FFFFFF"/>
                <w:sz w:val="16"/>
              </w:rPr>
              <w:t>Stakeholder Group</w:t>
            </w:r>
          </w:p>
        </w:tc>
        <w:tc>
          <w:tcPr>
            <w:tcW w:type="dxa" w:w="7560"/>
            <w:vAlign w:val="center"/>
            <w:shd w:fill="143153"/>
            <w:tcMar>
              <w:top w:w="80" w:type="dxa"/>
              <w:start w:w="90" w:type="dxa"/>
              <w:bottom w:w="80" w:type="dxa"/>
              <w:end w:w="90" w:type="dxa"/>
            </w:tcMar>
          </w:tcPr>
          <w:p>
            <w:pPr>
              <w:spacing w:after="30" w:before="20" w:line="240" w:lineRule="auto"/>
            </w:pPr>
            <w:r>
              <w:rPr>
                <w:rFonts w:ascii="Aptos" w:hAnsi="Aptos"/>
                <w:b/>
                <w:color w:val="FFFFFF"/>
                <w:sz w:val="16"/>
              </w:rPr>
            </w:r>
            <w:r>
              <w:rPr>
                <w:rFonts w:ascii="Aptos" w:hAnsi="Aptos"/>
                <w:b/>
                <w:color w:val="FFFFFF"/>
                <w:sz w:val="16"/>
              </w:rPr>
              <w:t>Engagement Approach</w:t>
            </w:r>
          </w:p>
        </w:tc>
      </w:tr>
      <w:tr>
        <w:trPr>
          <w:cantSplit/>
        </w:trPr>
        <w:tc>
          <w:tcPr>
            <w:tcW w:type="dxa" w:w="2304"/>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Customers</w:t>
            </w:r>
          </w:p>
        </w:tc>
        <w:tc>
          <w:tcPr>
            <w:tcW w:type="dxa" w:w="7560"/>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Collect feedback through short usability tests and a post-chat rating; review confusing or unanswered questions.</w:t>
            </w:r>
          </w:p>
        </w:tc>
      </w:tr>
      <w:tr>
        <w:trPr>
          <w:cantSplit/>
        </w:trPr>
        <w:tc>
          <w:tcPr>
            <w:tcW w:type="dxa" w:w="2304"/>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Support agents</w:t>
            </w:r>
          </w:p>
        </w:tc>
        <w:tc>
          <w:tcPr>
            <w:tcW w:type="dxa" w:w="7560"/>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Involve agents in defining escalation rules, ticket statuses, and the information shown in the agent dashboard.</w:t>
            </w:r>
          </w:p>
        </w:tc>
      </w:tr>
      <w:tr>
        <w:trPr>
          <w:cantSplit/>
        </w:trPr>
        <w:tc>
          <w:tcPr>
            <w:tcW w:type="dxa" w:w="2304"/>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Managers / Product owner</w:t>
            </w:r>
          </w:p>
        </w:tc>
        <w:tc>
          <w:tcPr>
            <w:tcW w:type="dxa" w:w="7560"/>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Agree on success measures and review a brief progress report at milestones.</w:t>
            </w:r>
          </w:p>
        </w:tc>
      </w:tr>
      <w:tr>
        <w:trPr>
          <w:cantSplit/>
        </w:trPr>
        <w:tc>
          <w:tcPr>
            <w:tcW w:type="dxa" w:w="2304"/>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Administrators</w:t>
            </w:r>
          </w:p>
        </w:tc>
        <w:tc>
          <w:tcPr>
            <w:tcW w:type="dxa" w:w="7560"/>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Validate roles, configuration screens, access permissions, and audit-log needs.</w:t>
            </w:r>
          </w:p>
        </w:tc>
      </w:tr>
      <w:tr>
        <w:trPr>
          <w:cantSplit/>
        </w:trPr>
        <w:tc>
          <w:tcPr>
            <w:tcW w:type="dxa" w:w="2304"/>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Development team</w:t>
            </w:r>
          </w:p>
        </w:tc>
        <w:tc>
          <w:tcPr>
            <w:tcW w:type="dxa" w:w="7560"/>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Use regular task reviews, code reviews, and integration checks; record decisions and unresolved issues.</w:t>
            </w:r>
          </w:p>
        </w:tc>
      </w:tr>
      <w:tr>
        <w:trPr>
          <w:cantSplit/>
        </w:trPr>
        <w:tc>
          <w:tcPr>
            <w:tcW w:type="dxa" w:w="2304"/>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Security / privacy reviewer</w:t>
            </w:r>
          </w:p>
        </w:tc>
        <w:tc>
          <w:tcPr>
            <w:tcW w:type="dxa" w:w="7560"/>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Review data flows, permissions, API-key handling, logging, and retention before deployment.</w:t>
            </w:r>
          </w:p>
        </w:tc>
      </w:tr>
    </w:tbl>
    <w:p/>
    <w:p>
      <w:pPr>
        <w:pStyle w:val="Heading1"/>
        <w:keepNext/>
        <w:pBdr>
          <w:bottom w:val="single" w:sz="8" w:space="3" w:color="00A0A8"/>
        </w:pBdr>
      </w:pPr>
      <w:r>
        <w:t>3. Risk Assessment Method</w:t>
      </w:r>
    </w:p>
    <w:p>
      <w:r>
        <w:t>Each risk is scored using two simple scales: Likelihood and Impact, each from 1 to 5. Risk Score = Likelihood × Impact. The score is used to prioritize mitigation; it is not a statistical prediction.</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1152"/>
            <w:vAlign w:val="center"/>
            <w:shd w:fill="143153"/>
            <w:tcMar>
              <w:top w:w="80" w:type="dxa"/>
              <w:start w:w="90" w:type="dxa"/>
              <w:bottom w:w="80" w:type="dxa"/>
              <w:end w:w="90" w:type="dxa"/>
            </w:tcMar>
          </w:tcPr>
          <w:p>
            <w:pPr>
              <w:spacing w:after="30" w:before="20" w:line="240" w:lineRule="auto"/>
            </w:pPr>
            <w:r>
              <w:rPr>
                <w:rFonts w:ascii="Aptos" w:hAnsi="Aptos"/>
                <w:b/>
                <w:color w:val="FFFFFF"/>
                <w:sz w:val="16"/>
              </w:rPr>
            </w:r>
            <w:r>
              <w:rPr>
                <w:rFonts w:ascii="Aptos" w:hAnsi="Aptos"/>
                <w:b/>
                <w:color w:val="FFFFFF"/>
                <w:sz w:val="16"/>
              </w:rPr>
              <w:t>Score</w:t>
            </w:r>
          </w:p>
        </w:tc>
        <w:tc>
          <w:tcPr>
            <w:tcW w:type="dxa" w:w="2880"/>
            <w:vAlign w:val="center"/>
            <w:shd w:fill="143153"/>
            <w:tcMar>
              <w:top w:w="80" w:type="dxa"/>
              <w:start w:w="90" w:type="dxa"/>
              <w:bottom w:w="80" w:type="dxa"/>
              <w:end w:w="90" w:type="dxa"/>
            </w:tcMar>
          </w:tcPr>
          <w:p>
            <w:pPr>
              <w:spacing w:after="30" w:before="20" w:line="240" w:lineRule="auto"/>
            </w:pPr>
            <w:r>
              <w:rPr>
                <w:rFonts w:ascii="Aptos" w:hAnsi="Aptos"/>
                <w:b/>
                <w:color w:val="FFFFFF"/>
                <w:sz w:val="16"/>
              </w:rPr>
            </w:r>
            <w:r>
              <w:rPr>
                <w:rFonts w:ascii="Aptos" w:hAnsi="Aptos"/>
                <w:b/>
                <w:color w:val="FFFFFF"/>
                <w:sz w:val="16"/>
              </w:rPr>
              <w:t>Likelihood</w:t>
            </w:r>
          </w:p>
        </w:tc>
        <w:tc>
          <w:tcPr>
            <w:tcW w:type="dxa" w:w="5832"/>
            <w:vAlign w:val="center"/>
            <w:shd w:fill="143153"/>
            <w:tcMar>
              <w:top w:w="80" w:type="dxa"/>
              <w:start w:w="90" w:type="dxa"/>
              <w:bottom w:w="80" w:type="dxa"/>
              <w:end w:w="90" w:type="dxa"/>
            </w:tcMar>
          </w:tcPr>
          <w:p>
            <w:pPr>
              <w:spacing w:after="30" w:before="20" w:line="240" w:lineRule="auto"/>
            </w:pPr>
            <w:r>
              <w:rPr>
                <w:rFonts w:ascii="Aptos" w:hAnsi="Aptos"/>
                <w:b/>
                <w:color w:val="FFFFFF"/>
                <w:sz w:val="16"/>
              </w:rPr>
            </w:r>
            <w:r>
              <w:rPr>
                <w:rFonts w:ascii="Aptos" w:hAnsi="Aptos"/>
                <w:b/>
                <w:color w:val="FFFFFF"/>
                <w:sz w:val="16"/>
              </w:rPr>
              <w:t>Impact</w:t>
            </w:r>
          </w:p>
        </w:tc>
      </w:tr>
      <w:tr>
        <w:trPr>
          <w:cantSplit/>
        </w:trPr>
        <w:tc>
          <w:tcPr>
            <w:tcW w:type="dxa" w:w="1152"/>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1</w:t>
            </w:r>
          </w:p>
        </w:tc>
        <w:tc>
          <w:tcPr>
            <w:tcW w:type="dxa" w:w="2880"/>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Rare</w:t>
            </w:r>
          </w:p>
        </w:tc>
        <w:tc>
          <w:tcPr>
            <w:tcW w:type="dxa" w:w="5832"/>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Negligible effect on scope or users</w:t>
            </w:r>
          </w:p>
        </w:tc>
      </w:tr>
      <w:tr>
        <w:trPr>
          <w:cantSplit/>
        </w:trPr>
        <w:tc>
          <w:tcPr>
            <w:tcW w:type="dxa" w:w="1152"/>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2</w:t>
            </w:r>
          </w:p>
        </w:tc>
        <w:tc>
          <w:tcPr>
            <w:tcW w:type="dxa" w:w="2880"/>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Unlikely</w:t>
            </w:r>
          </w:p>
        </w:tc>
        <w:tc>
          <w:tcPr>
            <w:tcW w:type="dxa" w:w="5832"/>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Minor inconvenience or limited rework</w:t>
            </w:r>
          </w:p>
        </w:tc>
      </w:tr>
      <w:tr>
        <w:trPr>
          <w:cantSplit/>
        </w:trPr>
        <w:tc>
          <w:tcPr>
            <w:tcW w:type="dxa" w:w="1152"/>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3</w:t>
            </w:r>
          </w:p>
        </w:tc>
        <w:tc>
          <w:tcPr>
            <w:tcW w:type="dxa" w:w="2880"/>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Possible</w:t>
            </w:r>
          </w:p>
        </w:tc>
        <w:tc>
          <w:tcPr>
            <w:tcW w:type="dxa" w:w="5832"/>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Noticeable disruption or moderate rework</w:t>
            </w:r>
          </w:p>
        </w:tc>
      </w:tr>
      <w:tr>
        <w:trPr>
          <w:cantSplit/>
        </w:trPr>
        <w:tc>
          <w:tcPr>
            <w:tcW w:type="dxa" w:w="1152"/>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4</w:t>
            </w:r>
          </w:p>
        </w:tc>
        <w:tc>
          <w:tcPr>
            <w:tcW w:type="dxa" w:w="2880"/>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Likely</w:t>
            </w:r>
          </w:p>
        </w:tc>
        <w:tc>
          <w:tcPr>
            <w:tcW w:type="dxa" w:w="5832"/>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Major feature, schedule, cost, or user impact</w:t>
            </w:r>
          </w:p>
        </w:tc>
      </w:tr>
      <w:tr>
        <w:trPr>
          <w:cantSplit/>
        </w:trPr>
        <w:tc>
          <w:tcPr>
            <w:tcW w:type="dxa" w:w="1152"/>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5</w:t>
            </w:r>
          </w:p>
        </w:tc>
        <w:tc>
          <w:tcPr>
            <w:tcW w:type="dxa" w:w="2880"/>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Almost certain</w:t>
            </w:r>
          </w:p>
        </w:tc>
        <w:tc>
          <w:tcPr>
            <w:tcW w:type="dxa" w:w="5832"/>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Severe disruption, safety, privacy, or delivery impact</w:t>
            </w:r>
          </w:p>
        </w:tc>
      </w:tr>
    </w:tbl>
    <w:p/>
    <w:p>
      <w:r>
        <w:t>Priority guide: 1–4 = Low; 5–9 = Medium; 10–16 = High; 17–25 = Critical. The team should reassess scores when controls are implemented or project assumptions change.</w:t>
      </w:r>
    </w:p>
    <w:p>
      <w:pPr>
        <w:pStyle w:val="Heading1"/>
        <w:keepNext/>
        <w:pBdr>
          <w:bottom w:val="single" w:sz="8" w:space="3" w:color="00A0A8"/>
        </w:pBdr>
      </w:pPr>
      <w:r>
        <w:t>4. Risk Register and Mitigation Plan</w:t>
      </w:r>
    </w:p>
    <w:tbl>
      <w:tblPr>
        <w:tblStyle w:val="TableGrid"/>
        <w:tblW w:type="auto" w:w="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cantSplit/>
          <w:tblHeader w:val="true"/>
        </w:trPr>
        <w:tc>
          <w:tcPr>
            <w:tcW w:type="dxa" w:w="504"/>
            <w:vAlign w:val="center"/>
            <w:shd w:fill="143153"/>
            <w:tcMar>
              <w:top w:w="80" w:type="dxa"/>
              <w:start w:w="90" w:type="dxa"/>
              <w:bottom w:w="80" w:type="dxa"/>
              <w:end w:w="90" w:type="dxa"/>
            </w:tcMar>
          </w:tcPr>
          <w:p>
            <w:pPr>
              <w:spacing w:after="30" w:before="20" w:line="240" w:lineRule="auto"/>
            </w:pPr>
            <w:r>
              <w:rPr>
                <w:rFonts w:ascii="Aptos" w:hAnsi="Aptos"/>
                <w:b/>
                <w:color w:val="FFFFFF"/>
                <w:sz w:val="14"/>
              </w:rPr>
            </w:r>
            <w:r>
              <w:rPr>
                <w:rFonts w:ascii="Aptos" w:hAnsi="Aptos"/>
                <w:b/>
                <w:color w:val="FFFFFF"/>
                <w:sz w:val="14"/>
              </w:rPr>
              <w:t>ID</w:t>
            </w:r>
          </w:p>
        </w:tc>
        <w:tc>
          <w:tcPr>
            <w:tcW w:type="dxa" w:w="1944"/>
            <w:vAlign w:val="center"/>
            <w:shd w:fill="143153"/>
            <w:tcMar>
              <w:top w:w="80" w:type="dxa"/>
              <w:start w:w="90" w:type="dxa"/>
              <w:bottom w:w="80" w:type="dxa"/>
              <w:end w:w="90" w:type="dxa"/>
            </w:tcMar>
          </w:tcPr>
          <w:p>
            <w:pPr>
              <w:spacing w:after="30" w:before="20" w:line="240" w:lineRule="auto"/>
            </w:pPr>
            <w:r>
              <w:rPr>
                <w:rFonts w:ascii="Aptos" w:hAnsi="Aptos"/>
                <w:b/>
                <w:color w:val="FFFFFF"/>
                <w:sz w:val="14"/>
              </w:rPr>
            </w:r>
            <w:r>
              <w:rPr>
                <w:rFonts w:ascii="Aptos" w:hAnsi="Aptos"/>
                <w:b/>
                <w:color w:val="FFFFFF"/>
                <w:sz w:val="14"/>
              </w:rPr>
              <w:t>Risk</w:t>
            </w:r>
          </w:p>
        </w:tc>
        <w:tc>
          <w:tcPr>
            <w:tcW w:type="dxa" w:w="360"/>
            <w:vAlign w:val="center"/>
            <w:shd w:fill="143153"/>
            <w:tcMar>
              <w:top w:w="80" w:type="dxa"/>
              <w:start w:w="90" w:type="dxa"/>
              <w:bottom w:w="80" w:type="dxa"/>
              <w:end w:w="90" w:type="dxa"/>
            </w:tcMar>
          </w:tcPr>
          <w:p>
            <w:pPr>
              <w:spacing w:after="30" w:before="20" w:line="240" w:lineRule="auto"/>
            </w:pPr>
            <w:r>
              <w:rPr>
                <w:rFonts w:ascii="Aptos" w:hAnsi="Aptos"/>
                <w:b/>
                <w:color w:val="FFFFFF"/>
                <w:sz w:val="14"/>
              </w:rPr>
            </w:r>
            <w:r>
              <w:rPr>
                <w:rFonts w:ascii="Aptos" w:hAnsi="Aptos"/>
                <w:b/>
                <w:color w:val="FFFFFF"/>
                <w:sz w:val="14"/>
              </w:rPr>
              <w:t>L</w:t>
            </w:r>
          </w:p>
        </w:tc>
        <w:tc>
          <w:tcPr>
            <w:tcW w:type="dxa" w:w="360"/>
            <w:vAlign w:val="center"/>
            <w:shd w:fill="143153"/>
            <w:tcMar>
              <w:top w:w="80" w:type="dxa"/>
              <w:start w:w="90" w:type="dxa"/>
              <w:bottom w:w="80" w:type="dxa"/>
              <w:end w:w="90" w:type="dxa"/>
            </w:tcMar>
          </w:tcPr>
          <w:p>
            <w:pPr>
              <w:spacing w:after="30" w:before="20" w:line="240" w:lineRule="auto"/>
            </w:pPr>
            <w:r>
              <w:rPr>
                <w:rFonts w:ascii="Aptos" w:hAnsi="Aptos"/>
                <w:b/>
                <w:color w:val="FFFFFF"/>
                <w:sz w:val="14"/>
              </w:rPr>
            </w:r>
            <w:r>
              <w:rPr>
                <w:rFonts w:ascii="Aptos" w:hAnsi="Aptos"/>
                <w:b/>
                <w:color w:val="FFFFFF"/>
                <w:sz w:val="14"/>
              </w:rPr>
              <w:t>I</w:t>
            </w:r>
          </w:p>
        </w:tc>
        <w:tc>
          <w:tcPr>
            <w:tcW w:type="dxa" w:w="1152"/>
            <w:vAlign w:val="center"/>
            <w:shd w:fill="143153"/>
            <w:tcMar>
              <w:top w:w="80" w:type="dxa"/>
              <w:start w:w="90" w:type="dxa"/>
              <w:bottom w:w="80" w:type="dxa"/>
              <w:end w:w="90" w:type="dxa"/>
            </w:tcMar>
          </w:tcPr>
          <w:p>
            <w:pPr>
              <w:spacing w:after="30" w:before="20" w:line="240" w:lineRule="auto"/>
            </w:pPr>
            <w:r>
              <w:rPr>
                <w:rFonts w:ascii="Aptos" w:hAnsi="Aptos"/>
                <w:b/>
                <w:color w:val="FFFFFF"/>
                <w:sz w:val="14"/>
              </w:rPr>
            </w:r>
            <w:r>
              <w:rPr>
                <w:rFonts w:ascii="Aptos" w:hAnsi="Aptos"/>
                <w:b/>
                <w:color w:val="FFFFFF"/>
                <w:sz w:val="14"/>
              </w:rPr>
              <w:t>Score / Priority</w:t>
            </w:r>
          </w:p>
        </w:tc>
        <w:tc>
          <w:tcPr>
            <w:tcW w:type="dxa" w:w="3960"/>
            <w:vAlign w:val="center"/>
            <w:shd w:fill="143153"/>
            <w:tcMar>
              <w:top w:w="80" w:type="dxa"/>
              <w:start w:w="90" w:type="dxa"/>
              <w:bottom w:w="80" w:type="dxa"/>
              <w:end w:w="90" w:type="dxa"/>
            </w:tcMar>
          </w:tcPr>
          <w:p>
            <w:pPr>
              <w:spacing w:after="30" w:before="20" w:line="240" w:lineRule="auto"/>
            </w:pPr>
            <w:r>
              <w:rPr>
                <w:rFonts w:ascii="Aptos" w:hAnsi="Aptos"/>
                <w:b/>
                <w:color w:val="FFFFFF"/>
                <w:sz w:val="14"/>
              </w:rPr>
            </w:r>
            <w:r>
              <w:rPr>
                <w:rFonts w:ascii="Aptos" w:hAnsi="Aptos"/>
                <w:b/>
                <w:color w:val="FFFFFF"/>
                <w:sz w:val="14"/>
              </w:rPr>
              <w:t>Mitigation / Response</w:t>
            </w:r>
          </w:p>
        </w:tc>
        <w:tc>
          <w:tcPr>
            <w:tcW w:type="dxa" w:w="1368"/>
            <w:vAlign w:val="center"/>
            <w:shd w:fill="143153"/>
            <w:tcMar>
              <w:top w:w="80" w:type="dxa"/>
              <w:start w:w="90" w:type="dxa"/>
              <w:bottom w:w="80" w:type="dxa"/>
              <w:end w:w="90" w:type="dxa"/>
            </w:tcMar>
          </w:tcPr>
          <w:p>
            <w:pPr>
              <w:spacing w:after="30" w:before="20" w:line="240" w:lineRule="auto"/>
            </w:pPr>
            <w:r>
              <w:rPr>
                <w:rFonts w:ascii="Aptos" w:hAnsi="Aptos"/>
                <w:b/>
                <w:color w:val="FFFFFF"/>
                <w:sz w:val="14"/>
              </w:rPr>
            </w:r>
            <w:r>
              <w:rPr>
                <w:rFonts w:ascii="Aptos" w:hAnsi="Aptos"/>
                <w:b/>
                <w:color w:val="FFFFFF"/>
                <w:sz w:val="14"/>
              </w:rPr>
              <w:t>Owner</w:t>
            </w:r>
          </w:p>
        </w:tc>
        <w:tc>
          <w:tcPr>
            <w:tcW w:type="dxa" w:w="936"/>
            <w:vAlign w:val="center"/>
            <w:shd w:fill="143153"/>
            <w:tcMar>
              <w:top w:w="80" w:type="dxa"/>
              <w:start w:w="90" w:type="dxa"/>
              <w:bottom w:w="80" w:type="dxa"/>
              <w:end w:w="90" w:type="dxa"/>
            </w:tcMar>
          </w:tcPr>
          <w:p>
            <w:pPr>
              <w:spacing w:after="30" w:before="20" w:line="240" w:lineRule="auto"/>
            </w:pPr>
            <w:r>
              <w:rPr>
                <w:rFonts w:ascii="Aptos" w:hAnsi="Aptos"/>
                <w:b/>
                <w:color w:val="FFFFFF"/>
                <w:sz w:val="14"/>
              </w:rPr>
            </w:r>
            <w:r>
              <w:rPr>
                <w:rFonts w:ascii="Aptos" w:hAnsi="Aptos"/>
                <w:b/>
                <w:color w:val="FFFFFF"/>
                <w:sz w:val="14"/>
              </w:rPr>
              <w:t>Residual Risk*</w:t>
            </w:r>
          </w:p>
        </w:tc>
      </w:tr>
      <w:tr>
        <w:trPr>
          <w:cantSplit/>
        </w:trPr>
        <w:tc>
          <w:tcPr>
            <w:tcW w:type="dxa" w:w="50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R1</w:t>
            </w:r>
          </w:p>
        </w:tc>
        <w:tc>
          <w:tcPr>
            <w:tcW w:type="dxa" w:w="194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AI generates inaccurate or misleading answers</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4</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5</w:t>
            </w:r>
          </w:p>
        </w:tc>
        <w:tc>
          <w:tcPr>
            <w:tcW w:type="dxa" w:w="1152"/>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20 — Critical</w:t>
            </w:r>
          </w:p>
        </w:tc>
        <w:tc>
          <w:tcPr>
            <w:tcW w:type="dxa" w:w="39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Use approved knowledge sources for factual answers; instruct the model to say when it cannot find reliable information; test representative questions; provide feedback and escalation options; monitor low-rated responses.</w:t>
            </w:r>
          </w:p>
        </w:tc>
        <w:tc>
          <w:tcPr>
            <w:tcW w:type="dxa" w:w="1368"/>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AI Lead + QA</w:t>
            </w:r>
          </w:p>
        </w:tc>
        <w:tc>
          <w:tcPr>
            <w:tcW w:type="dxa" w:w="936"/>
            <w:vAlign w:val="center"/>
            <w:tcMar>
              <w:top w:w="80" w:type="dxa"/>
              <w:start w:w="90" w:type="dxa"/>
              <w:bottom w:w="80" w:type="dxa"/>
              <w:end w:w="90" w:type="dxa"/>
            </w:tcMar>
            <w:shd w:fill="FCE8E6"/>
          </w:tcPr>
          <w:p>
            <w:pPr>
              <w:spacing w:after="30" w:before="20" w:line="240" w:lineRule="auto"/>
            </w:pPr>
            <w:r>
              <w:rPr>
                <w:rFonts w:ascii="Aptos" w:hAnsi="Aptos"/>
                <w:b/>
                <w:color w:val="A62A2A"/>
                <w:sz w:val="14"/>
              </w:rPr>
            </w:r>
            <w:r>
              <w:rPr>
                <w:rFonts w:ascii="Aptos" w:hAnsi="Aptos"/>
                <w:b/>
                <w:color w:val="A62A2A"/>
                <w:sz w:val="14"/>
              </w:rPr>
              <w:t>High</w:t>
            </w:r>
          </w:p>
        </w:tc>
      </w:tr>
      <w:tr>
        <w:trPr>
          <w:cantSplit/>
        </w:trPr>
        <w:tc>
          <w:tcPr>
            <w:tcW w:type="dxa" w:w="504"/>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R2</w:t>
            </w:r>
          </w:p>
        </w:tc>
        <w:tc>
          <w:tcPr>
            <w:tcW w:type="dxa" w:w="1944"/>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Sensitive customer data is exposed or logged unnecessarily</w:t>
            </w:r>
          </w:p>
        </w:tc>
        <w:tc>
          <w:tcPr>
            <w:tcW w:type="dxa" w:w="3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3</w:t>
            </w:r>
          </w:p>
        </w:tc>
        <w:tc>
          <w:tcPr>
            <w:tcW w:type="dxa" w:w="3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5</w:t>
            </w:r>
          </w:p>
        </w:tc>
        <w:tc>
          <w:tcPr>
            <w:tcW w:type="dxa" w:w="1152"/>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15 — High</w:t>
            </w:r>
          </w:p>
        </w:tc>
        <w:tc>
          <w:tcPr>
            <w:tcW w:type="dxa" w:w="39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Collect only necessary data; restrict access by role; avoid storing secrets in prompts/logs; define retention rules; protect transport and stored data; review logs for personal data.</w:t>
            </w:r>
          </w:p>
        </w:tc>
        <w:tc>
          <w:tcPr>
            <w:tcW w:type="dxa" w:w="1368"/>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Backend Lead + Security Owner</w:t>
            </w:r>
          </w:p>
        </w:tc>
        <w:tc>
          <w:tcPr>
            <w:tcW w:type="dxa" w:w="936"/>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Medium–High</w:t>
            </w:r>
          </w:p>
        </w:tc>
      </w:tr>
      <w:tr>
        <w:trPr>
          <w:cantSplit/>
        </w:trPr>
        <w:tc>
          <w:tcPr>
            <w:tcW w:type="dxa" w:w="50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R3</w:t>
            </w:r>
          </w:p>
        </w:tc>
        <w:tc>
          <w:tcPr>
            <w:tcW w:type="dxa" w:w="194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External LLM or cloud service is unavailable or slow</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3</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4</w:t>
            </w:r>
          </w:p>
        </w:tc>
        <w:tc>
          <w:tcPr>
            <w:tcW w:type="dxa" w:w="1152"/>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12 — High</w:t>
            </w:r>
          </w:p>
        </w:tc>
        <w:tc>
          <w:tcPr>
            <w:tcW w:type="dxa" w:w="39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Set timeouts and controlled retries; show a helpful fallback message; allow ticket creation or human handoff; monitor service errors and response time.</w:t>
            </w:r>
          </w:p>
        </w:tc>
        <w:tc>
          <w:tcPr>
            <w:tcW w:type="dxa" w:w="1368"/>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AI/Cloud Developer</w:t>
            </w:r>
          </w:p>
        </w:tc>
        <w:tc>
          <w:tcPr>
            <w:tcW w:type="dxa" w:w="936"/>
            <w:vAlign w:val="center"/>
            <w:tcMar>
              <w:top w:w="80" w:type="dxa"/>
              <w:start w:w="90" w:type="dxa"/>
              <w:bottom w:w="80" w:type="dxa"/>
              <w:end w:w="90" w:type="dxa"/>
            </w:tcMar>
            <w:shd w:fill="FFF3D6"/>
          </w:tcPr>
          <w:p>
            <w:pPr>
              <w:spacing w:after="30" w:before="20" w:line="240" w:lineRule="auto"/>
            </w:pPr>
            <w:r>
              <w:rPr>
                <w:rFonts w:ascii="Aptos" w:hAnsi="Aptos"/>
                <w:b/>
                <w:color w:val="855700"/>
                <w:sz w:val="14"/>
              </w:rPr>
            </w:r>
            <w:r>
              <w:rPr>
                <w:rFonts w:ascii="Aptos" w:hAnsi="Aptos"/>
                <w:b/>
                <w:color w:val="855700"/>
                <w:sz w:val="14"/>
              </w:rPr>
              <w:t>Medium</w:t>
            </w:r>
          </w:p>
        </w:tc>
      </w:tr>
      <w:tr>
        <w:trPr>
          <w:cantSplit/>
        </w:trPr>
        <w:tc>
          <w:tcPr>
            <w:tcW w:type="dxa" w:w="504"/>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R4</w:t>
            </w:r>
          </w:p>
        </w:tc>
        <w:tc>
          <w:tcPr>
            <w:tcW w:type="dxa" w:w="1944"/>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AI tool performs an incorrect or unauthorized action</w:t>
            </w:r>
          </w:p>
        </w:tc>
        <w:tc>
          <w:tcPr>
            <w:tcW w:type="dxa" w:w="3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3</w:t>
            </w:r>
          </w:p>
        </w:tc>
        <w:tc>
          <w:tcPr>
            <w:tcW w:type="dxa" w:w="3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5</w:t>
            </w:r>
          </w:p>
        </w:tc>
        <w:tc>
          <w:tcPr>
            <w:tcW w:type="dxa" w:w="1152"/>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15 — High</w:t>
            </w:r>
          </w:p>
        </w:tc>
        <w:tc>
          <w:tcPr>
            <w:tcW w:type="dxa" w:w="39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Allowlist available tools; validate every parameter on the server; enforce user permissions independently of the model; require human approval for sensitive actions such as refunds; log actions.</w:t>
            </w:r>
          </w:p>
        </w:tc>
        <w:tc>
          <w:tcPr>
            <w:tcW w:type="dxa" w:w="1368"/>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Backend Lead</w:t>
            </w:r>
          </w:p>
        </w:tc>
        <w:tc>
          <w:tcPr>
            <w:tcW w:type="dxa" w:w="936"/>
            <w:vAlign w:val="center"/>
            <w:tcMar>
              <w:top w:w="80" w:type="dxa"/>
              <w:start w:w="90" w:type="dxa"/>
              <w:bottom w:w="80" w:type="dxa"/>
              <w:end w:w="90" w:type="dxa"/>
            </w:tcMar>
            <w:shd w:fill="FFF3D6"/>
          </w:tcPr>
          <w:p>
            <w:pPr>
              <w:spacing w:after="30" w:before="20" w:line="240" w:lineRule="auto"/>
            </w:pPr>
            <w:r>
              <w:rPr>
                <w:rFonts w:ascii="Aptos" w:hAnsi="Aptos"/>
                <w:b/>
                <w:color w:val="855700"/>
                <w:sz w:val="14"/>
              </w:rPr>
            </w:r>
            <w:r>
              <w:rPr>
                <w:rFonts w:ascii="Aptos" w:hAnsi="Aptos"/>
                <w:b/>
                <w:color w:val="855700"/>
                <w:sz w:val="14"/>
              </w:rPr>
              <w:t>Medium</w:t>
            </w:r>
          </w:p>
        </w:tc>
      </w:tr>
      <w:tr>
        <w:trPr>
          <w:cantSplit/>
        </w:trPr>
        <w:tc>
          <w:tcPr>
            <w:tcW w:type="dxa" w:w="50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R5</w:t>
            </w:r>
          </w:p>
        </w:tc>
        <w:tc>
          <w:tcPr>
            <w:tcW w:type="dxa" w:w="194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Knowledge base contains outdated or conflicting articles</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3</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4</w:t>
            </w:r>
          </w:p>
        </w:tc>
        <w:tc>
          <w:tcPr>
            <w:tcW w:type="dxa" w:w="1152"/>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12 — High</w:t>
            </w:r>
          </w:p>
        </w:tc>
        <w:tc>
          <w:tcPr>
            <w:tcW w:type="dxa" w:w="39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Assign article owners; record review dates; provide an update workflow; test retrieval against known questions; show source references where practical.</w:t>
            </w:r>
          </w:p>
        </w:tc>
        <w:tc>
          <w:tcPr>
            <w:tcW w:type="dxa" w:w="1368"/>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Knowledge Base Owner + Support Lead</w:t>
            </w:r>
          </w:p>
        </w:tc>
        <w:tc>
          <w:tcPr>
            <w:tcW w:type="dxa" w:w="936"/>
            <w:vAlign w:val="center"/>
            <w:tcMar>
              <w:top w:w="80" w:type="dxa"/>
              <w:start w:w="90" w:type="dxa"/>
              <w:bottom w:w="80" w:type="dxa"/>
              <w:end w:w="90" w:type="dxa"/>
            </w:tcMar>
            <w:shd w:fill="FFF3D6"/>
          </w:tcPr>
          <w:p>
            <w:pPr>
              <w:spacing w:after="30" w:before="20" w:line="240" w:lineRule="auto"/>
            </w:pPr>
            <w:r>
              <w:rPr>
                <w:rFonts w:ascii="Aptos" w:hAnsi="Aptos"/>
                <w:b/>
                <w:color w:val="855700"/>
                <w:sz w:val="14"/>
              </w:rPr>
            </w:r>
            <w:r>
              <w:rPr>
                <w:rFonts w:ascii="Aptos" w:hAnsi="Aptos"/>
                <w:b/>
                <w:color w:val="855700"/>
                <w:sz w:val="14"/>
              </w:rPr>
              <w:t>Medium</w:t>
            </w:r>
          </w:p>
        </w:tc>
      </w:tr>
      <w:tr>
        <w:trPr>
          <w:cantSplit/>
        </w:trPr>
        <w:tc>
          <w:tcPr>
            <w:tcW w:type="dxa" w:w="504"/>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R6</w:t>
            </w:r>
          </w:p>
        </w:tc>
        <w:tc>
          <w:tcPr>
            <w:tcW w:type="dxa" w:w="1944"/>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Project scope is too large for the available time</w:t>
            </w:r>
          </w:p>
        </w:tc>
        <w:tc>
          <w:tcPr>
            <w:tcW w:type="dxa" w:w="3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4</w:t>
            </w:r>
          </w:p>
        </w:tc>
        <w:tc>
          <w:tcPr>
            <w:tcW w:type="dxa" w:w="3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4</w:t>
            </w:r>
          </w:p>
        </w:tc>
        <w:tc>
          <w:tcPr>
            <w:tcW w:type="dxa" w:w="1152"/>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16 — High</w:t>
            </w:r>
          </w:p>
        </w:tc>
        <w:tc>
          <w:tcPr>
            <w:tcW w:type="dxa" w:w="39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Define a minimum viable product; prioritize core chat, knowledge search, ticket escalation, and basic dashboard; move optional features such as A/B testing and advanced learning to future work.</w:t>
            </w:r>
          </w:p>
        </w:tc>
        <w:tc>
          <w:tcPr>
            <w:tcW w:type="dxa" w:w="1368"/>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Project Manager + Team</w:t>
            </w:r>
          </w:p>
        </w:tc>
        <w:tc>
          <w:tcPr>
            <w:tcW w:type="dxa" w:w="936"/>
            <w:vAlign w:val="center"/>
            <w:tcMar>
              <w:top w:w="80" w:type="dxa"/>
              <w:start w:w="90" w:type="dxa"/>
              <w:bottom w:w="80" w:type="dxa"/>
              <w:end w:w="90" w:type="dxa"/>
            </w:tcMar>
            <w:shd w:fill="FFF3D6"/>
          </w:tcPr>
          <w:p>
            <w:pPr>
              <w:spacing w:after="30" w:before="20" w:line="240" w:lineRule="auto"/>
            </w:pPr>
            <w:r>
              <w:rPr>
                <w:rFonts w:ascii="Aptos" w:hAnsi="Aptos"/>
                <w:b/>
                <w:color w:val="855700"/>
                <w:sz w:val="14"/>
              </w:rPr>
            </w:r>
            <w:r>
              <w:rPr>
                <w:rFonts w:ascii="Aptos" w:hAnsi="Aptos"/>
                <w:b/>
                <w:color w:val="855700"/>
                <w:sz w:val="14"/>
              </w:rPr>
              <w:t>Medium</w:t>
            </w:r>
          </w:p>
        </w:tc>
      </w:tr>
      <w:tr>
        <w:trPr>
          <w:cantSplit/>
        </w:trPr>
        <w:tc>
          <w:tcPr>
            <w:tcW w:type="dxa" w:w="50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R7</w:t>
            </w:r>
          </w:p>
        </w:tc>
        <w:tc>
          <w:tcPr>
            <w:tcW w:type="dxa" w:w="194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Integration problems between ASP.NET, AI SDK, search, Redis, and SignalR</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4</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4</w:t>
            </w:r>
          </w:p>
        </w:tc>
        <w:tc>
          <w:tcPr>
            <w:tcW w:type="dxa" w:w="1152"/>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16 — High</w:t>
            </w:r>
          </w:p>
        </w:tc>
        <w:tc>
          <w:tcPr>
            <w:tcW w:type="dxa" w:w="39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Build a small end-to-end prototype early; define interfaces between layers; pin compatible package versions; test integrations separately; keep a documented fallback for nonessential services.</w:t>
            </w:r>
          </w:p>
        </w:tc>
        <w:tc>
          <w:tcPr>
            <w:tcW w:type="dxa" w:w="1368"/>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Technical Lead</w:t>
            </w:r>
          </w:p>
        </w:tc>
        <w:tc>
          <w:tcPr>
            <w:tcW w:type="dxa" w:w="936"/>
            <w:vAlign w:val="center"/>
            <w:tcMar>
              <w:top w:w="80" w:type="dxa"/>
              <w:start w:w="90" w:type="dxa"/>
              <w:bottom w:w="80" w:type="dxa"/>
              <w:end w:w="90" w:type="dxa"/>
            </w:tcMar>
            <w:shd w:fill="FFF3D6"/>
          </w:tcPr>
          <w:p>
            <w:pPr>
              <w:spacing w:after="30" w:before="20" w:line="240" w:lineRule="auto"/>
            </w:pPr>
            <w:r>
              <w:rPr>
                <w:rFonts w:ascii="Aptos" w:hAnsi="Aptos"/>
                <w:b/>
                <w:color w:val="855700"/>
                <w:sz w:val="14"/>
              </w:rPr>
            </w:r>
            <w:r>
              <w:rPr>
                <w:rFonts w:ascii="Aptos" w:hAnsi="Aptos"/>
                <w:b/>
                <w:color w:val="855700"/>
                <w:sz w:val="14"/>
              </w:rPr>
              <w:t>Medium</w:t>
            </w:r>
          </w:p>
        </w:tc>
      </w:tr>
      <w:tr>
        <w:trPr>
          <w:cantSplit/>
        </w:trPr>
        <w:tc>
          <w:tcPr>
            <w:tcW w:type="dxa" w:w="504"/>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R8</w:t>
            </w:r>
          </w:p>
        </w:tc>
        <w:tc>
          <w:tcPr>
            <w:tcW w:type="dxa" w:w="1944"/>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API usage costs exceed the project budget</w:t>
            </w:r>
          </w:p>
        </w:tc>
        <w:tc>
          <w:tcPr>
            <w:tcW w:type="dxa" w:w="3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3</w:t>
            </w:r>
          </w:p>
        </w:tc>
        <w:tc>
          <w:tcPr>
            <w:tcW w:type="dxa" w:w="3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4</w:t>
            </w:r>
          </w:p>
        </w:tc>
        <w:tc>
          <w:tcPr>
            <w:tcW w:type="dxa" w:w="1152"/>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12 — High</w:t>
            </w:r>
          </w:p>
        </w:tc>
        <w:tc>
          <w:tcPr>
            <w:tcW w:type="dxa" w:w="39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Set provider spending limits and alerts where available; cap input/output length; avoid unnecessary repeated calls; cache suitable common responses; monitor usage during testing.</w:t>
            </w:r>
          </w:p>
        </w:tc>
        <w:tc>
          <w:tcPr>
            <w:tcW w:type="dxa" w:w="1368"/>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AI/Cloud Developer + Product Owner</w:t>
            </w:r>
          </w:p>
        </w:tc>
        <w:tc>
          <w:tcPr>
            <w:tcW w:type="dxa" w:w="936"/>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Low–Medium</w:t>
            </w:r>
          </w:p>
        </w:tc>
      </w:tr>
      <w:tr>
        <w:trPr>
          <w:cantSplit/>
        </w:trPr>
        <w:tc>
          <w:tcPr>
            <w:tcW w:type="dxa" w:w="50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R9</w:t>
            </w:r>
          </w:p>
        </w:tc>
        <w:tc>
          <w:tcPr>
            <w:tcW w:type="dxa" w:w="194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Unauthorized users access agent or admin features</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3</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5</w:t>
            </w:r>
          </w:p>
        </w:tc>
        <w:tc>
          <w:tcPr>
            <w:tcW w:type="dxa" w:w="1152"/>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15 — High</w:t>
            </w:r>
          </w:p>
        </w:tc>
        <w:tc>
          <w:tcPr>
            <w:tcW w:type="dxa" w:w="39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Use ASP.NET Identity roles and authorization policies; apply least privilege; validate permissions on the server; test access-denied cases; protect admin configuration and API credentials.</w:t>
            </w:r>
          </w:p>
        </w:tc>
        <w:tc>
          <w:tcPr>
            <w:tcW w:type="dxa" w:w="1368"/>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Backend Lead + QA</w:t>
            </w:r>
          </w:p>
        </w:tc>
        <w:tc>
          <w:tcPr>
            <w:tcW w:type="dxa" w:w="936"/>
            <w:vAlign w:val="center"/>
            <w:tcMar>
              <w:top w:w="80" w:type="dxa"/>
              <w:start w:w="90" w:type="dxa"/>
              <w:bottom w:w="80" w:type="dxa"/>
              <w:end w:w="90" w:type="dxa"/>
            </w:tcMar>
            <w:shd w:fill="FFF3D6"/>
          </w:tcPr>
          <w:p>
            <w:pPr>
              <w:spacing w:after="30" w:before="20" w:line="240" w:lineRule="auto"/>
            </w:pPr>
            <w:r>
              <w:rPr>
                <w:rFonts w:ascii="Aptos" w:hAnsi="Aptos"/>
                <w:b/>
                <w:color w:val="855700"/>
                <w:sz w:val="14"/>
              </w:rPr>
            </w:r>
            <w:r>
              <w:rPr>
                <w:rFonts w:ascii="Aptos" w:hAnsi="Aptos"/>
                <w:b/>
                <w:color w:val="855700"/>
                <w:sz w:val="14"/>
              </w:rPr>
              <w:t>Medium</w:t>
            </w:r>
          </w:p>
        </w:tc>
      </w:tr>
      <w:tr>
        <w:trPr>
          <w:cantSplit/>
        </w:trPr>
        <w:tc>
          <w:tcPr>
            <w:tcW w:type="dxa" w:w="504"/>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R10</w:t>
            </w:r>
          </w:p>
        </w:tc>
        <w:tc>
          <w:tcPr>
            <w:tcW w:type="dxa" w:w="1944"/>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Escalation fails or the human queue is not monitored</w:t>
            </w:r>
          </w:p>
        </w:tc>
        <w:tc>
          <w:tcPr>
            <w:tcW w:type="dxa" w:w="3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3</w:t>
            </w:r>
          </w:p>
        </w:tc>
        <w:tc>
          <w:tcPr>
            <w:tcW w:type="dxa" w:w="3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4</w:t>
            </w:r>
          </w:p>
        </w:tc>
        <w:tc>
          <w:tcPr>
            <w:tcW w:type="dxa" w:w="1152"/>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12 — High</w:t>
            </w:r>
          </w:p>
        </w:tc>
        <w:tc>
          <w:tcPr>
            <w:tcW w:type="dxa" w:w="39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Define clear escalation triggers; create a ticket if live handoff is unavailable; display ticket status; notify assigned agents; test the full AI-to-human flow.</w:t>
            </w:r>
          </w:p>
        </w:tc>
        <w:tc>
          <w:tcPr>
            <w:tcW w:type="dxa" w:w="1368"/>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Support Workflow Owner + Backend Lead</w:t>
            </w:r>
          </w:p>
        </w:tc>
        <w:tc>
          <w:tcPr>
            <w:tcW w:type="dxa" w:w="936"/>
            <w:vAlign w:val="center"/>
            <w:tcMar>
              <w:top w:w="80" w:type="dxa"/>
              <w:start w:w="90" w:type="dxa"/>
              <w:bottom w:w="80" w:type="dxa"/>
              <w:end w:w="90" w:type="dxa"/>
            </w:tcMar>
            <w:shd w:fill="FFF3D6"/>
          </w:tcPr>
          <w:p>
            <w:pPr>
              <w:spacing w:after="30" w:before="20" w:line="240" w:lineRule="auto"/>
            </w:pPr>
            <w:r>
              <w:rPr>
                <w:rFonts w:ascii="Aptos" w:hAnsi="Aptos"/>
                <w:b/>
                <w:color w:val="855700"/>
                <w:sz w:val="14"/>
              </w:rPr>
            </w:r>
            <w:r>
              <w:rPr>
                <w:rFonts w:ascii="Aptos" w:hAnsi="Aptos"/>
                <w:b/>
                <w:color w:val="855700"/>
                <w:sz w:val="14"/>
              </w:rPr>
              <w:t>Medium</w:t>
            </w:r>
          </w:p>
        </w:tc>
      </w:tr>
      <w:tr>
        <w:trPr>
          <w:cantSplit/>
        </w:trPr>
        <w:tc>
          <w:tcPr>
            <w:tcW w:type="dxa" w:w="50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R11</w:t>
            </w:r>
          </w:p>
        </w:tc>
        <w:tc>
          <w:tcPr>
            <w:tcW w:type="dxa" w:w="194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Conversation history or AI-generated summaries lose important context</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3</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3</w:t>
            </w:r>
          </w:p>
        </w:tc>
        <w:tc>
          <w:tcPr>
            <w:tcW w:type="dxa" w:w="1152"/>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9 — Medium</w:t>
            </w:r>
          </w:p>
        </w:tc>
        <w:tc>
          <w:tcPr>
            <w:tcW w:type="dxa" w:w="39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Persist messages reliably; define what a summary must include; let agents inspect the original conversation; test long and multi-turn chats; avoid treating summaries as the sole source of truth.</w:t>
            </w:r>
          </w:p>
        </w:tc>
        <w:tc>
          <w:tcPr>
            <w:tcW w:type="dxa" w:w="1368"/>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AI Lead + QA</w:t>
            </w:r>
          </w:p>
        </w:tc>
        <w:tc>
          <w:tcPr>
            <w:tcW w:type="dxa" w:w="936"/>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Low–Medium</w:t>
            </w:r>
          </w:p>
        </w:tc>
      </w:tr>
      <w:tr>
        <w:trPr>
          <w:cantSplit/>
        </w:trPr>
        <w:tc>
          <w:tcPr>
            <w:tcW w:type="dxa" w:w="504"/>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R12</w:t>
            </w:r>
          </w:p>
        </w:tc>
        <w:tc>
          <w:tcPr>
            <w:tcW w:type="dxa" w:w="1944"/>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Real-time chat updates are lost or duplicated</w:t>
            </w:r>
          </w:p>
        </w:tc>
        <w:tc>
          <w:tcPr>
            <w:tcW w:type="dxa" w:w="3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3</w:t>
            </w:r>
          </w:p>
        </w:tc>
        <w:tc>
          <w:tcPr>
            <w:tcW w:type="dxa" w:w="3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3</w:t>
            </w:r>
          </w:p>
        </w:tc>
        <w:tc>
          <w:tcPr>
            <w:tcW w:type="dxa" w:w="1152"/>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9 — Medium</w:t>
            </w:r>
          </w:p>
        </w:tc>
        <w:tc>
          <w:tcPr>
            <w:tcW w:type="dxa" w:w="39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Use stable message IDs and server-side persistence; handle reconnects; avoid relying only on SignalR delivery; test disconnection and retry scenarios.</w:t>
            </w:r>
          </w:p>
        </w:tc>
        <w:tc>
          <w:tcPr>
            <w:tcW w:type="dxa" w:w="1368"/>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Backend Lead</w:t>
            </w:r>
          </w:p>
        </w:tc>
        <w:tc>
          <w:tcPr>
            <w:tcW w:type="dxa" w:w="936"/>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Low–Medium</w:t>
            </w:r>
          </w:p>
        </w:tc>
      </w:tr>
      <w:tr>
        <w:trPr>
          <w:cantSplit/>
        </w:trPr>
        <w:tc>
          <w:tcPr>
            <w:tcW w:type="dxa" w:w="50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R13</w:t>
            </w:r>
          </w:p>
        </w:tc>
        <w:tc>
          <w:tcPr>
            <w:tcW w:type="dxa" w:w="194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Deployment configuration or secrets are incorrect</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3</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4</w:t>
            </w:r>
          </w:p>
        </w:tc>
        <w:tc>
          <w:tcPr>
            <w:tcW w:type="dxa" w:w="1152"/>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12 — High</w:t>
            </w:r>
          </w:p>
        </w:tc>
        <w:tc>
          <w:tcPr>
            <w:tcW w:type="dxa" w:w="39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Separate development and production settings; store secrets in environment configuration or a managed secret store; verify deployment settings; run smoke tests after release.</w:t>
            </w:r>
          </w:p>
        </w:tc>
        <w:tc>
          <w:tcPr>
            <w:tcW w:type="dxa" w:w="1368"/>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DevOps / Deployment Owner</w:t>
            </w:r>
          </w:p>
        </w:tc>
        <w:tc>
          <w:tcPr>
            <w:tcW w:type="dxa" w:w="936"/>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Low–Medium</w:t>
            </w:r>
          </w:p>
        </w:tc>
      </w:tr>
      <w:tr>
        <w:trPr>
          <w:cantSplit/>
        </w:trPr>
        <w:tc>
          <w:tcPr>
            <w:tcW w:type="dxa" w:w="504"/>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R14</w:t>
            </w:r>
          </w:p>
        </w:tc>
        <w:tc>
          <w:tcPr>
            <w:tcW w:type="dxa" w:w="1944"/>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Analytics show misleading or incomplete metrics</w:t>
            </w:r>
          </w:p>
        </w:tc>
        <w:tc>
          <w:tcPr>
            <w:tcW w:type="dxa" w:w="3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3</w:t>
            </w:r>
          </w:p>
        </w:tc>
        <w:tc>
          <w:tcPr>
            <w:tcW w:type="dxa" w:w="3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3</w:t>
            </w:r>
          </w:p>
        </w:tc>
        <w:tc>
          <w:tcPr>
            <w:tcW w:type="dxa" w:w="1152"/>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9 — Medium</w:t>
            </w:r>
          </w:p>
        </w:tc>
        <w:tc>
          <w:tcPr>
            <w:tcW w:type="dxa" w:w="3960"/>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Define each metric precisely; calculate metrics from stored events; handle missing feedback explicitly; compare dashboard totals with sample records.</w:t>
            </w:r>
          </w:p>
        </w:tc>
        <w:tc>
          <w:tcPr>
            <w:tcW w:type="dxa" w:w="1368"/>
            <w:vAlign w:val="center"/>
            <w:tcMar>
              <w:top w:w="80" w:type="dxa"/>
              <w:start w:w="90" w:type="dxa"/>
              <w:bottom w:w="80" w:type="dxa"/>
              <w:end w:w="90" w:type="dxa"/>
            </w:tcMar>
            <w:shd w:fill="F1F6F8"/>
          </w:tcPr>
          <w:p>
            <w:pPr>
              <w:spacing w:after="30" w:before="20" w:line="240" w:lineRule="auto"/>
            </w:pPr>
            <w:r>
              <w:rPr>
                <w:rFonts w:ascii="Aptos" w:hAnsi="Aptos"/>
                <w:color w:val="2D3748"/>
                <w:sz w:val="14"/>
              </w:rPr>
            </w:r>
            <w:r>
              <w:rPr>
                <w:rFonts w:ascii="Aptos" w:hAnsi="Aptos"/>
                <w:b w:val="0"/>
                <w:color w:val="2D3748"/>
                <w:sz w:val="14"/>
              </w:rPr>
              <w:t>Data/Backend Developer + QA</w:t>
            </w:r>
          </w:p>
        </w:tc>
        <w:tc>
          <w:tcPr>
            <w:tcW w:type="dxa" w:w="936"/>
            <w:vAlign w:val="center"/>
            <w:tcMar>
              <w:top w:w="80" w:type="dxa"/>
              <w:start w:w="90" w:type="dxa"/>
              <w:bottom w:w="80" w:type="dxa"/>
              <w:end w:w="90" w:type="dxa"/>
            </w:tcMar>
            <w:shd w:fill="E5F4EA"/>
          </w:tcPr>
          <w:p>
            <w:pPr>
              <w:spacing w:after="30" w:before="20" w:line="240" w:lineRule="auto"/>
            </w:pPr>
            <w:r>
              <w:rPr>
                <w:rFonts w:ascii="Aptos" w:hAnsi="Aptos"/>
                <w:b/>
                <w:color w:val="236F41"/>
                <w:sz w:val="14"/>
              </w:rPr>
            </w:r>
            <w:r>
              <w:rPr>
                <w:rFonts w:ascii="Aptos" w:hAnsi="Aptos"/>
                <w:b/>
                <w:color w:val="236F41"/>
                <w:sz w:val="14"/>
              </w:rPr>
              <w:t>Low</w:t>
            </w:r>
          </w:p>
        </w:tc>
      </w:tr>
      <w:tr>
        <w:trPr>
          <w:cantSplit/>
        </w:trPr>
        <w:tc>
          <w:tcPr>
            <w:tcW w:type="dxa" w:w="50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R15</w:t>
            </w:r>
          </w:p>
        </w:tc>
        <w:tc>
          <w:tcPr>
            <w:tcW w:type="dxa" w:w="1944"/>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Team members have unclear ownership or duplicated work</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3</w:t>
            </w:r>
          </w:p>
        </w:tc>
        <w:tc>
          <w:tcPr>
            <w:tcW w:type="dxa" w:w="3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3</w:t>
            </w:r>
          </w:p>
        </w:tc>
        <w:tc>
          <w:tcPr>
            <w:tcW w:type="dxa" w:w="1152"/>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9 — Medium</w:t>
            </w:r>
          </w:p>
        </w:tc>
        <w:tc>
          <w:tcPr>
            <w:tcW w:type="dxa" w:w="3960"/>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Assign one owner per feature; document interfaces and deliverables; use a shared task board; review dependencies weekly; integrate work continuously.</w:t>
            </w:r>
          </w:p>
        </w:tc>
        <w:tc>
          <w:tcPr>
            <w:tcW w:type="dxa" w:w="1368"/>
            <w:vAlign w:val="center"/>
            <w:tcMar>
              <w:top w:w="80" w:type="dxa"/>
              <w:start w:w="90" w:type="dxa"/>
              <w:bottom w:w="80" w:type="dxa"/>
              <w:end w:w="90" w:type="dxa"/>
            </w:tcMar>
            <w:shd w:fill="FFFFFF"/>
          </w:tcPr>
          <w:p>
            <w:pPr>
              <w:spacing w:after="30" w:before="20" w:line="240" w:lineRule="auto"/>
            </w:pPr>
            <w:r>
              <w:rPr>
                <w:rFonts w:ascii="Aptos" w:hAnsi="Aptos"/>
                <w:color w:val="2D3748"/>
                <w:sz w:val="14"/>
              </w:rPr>
            </w:r>
            <w:r>
              <w:rPr>
                <w:rFonts w:ascii="Aptos" w:hAnsi="Aptos"/>
                <w:b w:val="0"/>
                <w:color w:val="2D3748"/>
                <w:sz w:val="14"/>
              </w:rPr>
              <w:t>Project Manager + Team</w:t>
            </w:r>
          </w:p>
        </w:tc>
        <w:tc>
          <w:tcPr>
            <w:tcW w:type="dxa" w:w="936"/>
            <w:vAlign w:val="center"/>
            <w:tcMar>
              <w:top w:w="80" w:type="dxa"/>
              <w:start w:w="90" w:type="dxa"/>
              <w:bottom w:w="80" w:type="dxa"/>
              <w:end w:w="90" w:type="dxa"/>
            </w:tcMar>
            <w:shd w:fill="E5F4EA"/>
          </w:tcPr>
          <w:p>
            <w:pPr>
              <w:spacing w:after="30" w:before="20" w:line="240" w:lineRule="auto"/>
            </w:pPr>
            <w:r>
              <w:rPr>
                <w:rFonts w:ascii="Aptos" w:hAnsi="Aptos"/>
                <w:b/>
                <w:color w:val="236F41"/>
                <w:sz w:val="14"/>
              </w:rPr>
            </w:r>
            <w:r>
              <w:rPr>
                <w:rFonts w:ascii="Aptos" w:hAnsi="Aptos"/>
                <w:b/>
                <w:color w:val="236F41"/>
                <w:sz w:val="14"/>
              </w:rPr>
              <w:t>Low</w:t>
            </w:r>
          </w:p>
        </w:tc>
      </w:tr>
    </w:tbl>
    <w:p/>
    <w:p>
      <w:r>
        <w:rPr>
          <w:i/>
        </w:rPr>
        <w:t>*Residual risk is a preliminary estimate after the proposed controls; it should be confirmed by the team.</w:t>
      </w:r>
    </w:p>
    <w:p>
      <w:pPr>
        <w:pStyle w:val="Heading1"/>
        <w:keepNext/>
        <w:pBdr>
          <w:bottom w:val="single" w:sz="8" w:space="3" w:color="00A0A8"/>
        </w:pBdr>
      </w:pPr>
      <w:r>
        <w:t>5. Top Risks Requiring Early Attention</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1944"/>
            <w:vAlign w:val="center"/>
            <w:shd w:fill="143153"/>
            <w:tcMar>
              <w:top w:w="80" w:type="dxa"/>
              <w:start w:w="90" w:type="dxa"/>
              <w:bottom w:w="80" w:type="dxa"/>
              <w:end w:w="90" w:type="dxa"/>
            </w:tcMar>
          </w:tcPr>
          <w:p>
            <w:pPr>
              <w:spacing w:after="30" w:before="20" w:line="240" w:lineRule="auto"/>
            </w:pPr>
            <w:r>
              <w:rPr>
                <w:rFonts w:ascii="Aptos" w:hAnsi="Aptos"/>
                <w:b/>
                <w:color w:val="FFFFFF"/>
                <w:sz w:val="16"/>
              </w:rPr>
            </w:r>
            <w:r>
              <w:rPr>
                <w:rFonts w:ascii="Aptos" w:hAnsi="Aptos"/>
                <w:b/>
                <w:color w:val="FFFFFF"/>
                <w:sz w:val="16"/>
              </w:rPr>
              <w:t>Priority Area</w:t>
            </w:r>
          </w:p>
        </w:tc>
        <w:tc>
          <w:tcPr>
            <w:tcW w:type="dxa" w:w="3816"/>
            <w:vAlign w:val="center"/>
            <w:shd w:fill="143153"/>
            <w:tcMar>
              <w:top w:w="80" w:type="dxa"/>
              <w:start w:w="90" w:type="dxa"/>
              <w:bottom w:w="80" w:type="dxa"/>
              <w:end w:w="90" w:type="dxa"/>
            </w:tcMar>
          </w:tcPr>
          <w:p>
            <w:pPr>
              <w:spacing w:after="30" w:before="20" w:line="240" w:lineRule="auto"/>
            </w:pPr>
            <w:r>
              <w:rPr>
                <w:rFonts w:ascii="Aptos" w:hAnsi="Aptos"/>
                <w:b/>
                <w:color w:val="FFFFFF"/>
                <w:sz w:val="16"/>
              </w:rPr>
            </w:r>
            <w:r>
              <w:rPr>
                <w:rFonts w:ascii="Aptos" w:hAnsi="Aptos"/>
                <w:b/>
                <w:color w:val="FFFFFF"/>
                <w:sz w:val="16"/>
              </w:rPr>
              <w:t>Why It Matters</w:t>
            </w:r>
          </w:p>
        </w:tc>
        <w:tc>
          <w:tcPr>
            <w:tcW w:type="dxa" w:w="4320"/>
            <w:vAlign w:val="center"/>
            <w:shd w:fill="143153"/>
            <w:tcMar>
              <w:top w:w="80" w:type="dxa"/>
              <w:start w:w="90" w:type="dxa"/>
              <w:bottom w:w="80" w:type="dxa"/>
              <w:end w:w="90" w:type="dxa"/>
            </w:tcMar>
          </w:tcPr>
          <w:p>
            <w:pPr>
              <w:spacing w:after="30" w:before="20" w:line="240" w:lineRule="auto"/>
            </w:pPr>
            <w:r>
              <w:rPr>
                <w:rFonts w:ascii="Aptos" w:hAnsi="Aptos"/>
                <w:b/>
                <w:color w:val="FFFFFF"/>
                <w:sz w:val="16"/>
              </w:rPr>
            </w:r>
            <w:r>
              <w:rPr>
                <w:rFonts w:ascii="Aptos" w:hAnsi="Aptos"/>
                <w:b/>
                <w:color w:val="FFFFFF"/>
                <w:sz w:val="16"/>
              </w:rPr>
              <w:t>Immediate Action</w:t>
            </w:r>
          </w:p>
        </w:tc>
      </w:tr>
      <w:tr>
        <w:trPr>
          <w:cantSplit/>
        </w:trPr>
        <w:tc>
          <w:tcPr>
            <w:tcW w:type="dxa" w:w="1944"/>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1. AI answer quality</w:t>
            </w:r>
          </w:p>
        </w:tc>
        <w:tc>
          <w:tcPr>
            <w:tcW w:type="dxa" w:w="3816"/>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The product’s main value depends on trustworthy support answers. A wrong answer can frustrate customers or lead them to take an incorrect action.</w:t>
            </w:r>
          </w:p>
        </w:tc>
        <w:tc>
          <w:tcPr>
            <w:tcW w:type="dxa" w:w="4320"/>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Test common and edge-case questions; use retrieval from approved articles; provide a clear human escalation path.</w:t>
            </w:r>
          </w:p>
        </w:tc>
      </w:tr>
      <w:tr>
        <w:trPr>
          <w:cantSplit/>
        </w:trPr>
        <w:tc>
          <w:tcPr>
            <w:tcW w:type="dxa" w:w="1944"/>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2. Privacy and access control</w:t>
            </w:r>
          </w:p>
        </w:tc>
        <w:tc>
          <w:tcPr>
            <w:tcW w:type="dxa" w:w="3816"/>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The system stores conversations and may process personal information. A permissions or logging mistake could expose data.</w:t>
            </w:r>
          </w:p>
        </w:tc>
        <w:tc>
          <w:tcPr>
            <w:tcW w:type="dxa" w:w="4320"/>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Design role permissions and data handling early; never rely on the AI model to enforce authorization.</w:t>
            </w:r>
          </w:p>
        </w:tc>
      </w:tr>
      <w:tr>
        <w:trPr>
          <w:cantSplit/>
        </w:trPr>
        <w:tc>
          <w:tcPr>
            <w:tcW w:type="dxa" w:w="1944"/>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3. Tool/action safety</w:t>
            </w:r>
          </w:p>
        </w:tc>
        <w:tc>
          <w:tcPr>
            <w:tcW w:type="dxa" w:w="3816"/>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The AI may request an action such as checking an order or initiating a refund. The server must decide whether the action is valid and permitted.</w:t>
            </w:r>
          </w:p>
        </w:tc>
        <w:tc>
          <w:tcPr>
            <w:tcW w:type="dxa" w:w="4320"/>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Validate inputs and permissions in C# services; require approval for high-impact actions; maintain an audit trail.</w:t>
            </w:r>
          </w:p>
        </w:tc>
      </w:tr>
      <w:tr>
        <w:trPr>
          <w:cantSplit/>
        </w:trPr>
        <w:tc>
          <w:tcPr>
            <w:tcW w:type="dxa" w:w="1944"/>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4. Scope and integration complexity</w:t>
            </w:r>
          </w:p>
        </w:tc>
        <w:tc>
          <w:tcPr>
            <w:tcW w:type="dxa" w:w="3816"/>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The proposal includes many technologies and advanced capabilities. Attempting all of them at once creates schedule and integration risks.</w:t>
            </w:r>
          </w:p>
        </w:tc>
        <w:tc>
          <w:tcPr>
            <w:tcW w:type="dxa" w:w="4320"/>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Deliver a small end-to-end MVP first, then add features in priority order.</w:t>
            </w:r>
          </w:p>
        </w:tc>
      </w:tr>
    </w:tbl>
    <w:p/>
    <w:p>
      <w:pPr>
        <w:pStyle w:val="Heading1"/>
        <w:keepNext/>
        <w:pBdr>
          <w:bottom w:val="single" w:sz="8" w:space="3" w:color="00A0A8"/>
        </w:pBdr>
      </w:pPr>
      <w:r>
        <w:t>6. Recommended Minimum Viable Product (MVP)</w:t>
      </w:r>
    </w:p>
    <w:p>
      <w:r>
        <w:t>To reduce schedule and integration risk, the team should first aim to demonstrate one complete, reliable workflow rather than every advanced feature in the proposal.</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936"/>
            <w:vAlign w:val="center"/>
            <w:shd w:fill="143153"/>
            <w:tcMar>
              <w:top w:w="80" w:type="dxa"/>
              <w:start w:w="90" w:type="dxa"/>
              <w:bottom w:w="80" w:type="dxa"/>
              <w:end w:w="90" w:type="dxa"/>
            </w:tcMar>
          </w:tcPr>
          <w:p>
            <w:pPr>
              <w:spacing w:after="30" w:before="20" w:line="240" w:lineRule="auto"/>
            </w:pPr>
            <w:r>
              <w:rPr>
                <w:rFonts w:ascii="Aptos" w:hAnsi="Aptos"/>
                <w:b/>
                <w:color w:val="FFFFFF"/>
                <w:sz w:val="16"/>
              </w:rPr>
            </w:r>
            <w:r>
              <w:rPr>
                <w:rFonts w:ascii="Aptos" w:hAnsi="Aptos"/>
                <w:b/>
                <w:color w:val="FFFFFF"/>
                <w:sz w:val="16"/>
              </w:rPr>
              <w:t>Step</w:t>
            </w:r>
          </w:p>
        </w:tc>
        <w:tc>
          <w:tcPr>
            <w:tcW w:type="dxa" w:w="8928"/>
            <w:vAlign w:val="center"/>
            <w:shd w:fill="143153"/>
            <w:tcMar>
              <w:top w:w="80" w:type="dxa"/>
              <w:start w:w="90" w:type="dxa"/>
              <w:bottom w:w="80" w:type="dxa"/>
              <w:end w:w="90" w:type="dxa"/>
            </w:tcMar>
          </w:tcPr>
          <w:p>
            <w:pPr>
              <w:spacing w:after="30" w:before="20" w:line="240" w:lineRule="auto"/>
            </w:pPr>
            <w:r>
              <w:rPr>
                <w:rFonts w:ascii="Aptos" w:hAnsi="Aptos"/>
                <w:b/>
                <w:color w:val="FFFFFF"/>
                <w:sz w:val="16"/>
              </w:rPr>
            </w:r>
            <w:r>
              <w:rPr>
                <w:rFonts w:ascii="Aptos" w:hAnsi="Aptos"/>
                <w:b/>
                <w:color w:val="FFFFFF"/>
                <w:sz w:val="16"/>
              </w:rPr>
              <w:t>MVP Capability</w:t>
            </w:r>
          </w:p>
        </w:tc>
      </w:tr>
      <w:tr>
        <w:trPr>
          <w:cantSplit/>
        </w:trPr>
        <w:tc>
          <w:tcPr>
            <w:tcW w:type="dxa" w:w="936"/>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1</w:t>
            </w:r>
          </w:p>
        </w:tc>
        <w:tc>
          <w:tcPr>
            <w:tcW w:type="dxa" w:w="8928"/>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Customer sends a message and receives an AI response.</w:t>
            </w:r>
          </w:p>
        </w:tc>
      </w:tr>
      <w:tr>
        <w:trPr>
          <w:cantSplit/>
        </w:trPr>
        <w:tc>
          <w:tcPr>
            <w:tcW w:type="dxa" w:w="936"/>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2</w:t>
            </w:r>
          </w:p>
        </w:tc>
        <w:tc>
          <w:tcPr>
            <w:tcW w:type="dxa" w:w="8928"/>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The AI searches a small, curated FAQ/knowledge base before answering support questions.</w:t>
            </w:r>
          </w:p>
        </w:tc>
      </w:tr>
      <w:tr>
        <w:trPr>
          <w:cantSplit/>
        </w:trPr>
        <w:tc>
          <w:tcPr>
            <w:tcW w:type="dxa" w:w="936"/>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3</w:t>
            </w:r>
          </w:p>
        </w:tc>
        <w:tc>
          <w:tcPr>
            <w:tcW w:type="dxa" w:w="8928"/>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Conversation messages are saved in the database.</w:t>
            </w:r>
          </w:p>
        </w:tc>
      </w:tr>
      <w:tr>
        <w:trPr>
          <w:cantSplit/>
        </w:trPr>
        <w:tc>
          <w:tcPr>
            <w:tcW w:type="dxa" w:w="936"/>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4</w:t>
            </w:r>
          </w:p>
        </w:tc>
        <w:tc>
          <w:tcPr>
            <w:tcW w:type="dxa" w:w="8928"/>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The system creates a support ticket and transfers the case when the answer is uncertain or the customer requests a person.</w:t>
            </w:r>
          </w:p>
        </w:tc>
      </w:tr>
      <w:tr>
        <w:trPr>
          <w:cantSplit/>
        </w:trPr>
        <w:tc>
          <w:tcPr>
            <w:tcW w:type="dxa" w:w="936"/>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5</w:t>
            </w:r>
          </w:p>
        </w:tc>
        <w:tc>
          <w:tcPr>
            <w:tcW w:type="dxa" w:w="8928"/>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A support agent can view the ticket and conversation summary.</w:t>
            </w:r>
          </w:p>
        </w:tc>
      </w:tr>
      <w:tr>
        <w:trPr>
          <w:cantSplit/>
        </w:trPr>
        <w:tc>
          <w:tcPr>
            <w:tcW w:type="dxa" w:w="936"/>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6</w:t>
            </w:r>
          </w:p>
        </w:tc>
        <w:tc>
          <w:tcPr>
            <w:tcW w:type="dxa" w:w="8928"/>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Basic authentication, role-based access, error handling, and audit logging are in place.</w:t>
            </w:r>
          </w:p>
        </w:tc>
      </w:tr>
    </w:tbl>
    <w:p/>
    <w:p>
      <w:r>
        <w:t>Features such as advanced A/B testing, automatic knowledge-base improvement, sophisticated learning loops, and extensive analytics can be considered after the core workflow is stable.</w:t>
      </w:r>
    </w:p>
    <w:p>
      <w:pPr>
        <w:pStyle w:val="Heading1"/>
        <w:keepNext/>
        <w:pBdr>
          <w:bottom w:val="single" w:sz="8" w:space="3" w:color="00A0A8"/>
        </w:pBdr>
      </w:pPr>
      <w:r>
        <w:t>7. Risk Monitoring and Review</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160"/>
            <w:vAlign w:val="center"/>
            <w:shd w:fill="143153"/>
            <w:tcMar>
              <w:top w:w="80" w:type="dxa"/>
              <w:start w:w="90" w:type="dxa"/>
              <w:bottom w:w="80" w:type="dxa"/>
              <w:end w:w="90" w:type="dxa"/>
            </w:tcMar>
          </w:tcPr>
          <w:p>
            <w:pPr>
              <w:spacing w:after="30" w:before="20" w:line="240" w:lineRule="auto"/>
            </w:pPr>
            <w:r>
              <w:rPr>
                <w:rFonts w:ascii="Aptos" w:hAnsi="Aptos"/>
                <w:b/>
                <w:color w:val="FFFFFF"/>
                <w:sz w:val="16"/>
              </w:rPr>
            </w:r>
            <w:r>
              <w:rPr>
                <w:rFonts w:ascii="Aptos" w:hAnsi="Aptos"/>
                <w:b/>
                <w:color w:val="FFFFFF"/>
                <w:sz w:val="16"/>
              </w:rPr>
              <w:t>When</w:t>
            </w:r>
          </w:p>
        </w:tc>
        <w:tc>
          <w:tcPr>
            <w:tcW w:type="dxa" w:w="7704"/>
            <w:vAlign w:val="center"/>
            <w:shd w:fill="143153"/>
            <w:tcMar>
              <w:top w:w="80" w:type="dxa"/>
              <w:start w:w="90" w:type="dxa"/>
              <w:bottom w:w="80" w:type="dxa"/>
              <w:end w:w="90" w:type="dxa"/>
            </w:tcMar>
          </w:tcPr>
          <w:p>
            <w:pPr>
              <w:spacing w:after="30" w:before="20" w:line="240" w:lineRule="auto"/>
            </w:pPr>
            <w:r>
              <w:rPr>
                <w:rFonts w:ascii="Aptos" w:hAnsi="Aptos"/>
                <w:b/>
                <w:color w:val="FFFFFF"/>
                <w:sz w:val="16"/>
              </w:rPr>
            </w:r>
            <w:r>
              <w:rPr>
                <w:rFonts w:ascii="Aptos" w:hAnsi="Aptos"/>
                <w:b/>
                <w:color w:val="FFFFFF"/>
                <w:sz w:val="16"/>
              </w:rPr>
              <w:t>Review Activity</w:t>
            </w:r>
          </w:p>
        </w:tc>
      </w:tr>
      <w:tr>
        <w:trPr>
          <w:cantSplit/>
        </w:trPr>
        <w:tc>
          <w:tcPr>
            <w:tcW w:type="dxa" w:w="2160"/>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Weekly</w:t>
            </w:r>
          </w:p>
        </w:tc>
        <w:tc>
          <w:tcPr>
            <w:tcW w:type="dxa" w:w="7704"/>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Review open risks, changes in likelihood/impact, blocked tasks, and mitigation owners.</w:t>
            </w:r>
          </w:p>
        </w:tc>
      </w:tr>
      <w:tr>
        <w:trPr>
          <w:cantSplit/>
        </w:trPr>
        <w:tc>
          <w:tcPr>
            <w:tcW w:type="dxa" w:w="2160"/>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At each milestone</w:t>
            </w:r>
          </w:p>
        </w:tc>
        <w:tc>
          <w:tcPr>
            <w:tcW w:type="dxa" w:w="7704"/>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Re-score the highest risks and verify that planned controls have been implemented and tested.</w:t>
            </w:r>
          </w:p>
        </w:tc>
      </w:tr>
      <w:tr>
        <w:trPr>
          <w:cantSplit/>
        </w:trPr>
        <w:tc>
          <w:tcPr>
            <w:tcW w:type="dxa" w:w="2160"/>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Before deployment</w:t>
            </w:r>
          </w:p>
        </w:tc>
        <w:tc>
          <w:tcPr>
            <w:tcW w:type="dxa" w:w="7704"/>
            <w:vAlign w:val="center"/>
            <w:tcMar>
              <w:top w:w="80" w:type="dxa"/>
              <w:start w:w="90" w:type="dxa"/>
              <w:bottom w:w="80" w:type="dxa"/>
              <w:end w:w="90" w:type="dxa"/>
            </w:tcMar>
            <w:shd w:fill="FFFFFF"/>
          </w:tcPr>
          <w:p>
            <w:pPr>
              <w:spacing w:after="30" w:before="20" w:line="240" w:lineRule="auto"/>
            </w:pPr>
            <w:r>
              <w:rPr>
                <w:rFonts w:ascii="Aptos" w:hAnsi="Aptos"/>
                <w:color w:val="2D3748"/>
                <w:sz w:val="16"/>
              </w:rPr>
            </w:r>
            <w:r>
              <w:rPr>
                <w:rFonts w:ascii="Aptos" w:hAnsi="Aptos"/>
                <w:b w:val="0"/>
                <w:color w:val="2D3748"/>
                <w:sz w:val="16"/>
              </w:rPr>
              <w:t>Check authorization, sensitive-data handling, API-key storage, error/fallback behavior, and the escalation workflow.</w:t>
            </w:r>
          </w:p>
        </w:tc>
      </w:tr>
      <w:tr>
        <w:trPr>
          <w:cantSplit/>
        </w:trPr>
        <w:tc>
          <w:tcPr>
            <w:tcW w:type="dxa" w:w="2160"/>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After a demo or user test</w:t>
            </w:r>
          </w:p>
        </w:tc>
        <w:tc>
          <w:tcPr>
            <w:tcW w:type="dxa" w:w="7704"/>
            <w:vAlign w:val="center"/>
            <w:tcMar>
              <w:top w:w="80" w:type="dxa"/>
              <w:start w:w="90" w:type="dxa"/>
              <w:bottom w:w="80" w:type="dxa"/>
              <w:end w:w="90" w:type="dxa"/>
            </w:tcMar>
            <w:shd w:fill="F1F6F8"/>
          </w:tcPr>
          <w:p>
            <w:pPr>
              <w:spacing w:after="30" w:before="20" w:line="240" w:lineRule="auto"/>
            </w:pPr>
            <w:r>
              <w:rPr>
                <w:rFonts w:ascii="Aptos" w:hAnsi="Aptos"/>
                <w:color w:val="2D3748"/>
                <w:sz w:val="16"/>
              </w:rPr>
            </w:r>
            <w:r>
              <w:rPr>
                <w:rFonts w:ascii="Aptos" w:hAnsi="Aptos"/>
                <w:b w:val="0"/>
                <w:color w:val="2D3748"/>
                <w:sz w:val="16"/>
              </w:rPr>
              <w:t>Review inaccurate answers, failed searches, abandoned chats, escalation outcomes, and user feedback.</w:t>
            </w:r>
          </w:p>
        </w:tc>
      </w:tr>
    </w:tbl>
    <w:p/>
    <w:p>
      <w:pPr>
        <w:pStyle w:val="Heading1"/>
        <w:keepNext/>
        <w:pBdr>
          <w:bottom w:val="single" w:sz="8" w:space="3" w:color="00A0A8"/>
        </w:pBdr>
      </w:pPr>
      <w:r>
        <w:t>8. Conclusion</w:t>
      </w:r>
    </w:p>
    <w:p>
      <w:r>
        <w:t>The main risks for SmartSupport AI are unreliable AI answers, privacy and authorization failures, unsafe tool execution, dependency on external services, and the complexity of integrating multiple technologies within the project timeline. These risks can be reduced by keeping the initial scope focused, validating every action on the server, grounding answers in approved knowledge, preserving a human handoff, and testing the complete workflow early.</w:t>
      </w:r>
    </w:p>
    <w:p>
      <w:r>
        <w:t>Stakeholder engagement is equally important: customers need understandable and dependable help, agents need a useful escalation workflow, administrators need secure controls, and the project team needs clear ownership and achievable milestones. The risk register should be treated as a living document and updated throughout development.</w:t>
      </w:r>
    </w:p>
    <w:sectPr w:rsidR="00FC693F" w:rsidRPr="0006063C" w:rsidSect="00034616">
      <w:headerReference w:type="default" r:id="rId9"/>
      <w:footerReference w:type="default" r:id="rId10"/>
      <w:pgSz w:w="12240" w:h="15840"/>
      <w:pgMar w:top="1037" w:right="1037" w:bottom="979"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07D"/>
        <w:sz w:val="15"/>
      </w:rPr>
      <w:t xml:space="preserve">Project 5 — Risk Assessment &amp; Stakeholder Analysis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Aptos" w:hAnsi="Aptos"/>
        <w:b/>
        <w:color w:val="007080"/>
        <w:sz w:val="15"/>
      </w:rPr>
      <w:t>SMARTSUPPORT AI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315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7080"/>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431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315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SmartSupport AI — Risk Assessment and Stakeholder Analysis</dc:title>
  <dc:subject>Project 5: Agentic AI Customer Support Platform</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