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7484F" w14:textId="77777777" w:rsidR="00C9697D" w:rsidRDefault="00000000">
      <w:pPr>
        <w:pStyle w:val="Title"/>
        <w:rPr>
          <w:i/>
          <w:u w:val="single"/>
        </w:rPr>
      </w:pPr>
      <w:bookmarkStart w:id="0" w:name="_gjdgxs" w:colFirst="0" w:colLast="0"/>
      <w:bookmarkEnd w:id="0"/>
      <w:r>
        <w:t>Minimum Viable Product Plan Vision &amp; Justifications</w:t>
      </w:r>
    </w:p>
    <w:p w14:paraId="43EDD371" w14:textId="77777777" w:rsidR="00C9697D" w:rsidRDefault="00C9697D"/>
    <w:p w14:paraId="15D5809A" w14:textId="77777777" w:rsidR="00C9697D" w:rsidRDefault="00000000">
      <w:pPr>
        <w:pStyle w:val="Heading1"/>
      </w:pPr>
      <w:bookmarkStart w:id="1" w:name="_30j0zll" w:colFirst="0" w:colLast="0"/>
      <w:bookmarkEnd w:id="1"/>
      <w:r>
        <w:t>Product Vision</w:t>
      </w:r>
    </w:p>
    <w:p w14:paraId="3AB352A9" w14:textId="77777777" w:rsidR="00C9697D" w:rsidRDefault="00000000">
      <w:pPr>
        <w:rPr>
          <w:i/>
        </w:rPr>
      </w:pPr>
      <w:r>
        <w:rPr>
          <w:i/>
          <w:u w:val="single"/>
        </w:rPr>
        <w:t>Instructions</w:t>
      </w:r>
      <w:r>
        <w:rPr>
          <w:i/>
        </w:rPr>
        <w:t>: Create a vision for the product. The vision should include the intended target market or population and the outcome you are attempting to achieve.</w:t>
      </w:r>
    </w:p>
    <w:p w14:paraId="0C76F883" w14:textId="77777777" w:rsidR="00C9697D" w:rsidRDefault="00C9697D"/>
    <w:tbl>
      <w:tblPr>
        <w:tblStyle w:val="a"/>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1220"/>
      </w:tblGrid>
      <w:tr w:rsidR="00C9697D" w14:paraId="542C4338" w14:textId="77777777">
        <w:tc>
          <w:tcPr>
            <w:tcW w:w="1725" w:type="dxa"/>
            <w:shd w:val="clear" w:color="auto" w:fill="auto"/>
            <w:tcMar>
              <w:top w:w="100" w:type="dxa"/>
              <w:left w:w="100" w:type="dxa"/>
              <w:bottom w:w="100" w:type="dxa"/>
              <w:right w:w="100" w:type="dxa"/>
            </w:tcMar>
          </w:tcPr>
          <w:p w14:paraId="4B286845" w14:textId="77777777" w:rsidR="00C9697D" w:rsidRDefault="00000000">
            <w:pPr>
              <w:widowControl w:val="0"/>
              <w:spacing w:line="240" w:lineRule="auto"/>
              <w:jc w:val="center"/>
              <w:rPr>
                <w:b/>
              </w:rPr>
            </w:pPr>
            <w:r>
              <w:rPr>
                <w:b/>
              </w:rPr>
              <w:t>Product Vision</w:t>
            </w:r>
          </w:p>
        </w:tc>
        <w:tc>
          <w:tcPr>
            <w:tcW w:w="11220" w:type="dxa"/>
            <w:shd w:val="clear" w:color="auto" w:fill="auto"/>
            <w:tcMar>
              <w:top w:w="100" w:type="dxa"/>
              <w:left w:w="100" w:type="dxa"/>
              <w:bottom w:w="100" w:type="dxa"/>
              <w:right w:w="100" w:type="dxa"/>
            </w:tcMar>
          </w:tcPr>
          <w:p w14:paraId="6834FF1F" w14:textId="5CB92DE7" w:rsidR="00C9697D" w:rsidRDefault="00832351" w:rsidP="00832351">
            <w:pPr>
              <w:widowControl w:val="0"/>
              <w:spacing w:line="240" w:lineRule="auto"/>
            </w:pPr>
            <w:r w:rsidRPr="00832351">
              <w:t xml:space="preserve">o </w:t>
            </w:r>
            <w:proofErr w:type="gramStart"/>
            <w:r w:rsidRPr="00832351">
              <w:t>create</w:t>
            </w:r>
            <w:proofErr w:type="gramEnd"/>
            <w:r w:rsidRPr="00832351">
              <w:t xml:space="preserve"> a centralized, real-time digital platform that enables individuals, healthcare providers, and government agencies across the U.S. to report cases, monitor virus spread, and track test kit distribution—supporting early detection, resource allocation, and informed public health decisions to reduce transmission and accelerate response efforts.</w:t>
            </w:r>
          </w:p>
        </w:tc>
      </w:tr>
    </w:tbl>
    <w:p w14:paraId="411B97F5" w14:textId="77777777" w:rsidR="00C9697D" w:rsidRDefault="00C9697D"/>
    <w:p w14:paraId="5AA158F6" w14:textId="77777777" w:rsidR="00C9697D" w:rsidRDefault="00000000">
      <w:pPr>
        <w:pStyle w:val="Heading1"/>
      </w:pPr>
      <w:bookmarkStart w:id="2" w:name="_1fob9te" w:colFirst="0" w:colLast="0"/>
      <w:bookmarkEnd w:id="2"/>
      <w:r>
        <w:t>Product Roadmap Justifications</w:t>
      </w:r>
    </w:p>
    <w:p w14:paraId="7ADEAFBA" w14:textId="77777777" w:rsidR="00C9697D" w:rsidRDefault="00000000">
      <w:pPr>
        <w:rPr>
          <w:i/>
        </w:rPr>
      </w:pPr>
      <w:r>
        <w:rPr>
          <w:i/>
          <w:u w:val="single"/>
        </w:rPr>
        <w:t>Instructions</w:t>
      </w:r>
      <w:r>
        <w:rPr>
          <w:i/>
        </w:rPr>
        <w:t>: After creating the product roadmap, choose 1 feature in each phase and provide a simple justification for placing that feature into the phase that you put it in.</w:t>
      </w:r>
    </w:p>
    <w:p w14:paraId="4C087505" w14:textId="77777777" w:rsidR="00C9697D" w:rsidRDefault="00C9697D">
      <w:pPr>
        <w:rPr>
          <w:b/>
        </w:rPr>
      </w:pPr>
    </w:p>
    <w:tbl>
      <w:tblPr>
        <w:tblStyle w:val="a0"/>
        <w:tblW w:w="12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05"/>
        <w:gridCol w:w="8880"/>
      </w:tblGrid>
      <w:tr w:rsidR="00C9697D" w14:paraId="2F4D399F" w14:textId="77777777">
        <w:tc>
          <w:tcPr>
            <w:tcW w:w="945" w:type="dxa"/>
            <w:shd w:val="clear" w:color="auto" w:fill="auto"/>
            <w:tcMar>
              <w:top w:w="100" w:type="dxa"/>
              <w:left w:w="100" w:type="dxa"/>
              <w:bottom w:w="100" w:type="dxa"/>
              <w:right w:w="100" w:type="dxa"/>
            </w:tcMar>
          </w:tcPr>
          <w:p w14:paraId="7B7E23CB" w14:textId="77777777" w:rsidR="00C9697D" w:rsidRDefault="00000000">
            <w:pPr>
              <w:jc w:val="center"/>
              <w:rPr>
                <w:b/>
              </w:rPr>
            </w:pPr>
            <w:r>
              <w:rPr>
                <w:b/>
              </w:rPr>
              <w:t xml:space="preserve">Phase </w:t>
            </w:r>
          </w:p>
        </w:tc>
        <w:tc>
          <w:tcPr>
            <w:tcW w:w="3105" w:type="dxa"/>
            <w:shd w:val="clear" w:color="auto" w:fill="auto"/>
            <w:tcMar>
              <w:top w:w="100" w:type="dxa"/>
              <w:left w:w="100" w:type="dxa"/>
              <w:bottom w:w="100" w:type="dxa"/>
              <w:right w:w="100" w:type="dxa"/>
            </w:tcMar>
          </w:tcPr>
          <w:p w14:paraId="313020ED" w14:textId="77777777" w:rsidR="00C9697D" w:rsidRDefault="00000000">
            <w:pPr>
              <w:widowControl w:val="0"/>
              <w:spacing w:line="240" w:lineRule="auto"/>
              <w:jc w:val="center"/>
              <w:rPr>
                <w:b/>
              </w:rPr>
            </w:pPr>
            <w:r>
              <w:rPr>
                <w:b/>
              </w:rPr>
              <w:t>Feature</w:t>
            </w:r>
          </w:p>
        </w:tc>
        <w:tc>
          <w:tcPr>
            <w:tcW w:w="8880" w:type="dxa"/>
            <w:shd w:val="clear" w:color="auto" w:fill="auto"/>
            <w:tcMar>
              <w:top w:w="100" w:type="dxa"/>
              <w:left w:w="100" w:type="dxa"/>
              <w:bottom w:w="100" w:type="dxa"/>
              <w:right w:w="100" w:type="dxa"/>
            </w:tcMar>
          </w:tcPr>
          <w:p w14:paraId="1E6BF971" w14:textId="77777777" w:rsidR="00C9697D" w:rsidRDefault="00000000">
            <w:pPr>
              <w:widowControl w:val="0"/>
              <w:spacing w:line="240" w:lineRule="auto"/>
              <w:jc w:val="center"/>
              <w:rPr>
                <w:b/>
              </w:rPr>
            </w:pPr>
            <w:r>
              <w:rPr>
                <w:b/>
              </w:rPr>
              <w:t xml:space="preserve">Justification </w:t>
            </w:r>
          </w:p>
        </w:tc>
      </w:tr>
      <w:tr w:rsidR="00FC3B95" w14:paraId="66FA9DCE" w14:textId="77777777">
        <w:tc>
          <w:tcPr>
            <w:tcW w:w="945" w:type="dxa"/>
            <w:shd w:val="clear" w:color="auto" w:fill="auto"/>
            <w:tcMar>
              <w:top w:w="100" w:type="dxa"/>
              <w:left w:w="100" w:type="dxa"/>
              <w:bottom w:w="100" w:type="dxa"/>
              <w:right w:w="100" w:type="dxa"/>
            </w:tcMar>
          </w:tcPr>
          <w:p w14:paraId="40A84CDF" w14:textId="6CBF6F16" w:rsidR="00FC3B95" w:rsidRDefault="00FC3B95" w:rsidP="00FC3B95">
            <w:pPr>
              <w:jc w:val="center"/>
            </w:pPr>
            <w:r w:rsidRPr="00140914">
              <w:t>1</w:t>
            </w:r>
          </w:p>
        </w:tc>
        <w:tc>
          <w:tcPr>
            <w:tcW w:w="3105" w:type="dxa"/>
            <w:shd w:val="clear" w:color="auto" w:fill="auto"/>
            <w:tcMar>
              <w:top w:w="100" w:type="dxa"/>
              <w:left w:w="100" w:type="dxa"/>
              <w:bottom w:w="100" w:type="dxa"/>
              <w:right w:w="100" w:type="dxa"/>
            </w:tcMar>
          </w:tcPr>
          <w:p w14:paraId="1399E520" w14:textId="743B8D49" w:rsidR="00FC3B95" w:rsidRDefault="00FC3B95" w:rsidP="00FC3B95">
            <w:pPr>
              <w:widowControl w:val="0"/>
              <w:spacing w:line="240" w:lineRule="auto"/>
            </w:pPr>
            <w:r w:rsidRPr="00140914">
              <w:t>Develop Web Portal application</w:t>
            </w:r>
          </w:p>
        </w:tc>
        <w:tc>
          <w:tcPr>
            <w:tcW w:w="8880" w:type="dxa"/>
            <w:shd w:val="clear" w:color="auto" w:fill="auto"/>
            <w:tcMar>
              <w:top w:w="100" w:type="dxa"/>
              <w:left w:w="100" w:type="dxa"/>
              <w:bottom w:w="100" w:type="dxa"/>
              <w:right w:w="100" w:type="dxa"/>
            </w:tcMar>
          </w:tcPr>
          <w:p w14:paraId="11F7B580" w14:textId="54880210" w:rsidR="00FC3B95" w:rsidRPr="007226D7" w:rsidRDefault="007226D7" w:rsidP="007226D7">
            <w:pPr>
              <w:widowControl w:val="0"/>
              <w:spacing w:line="240" w:lineRule="auto"/>
            </w:pPr>
            <w:r w:rsidRPr="007226D7">
              <w:t xml:space="preserve">This is the simplest and </w:t>
            </w:r>
            <w:r w:rsidRPr="007226D7">
              <w:t>most foundational</w:t>
            </w:r>
            <w:r w:rsidRPr="007226D7">
              <w:t xml:space="preserve"> component to implement. It enables critical user functions like reporting and monitoring needed for MVP outbreak tracking.</w:t>
            </w:r>
            <w:r>
              <w:tab/>
            </w:r>
          </w:p>
        </w:tc>
      </w:tr>
      <w:tr w:rsidR="00FC3B95" w14:paraId="0D6BE66B" w14:textId="77777777">
        <w:tc>
          <w:tcPr>
            <w:tcW w:w="945" w:type="dxa"/>
            <w:shd w:val="clear" w:color="auto" w:fill="auto"/>
            <w:tcMar>
              <w:top w:w="100" w:type="dxa"/>
              <w:left w:w="100" w:type="dxa"/>
              <w:bottom w:w="100" w:type="dxa"/>
              <w:right w:w="100" w:type="dxa"/>
            </w:tcMar>
          </w:tcPr>
          <w:p w14:paraId="3784CB6B" w14:textId="07158160" w:rsidR="00FC3B95" w:rsidRDefault="00FC3B95" w:rsidP="00FC3B95">
            <w:pPr>
              <w:jc w:val="center"/>
            </w:pPr>
            <w:r w:rsidRPr="00140914">
              <w:t>2</w:t>
            </w:r>
          </w:p>
        </w:tc>
        <w:tc>
          <w:tcPr>
            <w:tcW w:w="3105" w:type="dxa"/>
            <w:shd w:val="clear" w:color="auto" w:fill="auto"/>
            <w:tcMar>
              <w:top w:w="100" w:type="dxa"/>
              <w:left w:w="100" w:type="dxa"/>
              <w:bottom w:w="100" w:type="dxa"/>
              <w:right w:w="100" w:type="dxa"/>
            </w:tcMar>
          </w:tcPr>
          <w:p w14:paraId="7C7C8AB4" w14:textId="0E24DA8D" w:rsidR="00FC3B95" w:rsidRDefault="00FC3B95" w:rsidP="00FC3B95">
            <w:pPr>
              <w:widowControl w:val="0"/>
              <w:spacing w:line="240" w:lineRule="auto"/>
            </w:pPr>
            <w:r w:rsidRPr="00140914">
              <w:t>Security Update</w:t>
            </w:r>
          </w:p>
        </w:tc>
        <w:tc>
          <w:tcPr>
            <w:tcW w:w="8880" w:type="dxa"/>
            <w:shd w:val="clear" w:color="auto" w:fill="auto"/>
            <w:tcMar>
              <w:top w:w="100" w:type="dxa"/>
              <w:left w:w="100" w:type="dxa"/>
              <w:bottom w:w="100" w:type="dxa"/>
              <w:right w:w="100" w:type="dxa"/>
            </w:tcMar>
          </w:tcPr>
          <w:p w14:paraId="50E21C7E" w14:textId="3074311D" w:rsidR="00FC3B95" w:rsidRDefault="007226D7" w:rsidP="007226D7">
            <w:pPr>
              <w:widowControl w:val="0"/>
              <w:spacing w:line="240" w:lineRule="auto"/>
            </w:pPr>
            <w:r w:rsidRPr="007226D7">
              <w:t>With increased user interaction post-MVP, securing user data becomes essential. Prioritizing core features first allows quicker initial delivery.</w:t>
            </w:r>
          </w:p>
        </w:tc>
      </w:tr>
      <w:tr w:rsidR="00FC3B95" w14:paraId="0FB1FAD8" w14:textId="77777777">
        <w:tc>
          <w:tcPr>
            <w:tcW w:w="945" w:type="dxa"/>
            <w:shd w:val="clear" w:color="auto" w:fill="auto"/>
            <w:tcMar>
              <w:top w:w="100" w:type="dxa"/>
              <w:left w:w="100" w:type="dxa"/>
              <w:bottom w:w="100" w:type="dxa"/>
              <w:right w:w="100" w:type="dxa"/>
            </w:tcMar>
          </w:tcPr>
          <w:p w14:paraId="7F7345C6" w14:textId="5F110662" w:rsidR="00FC3B95" w:rsidRDefault="00FC3B95" w:rsidP="00FC3B95">
            <w:pPr>
              <w:jc w:val="center"/>
            </w:pPr>
            <w:r w:rsidRPr="00140914">
              <w:t>3</w:t>
            </w:r>
          </w:p>
        </w:tc>
        <w:tc>
          <w:tcPr>
            <w:tcW w:w="3105" w:type="dxa"/>
            <w:shd w:val="clear" w:color="auto" w:fill="auto"/>
            <w:tcMar>
              <w:top w:w="100" w:type="dxa"/>
              <w:left w:w="100" w:type="dxa"/>
              <w:bottom w:w="100" w:type="dxa"/>
              <w:right w:w="100" w:type="dxa"/>
            </w:tcMar>
          </w:tcPr>
          <w:p w14:paraId="0448B1E6" w14:textId="32A58BF5" w:rsidR="00FC3B95" w:rsidRDefault="00FC3B95" w:rsidP="00FC3B95">
            <w:pPr>
              <w:widowControl w:val="0"/>
              <w:spacing w:line="240" w:lineRule="auto"/>
            </w:pPr>
            <w:r w:rsidRPr="00140914">
              <w:t>Develop Android Compatible Mobile App</w:t>
            </w:r>
          </w:p>
        </w:tc>
        <w:tc>
          <w:tcPr>
            <w:tcW w:w="8880" w:type="dxa"/>
            <w:shd w:val="clear" w:color="auto" w:fill="auto"/>
            <w:tcMar>
              <w:top w:w="100" w:type="dxa"/>
              <w:left w:w="100" w:type="dxa"/>
              <w:bottom w:w="100" w:type="dxa"/>
              <w:right w:w="100" w:type="dxa"/>
            </w:tcMar>
          </w:tcPr>
          <w:p w14:paraId="73DD667F" w14:textId="5286E108" w:rsidR="00FC3B95" w:rsidRDefault="007226D7" w:rsidP="007226D7">
            <w:pPr>
              <w:widowControl w:val="0"/>
              <w:spacing w:line="240" w:lineRule="auto"/>
            </w:pPr>
            <w:r w:rsidRPr="007226D7">
              <w:t>After stabilizing the web and iOS platforms, Android support expands reach—especially in underserved areas that primarily use Android devices.</w:t>
            </w:r>
          </w:p>
        </w:tc>
      </w:tr>
      <w:tr w:rsidR="00FC3B95" w14:paraId="3580CC4E" w14:textId="77777777">
        <w:tc>
          <w:tcPr>
            <w:tcW w:w="945" w:type="dxa"/>
            <w:shd w:val="clear" w:color="auto" w:fill="auto"/>
            <w:tcMar>
              <w:top w:w="100" w:type="dxa"/>
              <w:left w:w="100" w:type="dxa"/>
              <w:bottom w:w="100" w:type="dxa"/>
              <w:right w:w="100" w:type="dxa"/>
            </w:tcMar>
          </w:tcPr>
          <w:p w14:paraId="39F0E8BE" w14:textId="2B2EB485" w:rsidR="00FC3B95" w:rsidRDefault="00FC3B95" w:rsidP="00FC3B95">
            <w:pPr>
              <w:jc w:val="center"/>
            </w:pPr>
            <w:r w:rsidRPr="00140914">
              <w:t>4</w:t>
            </w:r>
          </w:p>
        </w:tc>
        <w:tc>
          <w:tcPr>
            <w:tcW w:w="3105" w:type="dxa"/>
            <w:shd w:val="clear" w:color="auto" w:fill="auto"/>
            <w:tcMar>
              <w:top w:w="100" w:type="dxa"/>
              <w:left w:w="100" w:type="dxa"/>
              <w:bottom w:w="100" w:type="dxa"/>
              <w:right w:w="100" w:type="dxa"/>
            </w:tcMar>
          </w:tcPr>
          <w:p w14:paraId="6A1D844F" w14:textId="35F6D47F" w:rsidR="00FC3B95" w:rsidRDefault="00FC3B95" w:rsidP="00FC3B95">
            <w:pPr>
              <w:widowControl w:val="0"/>
              <w:spacing w:line="240" w:lineRule="auto"/>
            </w:pPr>
            <w:r w:rsidRPr="00140914">
              <w:t>Customizable/Interactive Dashboard</w:t>
            </w:r>
          </w:p>
        </w:tc>
        <w:tc>
          <w:tcPr>
            <w:tcW w:w="8880" w:type="dxa"/>
            <w:shd w:val="clear" w:color="auto" w:fill="auto"/>
            <w:tcMar>
              <w:top w:w="100" w:type="dxa"/>
              <w:left w:w="100" w:type="dxa"/>
              <w:bottom w:w="100" w:type="dxa"/>
              <w:right w:w="100" w:type="dxa"/>
            </w:tcMar>
          </w:tcPr>
          <w:p w14:paraId="0969A8E3" w14:textId="5049292C" w:rsidR="00FC3B95" w:rsidRDefault="007226D7" w:rsidP="007226D7">
            <w:pPr>
              <w:widowControl w:val="0"/>
              <w:spacing w:line="240" w:lineRule="auto"/>
            </w:pPr>
            <w:r w:rsidRPr="007226D7">
              <w:t>While valuable for long-term insights, dashboards are more complex and not critical for early response, making them suitable for a later development phase.</w:t>
            </w:r>
          </w:p>
        </w:tc>
      </w:tr>
    </w:tbl>
    <w:p w14:paraId="292A9CE3" w14:textId="77777777" w:rsidR="00C9697D" w:rsidRDefault="00C9697D"/>
    <w:p w14:paraId="62D16E0E" w14:textId="77777777" w:rsidR="00C9697D" w:rsidRDefault="00C9697D"/>
    <w:p w14:paraId="1777F4C4" w14:textId="77777777" w:rsidR="00C9697D" w:rsidRDefault="00C9697D"/>
    <w:p w14:paraId="6FF5C955" w14:textId="77777777" w:rsidR="00C9697D" w:rsidRDefault="00000000">
      <w:pPr>
        <w:pStyle w:val="Heading1"/>
      </w:pPr>
      <w:bookmarkStart w:id="3" w:name="_3znysh7" w:colFirst="0" w:colLast="0"/>
      <w:bookmarkEnd w:id="3"/>
      <w:r>
        <w:t>MVP User Story Justification</w:t>
      </w:r>
    </w:p>
    <w:p w14:paraId="4339C2AE" w14:textId="77777777" w:rsidR="00C9697D" w:rsidRDefault="00000000">
      <w:pPr>
        <w:rPr>
          <w:i/>
        </w:rPr>
      </w:pPr>
      <w:r>
        <w:rPr>
          <w:i/>
          <w:u w:val="single"/>
        </w:rPr>
        <w:t>Instructions</w:t>
      </w:r>
      <w:r>
        <w:rPr>
          <w:i/>
        </w:rPr>
        <w:t xml:space="preserve">: Pick one user story in the MVP and justify why that user story belongs in the MVP. Then pick one user story that is </w:t>
      </w:r>
      <w:r>
        <w:rPr>
          <w:b/>
          <w:i/>
        </w:rPr>
        <w:t>not</w:t>
      </w:r>
      <w:r>
        <w:rPr>
          <w:i/>
        </w:rPr>
        <w:t xml:space="preserve"> in the MVP and justify why that user story doesn’t belong in the MVP.</w:t>
      </w:r>
    </w:p>
    <w:p w14:paraId="19EE7058" w14:textId="77777777" w:rsidR="00C9697D" w:rsidRDefault="00C9697D"/>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105"/>
        <w:gridCol w:w="7920"/>
      </w:tblGrid>
      <w:tr w:rsidR="00C9697D" w14:paraId="0D77DCF1" w14:textId="77777777">
        <w:tc>
          <w:tcPr>
            <w:tcW w:w="1935" w:type="dxa"/>
            <w:shd w:val="clear" w:color="auto" w:fill="auto"/>
            <w:tcMar>
              <w:top w:w="100" w:type="dxa"/>
              <w:left w:w="100" w:type="dxa"/>
              <w:bottom w:w="100" w:type="dxa"/>
              <w:right w:w="100" w:type="dxa"/>
            </w:tcMar>
            <w:vAlign w:val="center"/>
          </w:tcPr>
          <w:p w14:paraId="6B589F5B" w14:textId="77777777" w:rsidR="00C9697D" w:rsidRDefault="00000000">
            <w:pPr>
              <w:jc w:val="center"/>
              <w:rPr>
                <w:b/>
              </w:rPr>
            </w:pPr>
            <w:r>
              <w:rPr>
                <w:b/>
              </w:rPr>
              <w:t>Included in MVP</w:t>
            </w:r>
          </w:p>
        </w:tc>
        <w:tc>
          <w:tcPr>
            <w:tcW w:w="3105" w:type="dxa"/>
            <w:shd w:val="clear" w:color="auto" w:fill="auto"/>
            <w:tcMar>
              <w:top w:w="100" w:type="dxa"/>
              <w:left w:w="100" w:type="dxa"/>
              <w:bottom w:w="100" w:type="dxa"/>
              <w:right w:w="100" w:type="dxa"/>
            </w:tcMar>
            <w:vAlign w:val="center"/>
          </w:tcPr>
          <w:p w14:paraId="41E65986" w14:textId="77777777" w:rsidR="00C9697D" w:rsidRDefault="00000000">
            <w:pPr>
              <w:widowControl w:val="0"/>
              <w:spacing w:line="240" w:lineRule="auto"/>
              <w:jc w:val="center"/>
              <w:rPr>
                <w:b/>
              </w:rPr>
            </w:pPr>
            <w:r>
              <w:rPr>
                <w:b/>
              </w:rPr>
              <w:t>User Story</w:t>
            </w:r>
          </w:p>
        </w:tc>
        <w:tc>
          <w:tcPr>
            <w:tcW w:w="7920" w:type="dxa"/>
            <w:shd w:val="clear" w:color="auto" w:fill="auto"/>
            <w:tcMar>
              <w:top w:w="100" w:type="dxa"/>
              <w:left w:w="100" w:type="dxa"/>
              <w:bottom w:w="100" w:type="dxa"/>
              <w:right w:w="100" w:type="dxa"/>
            </w:tcMar>
            <w:vAlign w:val="center"/>
          </w:tcPr>
          <w:p w14:paraId="3D054013" w14:textId="77777777" w:rsidR="00C9697D" w:rsidRDefault="00000000">
            <w:pPr>
              <w:widowControl w:val="0"/>
              <w:spacing w:line="240" w:lineRule="auto"/>
              <w:jc w:val="center"/>
              <w:rPr>
                <w:b/>
              </w:rPr>
            </w:pPr>
            <w:r>
              <w:rPr>
                <w:b/>
              </w:rPr>
              <w:t xml:space="preserve">Justification for Including or not including the user story in the MVP Plan. </w:t>
            </w:r>
          </w:p>
        </w:tc>
      </w:tr>
      <w:tr w:rsidR="00C9697D" w14:paraId="5FD71D83" w14:textId="77777777">
        <w:tc>
          <w:tcPr>
            <w:tcW w:w="1935" w:type="dxa"/>
            <w:shd w:val="clear" w:color="auto" w:fill="auto"/>
            <w:tcMar>
              <w:top w:w="100" w:type="dxa"/>
              <w:left w:w="100" w:type="dxa"/>
              <w:bottom w:w="100" w:type="dxa"/>
              <w:right w:w="100" w:type="dxa"/>
            </w:tcMar>
          </w:tcPr>
          <w:p w14:paraId="4A63BA54" w14:textId="77777777" w:rsidR="00C9697D" w:rsidRDefault="00000000">
            <w:pPr>
              <w:jc w:val="center"/>
            </w:pPr>
            <w:r>
              <w:t>Yes</w:t>
            </w:r>
          </w:p>
        </w:tc>
        <w:tc>
          <w:tcPr>
            <w:tcW w:w="3105" w:type="dxa"/>
            <w:shd w:val="clear" w:color="auto" w:fill="auto"/>
            <w:tcMar>
              <w:top w:w="100" w:type="dxa"/>
              <w:left w:w="100" w:type="dxa"/>
              <w:bottom w:w="100" w:type="dxa"/>
              <w:right w:w="100" w:type="dxa"/>
            </w:tcMar>
          </w:tcPr>
          <w:p w14:paraId="6EF00BDE" w14:textId="26D601EB" w:rsidR="00C9697D" w:rsidRDefault="006165FF">
            <w:pPr>
              <w:widowControl w:val="0"/>
              <w:spacing w:line="240" w:lineRule="auto"/>
            </w:pPr>
            <w:r>
              <w:rPr>
                <w:rFonts w:eastAsia="SimSun"/>
                <w:color w:val="000000"/>
                <w:sz w:val="20"/>
                <w:szCs w:val="20"/>
                <w:lang w:val="en-US" w:eastAsia="zh-CN" w:bidi="ar"/>
              </w:rPr>
              <w:t xml:space="preserve">As a System Administrator I can give access to the system so that users can </w:t>
            </w:r>
            <w:proofErr w:type="spellStart"/>
            <w:proofErr w:type="gramStart"/>
            <w:r>
              <w:rPr>
                <w:rFonts w:eastAsia="SimSun"/>
                <w:color w:val="000000"/>
                <w:sz w:val="20"/>
                <w:szCs w:val="20"/>
                <w:lang w:val="en-US" w:eastAsia="zh-CN" w:bidi="ar"/>
              </w:rPr>
              <w:t>access,import</w:t>
            </w:r>
            <w:proofErr w:type="spellEnd"/>
            <w:r>
              <w:rPr>
                <w:rFonts w:eastAsia="SimSun"/>
                <w:color w:val="000000"/>
                <w:sz w:val="20"/>
                <w:szCs w:val="20"/>
                <w:lang w:val="en-US" w:eastAsia="zh-CN" w:bidi="ar"/>
              </w:rPr>
              <w:t>, share</w:t>
            </w:r>
            <w:proofErr w:type="gramEnd"/>
            <w:r>
              <w:rPr>
                <w:rFonts w:eastAsia="SimSun"/>
                <w:color w:val="000000"/>
                <w:sz w:val="20"/>
                <w:szCs w:val="20"/>
                <w:lang w:val="en-US" w:eastAsia="zh-CN" w:bidi="ar"/>
              </w:rPr>
              <w:t xml:space="preserve"> data.</w:t>
            </w:r>
          </w:p>
        </w:tc>
        <w:tc>
          <w:tcPr>
            <w:tcW w:w="7920" w:type="dxa"/>
            <w:shd w:val="clear" w:color="auto" w:fill="auto"/>
            <w:tcMar>
              <w:top w:w="100" w:type="dxa"/>
              <w:left w:w="100" w:type="dxa"/>
              <w:bottom w:w="100" w:type="dxa"/>
              <w:right w:w="100" w:type="dxa"/>
            </w:tcMar>
          </w:tcPr>
          <w:p w14:paraId="0A043E4F" w14:textId="36FA538F" w:rsidR="00C9697D" w:rsidRDefault="006165FF" w:rsidP="006165FF">
            <w:pPr>
              <w:widowControl w:val="0"/>
              <w:spacing w:line="240" w:lineRule="auto"/>
            </w:pPr>
            <w:r w:rsidRPr="006165FF">
              <w:t>This story is foundational to the functionality of the entire system. Without the ability to manage user access, the platform cannot securely allow citizens, healthcare workers, or government officials to report data, view dashboards, or perform any core functions. Since proper access control is required for privacy, data integrity, and usability, it is essential to include this story in the MVP.</w:t>
            </w:r>
          </w:p>
        </w:tc>
      </w:tr>
      <w:tr w:rsidR="00C9697D" w14:paraId="56605E44" w14:textId="77777777">
        <w:tc>
          <w:tcPr>
            <w:tcW w:w="1935" w:type="dxa"/>
            <w:shd w:val="clear" w:color="auto" w:fill="auto"/>
            <w:tcMar>
              <w:top w:w="100" w:type="dxa"/>
              <w:left w:w="100" w:type="dxa"/>
              <w:bottom w:w="100" w:type="dxa"/>
              <w:right w:w="100" w:type="dxa"/>
            </w:tcMar>
          </w:tcPr>
          <w:p w14:paraId="5A940900" w14:textId="77777777" w:rsidR="00C9697D" w:rsidRDefault="00000000">
            <w:pPr>
              <w:jc w:val="center"/>
            </w:pPr>
            <w:r>
              <w:t>No</w:t>
            </w:r>
          </w:p>
        </w:tc>
        <w:tc>
          <w:tcPr>
            <w:tcW w:w="3105" w:type="dxa"/>
            <w:shd w:val="clear" w:color="auto" w:fill="auto"/>
            <w:tcMar>
              <w:top w:w="100" w:type="dxa"/>
              <w:left w:w="100" w:type="dxa"/>
              <w:bottom w:w="100" w:type="dxa"/>
              <w:right w:w="100" w:type="dxa"/>
            </w:tcMar>
          </w:tcPr>
          <w:p w14:paraId="7C2A19BE" w14:textId="3117159C" w:rsidR="00C9697D" w:rsidRDefault="006165FF">
            <w:pPr>
              <w:widowControl w:val="0"/>
              <w:spacing w:line="240" w:lineRule="auto"/>
            </w:pPr>
            <w:r>
              <w:rPr>
                <w:rFonts w:eastAsia="SimSun"/>
                <w:color w:val="000000"/>
                <w:sz w:val="20"/>
                <w:szCs w:val="20"/>
                <w:lang w:val="en-US" w:eastAsia="zh-CN" w:bidi="ar"/>
              </w:rPr>
              <w:t>As a Test Center I can be notified when my stock falls before a certain level, so that I can proactively order additional testing supplies.</w:t>
            </w:r>
          </w:p>
        </w:tc>
        <w:tc>
          <w:tcPr>
            <w:tcW w:w="7920" w:type="dxa"/>
            <w:shd w:val="clear" w:color="auto" w:fill="auto"/>
            <w:tcMar>
              <w:top w:w="100" w:type="dxa"/>
              <w:left w:w="100" w:type="dxa"/>
              <w:bottom w:w="100" w:type="dxa"/>
              <w:right w:w="100" w:type="dxa"/>
            </w:tcMar>
          </w:tcPr>
          <w:p w14:paraId="762A7892" w14:textId="3DC0D6AF" w:rsidR="00C9697D" w:rsidRDefault="006165FF" w:rsidP="006165FF">
            <w:pPr>
              <w:widowControl w:val="0"/>
              <w:spacing w:line="240" w:lineRule="auto"/>
            </w:pPr>
            <w:r w:rsidRPr="006165FF">
              <w:t>While important for long-term efficiency, this functionality is not critical to the initial goals of tracking infections, deaths, and test kit usage. Real-time outbreak tracking and data collection from users and medical professionals take priority in the MVP. Alert automation for test center inventory is a more advanced feature that can be planned for a future release once core reporting and monitoring systems are stable.</w:t>
            </w:r>
          </w:p>
        </w:tc>
      </w:tr>
    </w:tbl>
    <w:p w14:paraId="4A0D3FD4" w14:textId="77777777" w:rsidR="00C9697D" w:rsidRDefault="00C9697D"/>
    <w:p w14:paraId="79567BC8" w14:textId="77777777" w:rsidR="00C9697D" w:rsidRDefault="00000000">
      <w:pPr>
        <w:pStyle w:val="Heading1"/>
      </w:pPr>
      <w:bookmarkStart w:id="4" w:name="_2et92p0" w:colFirst="0" w:colLast="0"/>
      <w:bookmarkEnd w:id="4"/>
      <w:r>
        <w:t>Sprint Scenario Responses</w:t>
      </w:r>
    </w:p>
    <w:p w14:paraId="05D7AAB6" w14:textId="77777777" w:rsidR="00C9697D" w:rsidRDefault="00000000">
      <w:pPr>
        <w:rPr>
          <w:i/>
        </w:rPr>
      </w:pPr>
      <w:proofErr w:type="gramStart"/>
      <w:r>
        <w:rPr>
          <w:i/>
          <w:u w:val="single"/>
        </w:rPr>
        <w:t>Instructions</w:t>
      </w:r>
      <w:proofErr w:type="gramEnd"/>
      <w:r>
        <w:rPr>
          <w:i/>
        </w:rPr>
        <w:t xml:space="preserve">: After completing the Release and MVP Plan, provide a simple explanation for adjustments that the team would likely take given the different unexpected sprint interruptions provided below. </w:t>
      </w:r>
    </w:p>
    <w:p w14:paraId="3DBCAFC1" w14:textId="77777777" w:rsidR="00C9697D" w:rsidRDefault="00C9697D"/>
    <w:tbl>
      <w:tblPr>
        <w:tblStyle w:val="a2"/>
        <w:tblW w:w="12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
        <w:gridCol w:w="4200"/>
        <w:gridCol w:w="7530"/>
      </w:tblGrid>
      <w:tr w:rsidR="00C9697D" w14:paraId="5E9EB17D" w14:textId="77777777">
        <w:tc>
          <w:tcPr>
            <w:tcW w:w="1222" w:type="dxa"/>
            <w:shd w:val="clear" w:color="auto" w:fill="auto"/>
            <w:tcMar>
              <w:top w:w="100" w:type="dxa"/>
              <w:left w:w="100" w:type="dxa"/>
              <w:bottom w:w="100" w:type="dxa"/>
              <w:right w:w="100" w:type="dxa"/>
            </w:tcMar>
          </w:tcPr>
          <w:p w14:paraId="0AAF5C54" w14:textId="77777777" w:rsidR="00C9697D" w:rsidRDefault="00000000">
            <w:pPr>
              <w:jc w:val="center"/>
              <w:rPr>
                <w:b/>
              </w:rPr>
            </w:pPr>
            <w:r>
              <w:rPr>
                <w:b/>
              </w:rPr>
              <w:t>Sprint</w:t>
            </w:r>
          </w:p>
        </w:tc>
        <w:tc>
          <w:tcPr>
            <w:tcW w:w="4200" w:type="dxa"/>
            <w:shd w:val="clear" w:color="auto" w:fill="auto"/>
            <w:tcMar>
              <w:top w:w="100" w:type="dxa"/>
              <w:left w:w="100" w:type="dxa"/>
              <w:bottom w:w="100" w:type="dxa"/>
              <w:right w:w="100" w:type="dxa"/>
            </w:tcMar>
          </w:tcPr>
          <w:p w14:paraId="0475B47F" w14:textId="77777777" w:rsidR="00C9697D" w:rsidRDefault="00000000">
            <w:pPr>
              <w:widowControl w:val="0"/>
              <w:spacing w:line="240" w:lineRule="auto"/>
              <w:jc w:val="center"/>
              <w:rPr>
                <w:b/>
              </w:rPr>
            </w:pPr>
            <w:r>
              <w:rPr>
                <w:b/>
              </w:rPr>
              <w:t>Scenario</w:t>
            </w:r>
          </w:p>
        </w:tc>
        <w:tc>
          <w:tcPr>
            <w:tcW w:w="7530" w:type="dxa"/>
            <w:shd w:val="clear" w:color="auto" w:fill="auto"/>
            <w:tcMar>
              <w:top w:w="100" w:type="dxa"/>
              <w:left w:w="100" w:type="dxa"/>
              <w:bottom w:w="100" w:type="dxa"/>
              <w:right w:w="100" w:type="dxa"/>
            </w:tcMar>
          </w:tcPr>
          <w:p w14:paraId="329A2588" w14:textId="77777777" w:rsidR="00C9697D" w:rsidRDefault="00000000">
            <w:pPr>
              <w:widowControl w:val="0"/>
              <w:spacing w:line="240" w:lineRule="auto"/>
              <w:jc w:val="center"/>
              <w:rPr>
                <w:b/>
              </w:rPr>
            </w:pPr>
            <w:r>
              <w:rPr>
                <w:b/>
              </w:rPr>
              <w:t xml:space="preserve">Response </w:t>
            </w:r>
          </w:p>
        </w:tc>
      </w:tr>
      <w:tr w:rsidR="00C9697D" w14:paraId="16872AF7" w14:textId="77777777">
        <w:trPr>
          <w:trHeight w:val="1035"/>
        </w:trPr>
        <w:tc>
          <w:tcPr>
            <w:tcW w:w="1222" w:type="dxa"/>
            <w:shd w:val="clear" w:color="auto" w:fill="auto"/>
            <w:tcMar>
              <w:top w:w="100" w:type="dxa"/>
              <w:left w:w="100" w:type="dxa"/>
              <w:bottom w:w="100" w:type="dxa"/>
              <w:right w:w="100" w:type="dxa"/>
            </w:tcMar>
            <w:vAlign w:val="center"/>
          </w:tcPr>
          <w:p w14:paraId="090BF582" w14:textId="77777777" w:rsidR="00C9697D" w:rsidRDefault="00000000">
            <w:pPr>
              <w:jc w:val="center"/>
            </w:pPr>
            <w:r>
              <w:t>1</w:t>
            </w:r>
          </w:p>
        </w:tc>
        <w:tc>
          <w:tcPr>
            <w:tcW w:w="4200" w:type="dxa"/>
            <w:shd w:val="clear" w:color="auto" w:fill="auto"/>
            <w:tcMar>
              <w:top w:w="100" w:type="dxa"/>
              <w:left w:w="100" w:type="dxa"/>
              <w:bottom w:w="100" w:type="dxa"/>
              <w:right w:w="100" w:type="dxa"/>
            </w:tcMar>
          </w:tcPr>
          <w:p w14:paraId="2AD641B0" w14:textId="77777777" w:rsidR="00C9697D" w:rsidRDefault="00000000">
            <w:pPr>
              <w:widowControl w:val="0"/>
              <w:spacing w:line="240" w:lineRule="auto"/>
            </w:pPr>
            <w:r>
              <w:t>One of the user stories has a dependency on another system that won't be available until the next sprint. What should the team do about this user story?</w:t>
            </w:r>
          </w:p>
        </w:tc>
        <w:tc>
          <w:tcPr>
            <w:tcW w:w="7530" w:type="dxa"/>
            <w:shd w:val="clear" w:color="auto" w:fill="auto"/>
            <w:tcMar>
              <w:top w:w="100" w:type="dxa"/>
              <w:left w:w="100" w:type="dxa"/>
              <w:bottom w:w="100" w:type="dxa"/>
              <w:right w:w="100" w:type="dxa"/>
            </w:tcMar>
          </w:tcPr>
          <w:p w14:paraId="78A2BF05" w14:textId="00DA4022" w:rsidR="00C9697D" w:rsidRDefault="00231E1B" w:rsidP="00231E1B">
            <w:pPr>
              <w:widowControl w:val="0"/>
              <w:spacing w:line="240" w:lineRule="auto"/>
            </w:pPr>
            <w:r>
              <w:rPr>
                <w:rFonts w:hint="eastAsia"/>
                <w:lang w:val="en-US" w:eastAsia="zh-Hans"/>
              </w:rPr>
              <w:t>The</w:t>
            </w:r>
            <w:r>
              <w:rPr>
                <w:lang w:eastAsia="zh-Hans"/>
              </w:rPr>
              <w:t xml:space="preserve"> product owner should re-prioritize the user stories that have dependency on another system. </w:t>
            </w:r>
            <w:r w:rsidRPr="00231E1B">
              <w:t>Move the dependent user story to the next sprint and pull in a lower-priority story from the backlog that is independent and achievable within this sprint.</w:t>
            </w:r>
          </w:p>
        </w:tc>
      </w:tr>
      <w:tr w:rsidR="00C9697D" w14:paraId="00C4661A" w14:textId="77777777">
        <w:tc>
          <w:tcPr>
            <w:tcW w:w="1222" w:type="dxa"/>
            <w:shd w:val="clear" w:color="auto" w:fill="auto"/>
            <w:tcMar>
              <w:top w:w="100" w:type="dxa"/>
              <w:left w:w="100" w:type="dxa"/>
              <w:bottom w:w="100" w:type="dxa"/>
              <w:right w:w="100" w:type="dxa"/>
            </w:tcMar>
            <w:vAlign w:val="center"/>
          </w:tcPr>
          <w:p w14:paraId="5A87FADA" w14:textId="77777777" w:rsidR="00C9697D" w:rsidRDefault="00000000">
            <w:pPr>
              <w:jc w:val="center"/>
            </w:pPr>
            <w:r>
              <w:lastRenderedPageBreak/>
              <w:t>3</w:t>
            </w:r>
          </w:p>
        </w:tc>
        <w:tc>
          <w:tcPr>
            <w:tcW w:w="4200" w:type="dxa"/>
            <w:shd w:val="clear" w:color="auto" w:fill="auto"/>
            <w:tcMar>
              <w:top w:w="100" w:type="dxa"/>
              <w:left w:w="100" w:type="dxa"/>
              <w:bottom w:w="100" w:type="dxa"/>
              <w:right w:w="100" w:type="dxa"/>
            </w:tcMar>
          </w:tcPr>
          <w:p w14:paraId="2DAF7515" w14:textId="77777777" w:rsidR="00C9697D" w:rsidRDefault="00000000">
            <w:pPr>
              <w:widowControl w:val="0"/>
              <w:spacing w:line="240" w:lineRule="auto"/>
            </w:pPr>
            <w:r>
              <w:t>A software engineer is sick and will miss most of the sprint. What should you and the team do to account for their absence?</w:t>
            </w:r>
          </w:p>
        </w:tc>
        <w:tc>
          <w:tcPr>
            <w:tcW w:w="7530" w:type="dxa"/>
            <w:shd w:val="clear" w:color="auto" w:fill="auto"/>
            <w:tcMar>
              <w:top w:w="100" w:type="dxa"/>
              <w:left w:w="100" w:type="dxa"/>
              <w:bottom w:w="100" w:type="dxa"/>
              <w:right w:w="100" w:type="dxa"/>
            </w:tcMar>
          </w:tcPr>
          <w:p w14:paraId="3F2B7215" w14:textId="7A8DC965" w:rsidR="00C9697D" w:rsidRDefault="00231E1B" w:rsidP="00231E1B">
            <w:pPr>
              <w:widowControl w:val="0"/>
              <w:spacing w:line="240" w:lineRule="auto"/>
            </w:pPr>
            <w:r>
              <w:t xml:space="preserve">The development team should work with the product owner to re-prioritize and reduce the scope of the remaining </w:t>
            </w:r>
            <w:proofErr w:type="gramStart"/>
            <w:r>
              <w:t>works</w:t>
            </w:r>
            <w:proofErr w:type="gramEnd"/>
            <w:r>
              <w:t xml:space="preserve"> (including </w:t>
            </w:r>
            <w:proofErr w:type="gramStart"/>
            <w:r>
              <w:t>identify</w:t>
            </w:r>
            <w:proofErr w:type="gramEnd"/>
            <w:r>
              <w:t xml:space="preserve"> the stories the team will not be able to finish) and re-access the </w:t>
            </w:r>
            <w:proofErr w:type="gramStart"/>
            <w:r>
              <w:t>team</w:t>
            </w:r>
            <w:proofErr w:type="gramEnd"/>
            <w:r>
              <w:t xml:space="preserve"> velocity</w:t>
            </w:r>
            <w:r w:rsidRPr="00231E1B">
              <w:t>.</w:t>
            </w:r>
          </w:p>
        </w:tc>
      </w:tr>
    </w:tbl>
    <w:p w14:paraId="098D9817" w14:textId="77777777" w:rsidR="00C9697D" w:rsidRDefault="00C9697D"/>
    <w:p w14:paraId="18105704" w14:textId="77777777" w:rsidR="00C9697D" w:rsidRDefault="00C9697D"/>
    <w:sectPr w:rsidR="00C9697D">
      <w:footerReference w:type="even" r:id="rId6"/>
      <w:footerReference w:type="default" r:id="rId7"/>
      <w:footerReference w:type="first" r:id="rId8"/>
      <w:pgSz w:w="15840" w:h="122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B7C6" w14:textId="77777777" w:rsidR="00495E71" w:rsidRDefault="00495E71">
      <w:pPr>
        <w:spacing w:line="240" w:lineRule="auto"/>
      </w:pPr>
      <w:r>
        <w:separator/>
      </w:r>
    </w:p>
  </w:endnote>
  <w:endnote w:type="continuationSeparator" w:id="0">
    <w:p w14:paraId="7F3AD286" w14:textId="77777777" w:rsidR="00495E71" w:rsidRDefault="00495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86CE" w14:textId="36DBEE72" w:rsidR="00955B35" w:rsidRDefault="00955B35">
    <w:pPr>
      <w:pStyle w:val="Footer"/>
    </w:pPr>
    <w:r>
      <w:rPr>
        <w:noProof/>
      </w:rPr>
      <mc:AlternateContent>
        <mc:Choice Requires="wps">
          <w:drawing>
            <wp:anchor distT="0" distB="0" distL="0" distR="0" simplePos="0" relativeHeight="251659264" behindDoc="0" locked="0" layoutInCell="1" allowOverlap="1" wp14:anchorId="2E576F25" wp14:editId="65CED762">
              <wp:simplePos x="635" y="635"/>
              <wp:positionH relativeFrom="page">
                <wp:align>center</wp:align>
              </wp:positionH>
              <wp:positionV relativeFrom="page">
                <wp:align>bottom</wp:align>
              </wp:positionV>
              <wp:extent cx="1204595" cy="368935"/>
              <wp:effectExtent l="0" t="0" r="14605" b="0"/>
              <wp:wrapNone/>
              <wp:docPr id="2100883" name="Text Box 2"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4595" cy="368935"/>
                      </a:xfrm>
                      <a:prstGeom prst="rect">
                        <a:avLst/>
                      </a:prstGeom>
                      <a:noFill/>
                      <a:ln>
                        <a:noFill/>
                      </a:ln>
                    </wps:spPr>
                    <wps:txbx>
                      <w:txbxContent>
                        <w:p w14:paraId="38E958B6" w14:textId="6AFD0C6A"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576F25" id="_x0000_t202" coordsize="21600,21600" o:spt="202" path="m,l,21600r21600,l21600,xe">
              <v:stroke joinstyle="miter"/>
              <v:path gradientshapeok="t" o:connecttype="rect"/>
            </v:shapetype>
            <v:shape id="Text Box 2" o:spid="_x0000_s1026" type="#_x0000_t202" alt="Ejada Internal Use Only" style="position:absolute;margin-left:0;margin-top:0;width:94.85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" filled="f" stroked="f">
              <v:fill o:detectmouseclick="t"/>
              <v:textbox style="mso-fit-shape-to-text:t" inset="0,0,0,15pt">
                <w:txbxContent>
                  <w:p w14:paraId="38E958B6" w14:textId="6AFD0C6A"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5AE29" w14:textId="1AB850A5" w:rsidR="00C9697D" w:rsidRDefault="00955B35">
    <w:pPr>
      <w:jc w:val="center"/>
    </w:pPr>
    <w:r>
      <w:rPr>
        <w:noProof/>
      </w:rPr>
      <mc:AlternateContent>
        <mc:Choice Requires="wps">
          <w:drawing>
            <wp:anchor distT="0" distB="0" distL="0" distR="0" simplePos="0" relativeHeight="251660288" behindDoc="0" locked="0" layoutInCell="1" allowOverlap="1" wp14:anchorId="2BFA7E18" wp14:editId="0AB0955B">
              <wp:simplePos x="914400" y="7134225"/>
              <wp:positionH relativeFrom="page">
                <wp:align>center</wp:align>
              </wp:positionH>
              <wp:positionV relativeFrom="page">
                <wp:align>bottom</wp:align>
              </wp:positionV>
              <wp:extent cx="1204595" cy="368935"/>
              <wp:effectExtent l="0" t="0" r="14605" b="0"/>
              <wp:wrapNone/>
              <wp:docPr id="111477816" name="Text Box 3"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4595" cy="368935"/>
                      </a:xfrm>
                      <a:prstGeom prst="rect">
                        <a:avLst/>
                      </a:prstGeom>
                      <a:noFill/>
                      <a:ln>
                        <a:noFill/>
                      </a:ln>
                    </wps:spPr>
                    <wps:txbx>
                      <w:txbxContent>
                        <w:p w14:paraId="64ED1883" w14:textId="76D2525F"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FA7E18" id="_x0000_t202" coordsize="21600,21600" o:spt="202" path="m,l,21600r21600,l21600,xe">
              <v:stroke joinstyle="miter"/>
              <v:path gradientshapeok="t" o:connecttype="rect"/>
            </v:shapetype>
            <v:shape id="Text Box 3" o:spid="_x0000_s1027" type="#_x0000_t202" alt="Ejada Internal Use Only" style="position:absolute;left:0;text-align:left;margin-left:0;margin-top:0;width:94.85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" filled="f" stroked="f">
              <v:fill o:detectmouseclick="t"/>
              <v:textbox style="mso-fit-shape-to-text:t" inset="0,0,0,15pt">
                <w:txbxContent>
                  <w:p w14:paraId="64ED1883" w14:textId="76D2525F"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v:textbox>
              <w10:wrap anchorx="page" anchory="page"/>
            </v:shape>
          </w:pict>
        </mc:Fallback>
      </mc:AlternateContent>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184E" w14:textId="58360902" w:rsidR="00955B35" w:rsidRDefault="00955B35">
    <w:pPr>
      <w:pStyle w:val="Footer"/>
    </w:pPr>
    <w:r>
      <w:rPr>
        <w:noProof/>
      </w:rPr>
      <mc:AlternateContent>
        <mc:Choice Requires="wps">
          <w:drawing>
            <wp:anchor distT="0" distB="0" distL="0" distR="0" simplePos="0" relativeHeight="251658240" behindDoc="0" locked="0" layoutInCell="1" allowOverlap="1" wp14:anchorId="2C046EA4" wp14:editId="68DF4D8F">
              <wp:simplePos x="635" y="635"/>
              <wp:positionH relativeFrom="page">
                <wp:align>center</wp:align>
              </wp:positionH>
              <wp:positionV relativeFrom="page">
                <wp:align>bottom</wp:align>
              </wp:positionV>
              <wp:extent cx="1204595" cy="368935"/>
              <wp:effectExtent l="0" t="0" r="14605" b="0"/>
              <wp:wrapNone/>
              <wp:docPr id="1905944535" name="Text Box 1"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4595" cy="368935"/>
                      </a:xfrm>
                      <a:prstGeom prst="rect">
                        <a:avLst/>
                      </a:prstGeom>
                      <a:noFill/>
                      <a:ln>
                        <a:noFill/>
                      </a:ln>
                    </wps:spPr>
                    <wps:txbx>
                      <w:txbxContent>
                        <w:p w14:paraId="220875BF" w14:textId="3999F535"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046EA4" id="_x0000_t202" coordsize="21600,21600" o:spt="202" path="m,l,21600r21600,l21600,xe">
              <v:stroke joinstyle="miter"/>
              <v:path gradientshapeok="t" o:connecttype="rect"/>
            </v:shapetype>
            <v:shape id="Text Box 1" o:spid="_x0000_s1028" type="#_x0000_t202" alt="Ejada Internal Use Only" style="position:absolute;margin-left:0;margin-top:0;width:94.8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" filled="f" stroked="f">
              <v:fill o:detectmouseclick="t"/>
              <v:textbox style="mso-fit-shape-to-text:t" inset="0,0,0,15pt">
                <w:txbxContent>
                  <w:p w14:paraId="220875BF" w14:textId="3999F535" w:rsidR="00955B35" w:rsidRPr="00955B35" w:rsidRDefault="00955B35" w:rsidP="00955B35">
                    <w:pPr>
                      <w:rPr>
                        <w:rFonts w:ascii="Calibri" w:eastAsia="Calibri" w:hAnsi="Calibri" w:cs="Calibri"/>
                        <w:noProof/>
                        <w:color w:val="FFFF00"/>
                        <w:sz w:val="20"/>
                        <w:szCs w:val="20"/>
                      </w:rPr>
                    </w:pPr>
                    <w:r w:rsidRPr="00955B35">
                      <w:rPr>
                        <w:rFonts w:ascii="Calibri" w:eastAsia="Calibri" w:hAnsi="Calibri" w:cs="Calibri"/>
                        <w:noProof/>
                        <w:color w:val="FFFF00"/>
                        <w:sz w:val="20"/>
                        <w:szCs w:val="20"/>
                      </w:rPr>
                      <w:t>Ejada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EF483" w14:textId="77777777" w:rsidR="00495E71" w:rsidRDefault="00495E71">
      <w:pPr>
        <w:spacing w:line="240" w:lineRule="auto"/>
      </w:pPr>
      <w:r>
        <w:separator/>
      </w:r>
    </w:p>
  </w:footnote>
  <w:footnote w:type="continuationSeparator" w:id="0">
    <w:p w14:paraId="5D555CD8" w14:textId="77777777" w:rsidR="00495E71" w:rsidRDefault="00495E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7D"/>
    <w:rsid w:val="00231E1B"/>
    <w:rsid w:val="00495E71"/>
    <w:rsid w:val="006165FF"/>
    <w:rsid w:val="007226D7"/>
    <w:rsid w:val="00832351"/>
    <w:rsid w:val="008B73B2"/>
    <w:rsid w:val="00955B35"/>
    <w:rsid w:val="00C9697D"/>
    <w:rsid w:val="00E45B57"/>
    <w:rsid w:val="00FA44BF"/>
    <w:rsid w:val="00FC3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860A"/>
  <w15:docId w15:val="{94C546FF-D840-47D1-B63D-8FB674CE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55B35"/>
    <w:pPr>
      <w:tabs>
        <w:tab w:val="center" w:pos="4680"/>
        <w:tab w:val="right" w:pos="9360"/>
      </w:tabs>
      <w:spacing w:line="240" w:lineRule="auto"/>
    </w:pPr>
  </w:style>
  <w:style w:type="character" w:customStyle="1" w:styleId="FooterChar">
    <w:name w:val="Footer Char"/>
    <w:basedOn w:val="DefaultParagraphFont"/>
    <w:link w:val="Footer"/>
    <w:uiPriority w:val="99"/>
    <w:rsid w:val="00955B35"/>
  </w:style>
  <w:style w:type="character" w:styleId="Strong">
    <w:name w:val="Strong"/>
    <w:basedOn w:val="DefaultParagraphFont"/>
    <w:uiPriority w:val="22"/>
    <w:qFormat/>
    <w:rsid w:val="00FC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f1e79fc-1f4d-4187-a67d-c1c5354c13f8}" enabled="1" method="Standard" siteId="{e1304ad9-93ba-4557-8b20-8c1c1143b399}" contentBits="2"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Salma Attia | Ejada Systems</cp:lastModifiedBy>
  <cp:revision>7</cp:revision>
  <dcterms:created xsi:type="dcterms:W3CDTF">2025-04-30T07:56:00Z</dcterms:created>
  <dcterms:modified xsi:type="dcterms:W3CDTF">2025-04-30T09:44:00Z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719a67d7,200e93,6a50438</vt:lpwstr>
  </property>
  <property fmtid="{D5CDD505-2E9C-101B-9397-08002B2CF9AE}" pid="3" name="ClassificationContentMarkingFooterFontProps">
    <vt:lpwstr>#ffff00,10,Calibri</vt:lpwstr>
  </property>
  <property fmtid="{D5CDD505-2E9C-101B-9397-08002B2CF9AE}" pid="4" name="ClassificationContentMarkingFooterText">
    <vt:lpwstr>Ejada Internal Use Only</vt:lpwstr>
  </property>
</Properties>
</file>