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80" w:before="280" w:lineRule="auto"/>
        <w:ind w:left="0"/>
        <w:rPr>
          <w:sz w:val="26"/>
          <w:szCs w:val="26"/>
        </w:rPr>
      </w:pPr>
      <w:bookmarkStart w:colFirst="0" w:colLast="0" w:name="_l46fpicfv888" w:id="0"/>
      <w:bookmarkEnd w:id="0"/>
      <w:r w:rsidDel="00000000" w:rsidR="00000000" w:rsidRPr="00000000">
        <w:rPr>
          <w:sz w:val="26"/>
          <w:szCs w:val="26"/>
          <w:rtl w:val="0"/>
        </w:rPr>
        <w:t xml:space="preserve">[Top 10 Takeaways: ServiceNow]</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Last updated: May 22, 2025 | Based on filings, CRM, news, and earnings calls</w:t>
      </w:r>
    </w:p>
    <w:p w:rsidR="00000000" w:rsidDel="00000000" w:rsidP="00000000" w:rsidRDefault="00000000" w:rsidRPr="00000000" w14:paraId="00000003">
      <w:pPr>
        <w:numPr>
          <w:ilvl w:val="0"/>
          <w:numId w:val="6"/>
        </w:numPr>
        <w:spacing w:after="0" w:afterAutospacing="0" w:before="240" w:lineRule="auto"/>
        <w:ind w:left="720" w:hanging="360"/>
      </w:pPr>
      <w:r w:rsidDel="00000000" w:rsidR="00000000" w:rsidRPr="00000000">
        <w:rPr>
          <w:b w:val="1"/>
          <w:rtl w:val="0"/>
        </w:rPr>
        <w:t xml:space="preserve">Q1 Revenue Beat:</w:t>
      </w:r>
      <w:r w:rsidDel="00000000" w:rsidR="00000000" w:rsidRPr="00000000">
        <w:rPr>
          <w:rtl w:val="0"/>
        </w:rPr>
        <w:t xml:space="preserve"> Subscription revenue grew 20% YoY to $3.005B, driven by enterprise renewals and upsell momentum.</w:t>
        <w:br w:type="textWrapping"/>
      </w:r>
    </w:p>
    <w:p w:rsidR="00000000" w:rsidDel="00000000" w:rsidP="00000000" w:rsidRDefault="00000000" w:rsidRPr="00000000" w14:paraId="00000004">
      <w:pPr>
        <w:numPr>
          <w:ilvl w:val="0"/>
          <w:numId w:val="6"/>
        </w:numPr>
        <w:spacing w:after="0" w:afterAutospacing="0" w:before="0" w:beforeAutospacing="0" w:lineRule="auto"/>
        <w:ind w:left="720" w:hanging="360"/>
      </w:pPr>
      <w:r w:rsidDel="00000000" w:rsidR="00000000" w:rsidRPr="00000000">
        <w:rPr>
          <w:b w:val="1"/>
          <w:rtl w:val="0"/>
        </w:rPr>
        <w:t xml:space="preserve">AI Expansion Strategy:</w:t>
      </w:r>
      <w:r w:rsidDel="00000000" w:rsidR="00000000" w:rsidRPr="00000000">
        <w:rPr>
          <w:rtl w:val="0"/>
        </w:rPr>
        <w:t xml:space="preserve"> April 16 announcement confirmed strategic push into mid-market AI automation—targeting cost-sensitive verticals.</w:t>
        <w:br w:type="textWrapping"/>
      </w:r>
    </w:p>
    <w:p w:rsidR="00000000" w:rsidDel="00000000" w:rsidP="00000000" w:rsidRDefault="00000000" w:rsidRPr="00000000" w14:paraId="00000005">
      <w:pPr>
        <w:numPr>
          <w:ilvl w:val="0"/>
          <w:numId w:val="6"/>
        </w:numPr>
        <w:spacing w:after="0" w:afterAutospacing="0" w:before="0" w:beforeAutospacing="0" w:lineRule="auto"/>
        <w:ind w:left="720" w:hanging="360"/>
      </w:pPr>
      <w:r w:rsidDel="00000000" w:rsidR="00000000" w:rsidRPr="00000000">
        <w:rPr>
          <w:b w:val="1"/>
          <w:rtl w:val="0"/>
        </w:rPr>
        <w:t xml:space="preserve">Retention Concerns:</w:t>
      </w:r>
      <w:r w:rsidDel="00000000" w:rsidR="00000000" w:rsidRPr="00000000">
        <w:rPr>
          <w:rtl w:val="0"/>
        </w:rPr>
        <w:t xml:space="preserve"> 20% churn reported in lower-tier accounts; flagged as an execution risk by analysts.</w:t>
        <w:br w:type="textWrapping"/>
      </w:r>
    </w:p>
    <w:p w:rsidR="00000000" w:rsidDel="00000000" w:rsidP="00000000" w:rsidRDefault="00000000" w:rsidRPr="00000000" w14:paraId="00000006">
      <w:pPr>
        <w:numPr>
          <w:ilvl w:val="0"/>
          <w:numId w:val="6"/>
        </w:numPr>
        <w:spacing w:after="0" w:afterAutospacing="0" w:before="0" w:beforeAutospacing="0" w:lineRule="auto"/>
        <w:ind w:left="720" w:hanging="360"/>
      </w:pPr>
      <w:r w:rsidDel="00000000" w:rsidR="00000000" w:rsidRPr="00000000">
        <w:rPr>
          <w:b w:val="1"/>
          <w:rtl w:val="0"/>
        </w:rPr>
        <w:t xml:space="preserve">Strong Backlog Position:</w:t>
      </w:r>
      <w:r w:rsidDel="00000000" w:rsidR="00000000" w:rsidRPr="00000000">
        <w:rPr>
          <w:rtl w:val="0"/>
        </w:rPr>
        <w:t xml:space="preserve"> Total backlog at $10.3B; indicates high visibility into 2H 2025 revenue and services demand.</w:t>
        <w:br w:type="textWrapping"/>
      </w:r>
    </w:p>
    <w:p w:rsidR="00000000" w:rsidDel="00000000" w:rsidP="00000000" w:rsidRDefault="00000000" w:rsidRPr="00000000" w14:paraId="00000007">
      <w:pPr>
        <w:numPr>
          <w:ilvl w:val="0"/>
          <w:numId w:val="6"/>
        </w:numPr>
        <w:spacing w:after="0" w:afterAutospacing="0" w:before="0" w:beforeAutospacing="0" w:lineRule="auto"/>
        <w:ind w:left="720" w:hanging="360"/>
      </w:pPr>
      <w:r w:rsidDel="00000000" w:rsidR="00000000" w:rsidRPr="00000000">
        <w:rPr>
          <w:b w:val="1"/>
          <w:rtl w:val="0"/>
        </w:rPr>
        <w:t xml:space="preserve">Moveworks Integration in Progress:</w:t>
      </w:r>
      <w:r w:rsidDel="00000000" w:rsidR="00000000" w:rsidRPr="00000000">
        <w:rPr>
          <w:rtl w:val="0"/>
        </w:rPr>
        <w:t xml:space="preserve"> CFO flagged early operational friction during integration—potential opening for advisory or M&amp;A follow-up.</w:t>
        <w:br w:type="textWrapping"/>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b w:val="1"/>
          <w:rtl w:val="0"/>
        </w:rPr>
        <w:t xml:space="preserve">Earnings Call Sentiment:</w:t>
      </w:r>
      <w:r w:rsidDel="00000000" w:rsidR="00000000" w:rsidRPr="00000000">
        <w:rPr>
          <w:rtl w:val="0"/>
        </w:rPr>
        <w:t xml:space="preserve"> Analysts largely positive, but some flagged scalability risks in GTM and partner enablement.</w:t>
        <w:br w:type="textWrapping"/>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b w:val="1"/>
          <w:rtl w:val="0"/>
        </w:rPr>
        <w:t xml:space="preserve">Customer Concentration Risk:</w:t>
      </w:r>
      <w:r w:rsidDel="00000000" w:rsidR="00000000" w:rsidRPr="00000000">
        <w:rPr>
          <w:rtl w:val="0"/>
        </w:rPr>
        <w:t xml:space="preserve"> Top 10 clients account for 35% of revenue; financials and healthcare over-indexed.</w:t>
        <w:br w:type="textWrapping"/>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b w:val="1"/>
          <w:rtl w:val="0"/>
        </w:rPr>
        <w:t xml:space="preserve">Valuation Supportive of Capital Deployment:</w:t>
      </w:r>
      <w:r w:rsidDel="00000000" w:rsidR="00000000" w:rsidRPr="00000000">
        <w:rPr>
          <w:rtl w:val="0"/>
        </w:rPr>
        <w:t xml:space="preserve"> Equity research notes suggest balance sheet optionality for targeted tuck-ins.</w:t>
        <w:br w:type="textWrapping"/>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b w:val="1"/>
          <w:rtl w:val="0"/>
        </w:rPr>
        <w:t xml:space="preserve">Competitive Activity:</w:t>
      </w:r>
      <w:r w:rsidDel="00000000" w:rsidR="00000000" w:rsidRPr="00000000">
        <w:rPr>
          <w:rtl w:val="0"/>
        </w:rPr>
        <w:t xml:space="preserve"> Salesforce announced GenAI enhancements in enterprise workflow—likely to increase pressure in Q3.</w:t>
        <w:br w:type="textWrapping"/>
      </w:r>
    </w:p>
    <w:p w:rsidR="00000000" w:rsidDel="00000000" w:rsidP="00000000" w:rsidRDefault="00000000" w:rsidRPr="00000000" w14:paraId="0000000C">
      <w:pPr>
        <w:numPr>
          <w:ilvl w:val="0"/>
          <w:numId w:val="6"/>
        </w:numPr>
        <w:spacing w:after="240" w:before="0" w:beforeAutospacing="0" w:lineRule="auto"/>
        <w:ind w:left="720" w:hanging="360"/>
      </w:pPr>
      <w:r w:rsidDel="00000000" w:rsidR="00000000" w:rsidRPr="00000000">
        <w:rPr>
          <w:b w:val="1"/>
          <w:rtl w:val="0"/>
        </w:rPr>
        <w:t xml:space="preserve">Open Relationship Thread:</w:t>
      </w:r>
      <w:r w:rsidDel="00000000" w:rsidR="00000000" w:rsidRPr="00000000">
        <w:rPr>
          <w:rtl w:val="0"/>
        </w:rPr>
        <w:t xml:space="preserve"> Previous meeting with CFO centered on strategic partnerships and post-deal integration—an ideal point to resume the conversation.</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spacing w:after="80" w:before="280" w:lineRule="auto"/>
        <w:ind w:left="0"/>
        <w:rPr>
          <w:sz w:val="26"/>
          <w:szCs w:val="26"/>
        </w:rPr>
      </w:pPr>
      <w:bookmarkStart w:colFirst="0" w:colLast="0" w:name="_a16qlccsld5e" w:id="1"/>
      <w:bookmarkEnd w:id="1"/>
      <w:r w:rsidDel="00000000" w:rsidR="00000000" w:rsidRPr="00000000">
        <w:rPr>
          <w:sz w:val="26"/>
          <w:szCs w:val="26"/>
          <w:rtl w:val="0"/>
        </w:rPr>
        <w:t xml:space="preserve">Design Recommendation:</w:t>
      </w:r>
    </w:p>
    <w:p w:rsidR="00000000" w:rsidDel="00000000" w:rsidP="00000000" w:rsidRDefault="00000000" w:rsidRPr="00000000" w14:paraId="0000000F">
      <w:pPr>
        <w:numPr>
          <w:ilvl w:val="0"/>
          <w:numId w:val="7"/>
        </w:numPr>
        <w:spacing w:after="0" w:afterAutospacing="0" w:before="240" w:lineRule="auto"/>
        <w:ind w:left="720" w:hanging="360"/>
      </w:pPr>
      <w:r w:rsidDel="00000000" w:rsidR="00000000" w:rsidRPr="00000000">
        <w:rPr>
          <w:rtl w:val="0"/>
        </w:rPr>
        <w:t xml:space="preserve">Display this in a wide, single tile across the top of the prep UI (“</w:t>
      </w:r>
      <w:r w:rsidDel="00000000" w:rsidR="00000000" w:rsidRPr="00000000">
        <w:rPr>
          <w:b w:val="1"/>
          <w:rtl w:val="0"/>
        </w:rPr>
        <w:t xml:space="preserve">Key Takeaways</w:t>
      </w:r>
      <w:r w:rsidDel="00000000" w:rsidR="00000000" w:rsidRPr="00000000">
        <w:rPr>
          <w:rtl w:val="0"/>
        </w:rPr>
        <w:t xml:space="preserve">” or “</w:t>
      </w:r>
      <w:r w:rsidDel="00000000" w:rsidR="00000000" w:rsidRPr="00000000">
        <w:rPr>
          <w:b w:val="1"/>
          <w:rtl w:val="0"/>
        </w:rPr>
        <w:t xml:space="preserve">Executive Summary</w:t>
      </w:r>
      <w:r w:rsidDel="00000000" w:rsidR="00000000" w:rsidRPr="00000000">
        <w:rPr>
          <w:rtl w:val="0"/>
        </w:rPr>
        <w:t xml:space="preserve">”)</w:t>
        <w:br w:type="textWrapping"/>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rtl w:val="0"/>
        </w:rPr>
        <w:t xml:space="preserve">Allow bankers to </w:t>
      </w:r>
      <w:r w:rsidDel="00000000" w:rsidR="00000000" w:rsidRPr="00000000">
        <w:rPr>
          <w:b w:val="1"/>
          <w:rtl w:val="0"/>
        </w:rPr>
        <w:t xml:space="preserve">toggle between 3-sentence and 10-sentence views</w:t>
        <w:br w:type="textWrapping"/>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rtl w:val="0"/>
        </w:rPr>
        <w:t xml:space="preserve">Add optional “Add to Brief” or “Mark for Follow-up” buttons beside each takeaway</w:t>
        <w:br w:type="textWrapping"/>
      </w:r>
    </w:p>
    <w:p w:rsidR="00000000" w:rsidDel="00000000" w:rsidP="00000000" w:rsidRDefault="00000000" w:rsidRPr="00000000" w14:paraId="00000012">
      <w:pPr>
        <w:numPr>
          <w:ilvl w:val="0"/>
          <w:numId w:val="7"/>
        </w:numPr>
        <w:spacing w:after="240" w:before="0" w:beforeAutospacing="0" w:lineRule="auto"/>
        <w:ind w:left="720" w:hanging="360"/>
      </w:pPr>
      <w:r w:rsidDel="00000000" w:rsidR="00000000" w:rsidRPr="00000000">
        <w:rPr>
          <w:rtl w:val="0"/>
        </w:rPr>
        <w:t xml:space="preserve">Consider icon tags per line (e.g., earnings, M&amp;A, risk, GTM)</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Let me know if you’d like this adapted into a voice brief, deck slide, or inline GenAI prompt logic.</w:t>
      </w:r>
    </w:p>
    <w:p w:rsidR="00000000" w:rsidDel="00000000" w:rsidP="00000000" w:rsidRDefault="00000000" w:rsidRPr="00000000" w14:paraId="00000015">
      <w:pPr>
        <w:rPr/>
      </w:pPr>
      <w:r w:rsidDel="00000000" w:rsidR="00000000" w:rsidRPr="00000000">
        <w:rPr>
          <w:rtl w:val="0"/>
        </w:rPr>
        <w:t xml:space="preserve">4o</w:t>
      </w:r>
    </w:p>
    <w:p w:rsidR="00000000" w:rsidDel="00000000" w:rsidP="00000000" w:rsidRDefault="00000000" w:rsidRPr="00000000" w14:paraId="00000016">
      <w:pPr>
        <w:pStyle w:val="Heading5"/>
        <w:keepNext w:val="0"/>
        <w:keepLines w:val="0"/>
        <w:rPr>
          <w:sz w:val="20"/>
          <w:szCs w:val="20"/>
        </w:rPr>
      </w:pPr>
      <w:bookmarkStart w:colFirst="0" w:colLast="0" w:name="_so1q34kkhtwp" w:id="2"/>
      <w:bookmarkEnd w:id="2"/>
      <w:r w:rsidDel="00000000" w:rsidR="00000000" w:rsidRPr="00000000">
        <w:rPr>
          <w:sz w:val="20"/>
          <w:szCs w:val="20"/>
          <w:rtl w:val="0"/>
        </w:rPr>
        <w:t xml:space="preserve">You said:</w:t>
      </w:r>
    </w:p>
    <w:p w:rsidR="00000000" w:rsidDel="00000000" w:rsidP="00000000" w:rsidRDefault="00000000" w:rsidRPr="00000000" w14:paraId="00000017">
      <w:pPr>
        <w:rPr/>
      </w:pPr>
      <w:r w:rsidDel="00000000" w:rsidR="00000000" w:rsidRPr="00000000">
        <w:rPr>
          <w:rtl w:val="0"/>
        </w:rPr>
        <w:t xml:space="preserve">How do you think we should expand on any of these key points? What could be some of the UI patterns we can use? And then, can you use just one point out of all of those ten and show me what that interaction would look like with the real text?</w:t>
      </w:r>
    </w:p>
    <w:p w:rsidR="00000000" w:rsidDel="00000000" w:rsidP="00000000" w:rsidRDefault="00000000" w:rsidRPr="00000000" w14:paraId="00000018">
      <w:pPr>
        <w:pStyle w:val="Heading6"/>
        <w:keepNext w:val="0"/>
        <w:keepLines w:val="0"/>
        <w:rPr>
          <w:sz w:val="18"/>
          <w:szCs w:val="18"/>
        </w:rPr>
      </w:pPr>
      <w:bookmarkStart w:colFirst="0" w:colLast="0" w:name="_63jalz9pil7i" w:id="3"/>
      <w:bookmarkEnd w:id="3"/>
      <w:r w:rsidDel="00000000" w:rsidR="00000000" w:rsidRPr="00000000">
        <w:rPr>
          <w:sz w:val="18"/>
          <w:szCs w:val="18"/>
          <w:rtl w:val="0"/>
        </w:rPr>
        <w:t xml:space="preserve">ChatGPT said:</w:t>
      </w:r>
    </w:p>
    <w:p w:rsidR="00000000" w:rsidDel="00000000" w:rsidP="00000000" w:rsidRDefault="00000000" w:rsidRPr="00000000" w14:paraId="00000019">
      <w:pPr>
        <w:spacing w:after="240" w:before="240" w:lineRule="auto"/>
        <w:rPr/>
      </w:pPr>
      <w:r w:rsidDel="00000000" w:rsidR="00000000" w:rsidRPr="00000000">
        <w:rPr>
          <w:rtl w:val="0"/>
        </w:rPr>
        <w:t xml:space="preserve">Great question. To make the </w:t>
      </w:r>
      <w:r w:rsidDel="00000000" w:rsidR="00000000" w:rsidRPr="00000000">
        <w:rPr>
          <w:b w:val="1"/>
          <w:rtl w:val="0"/>
        </w:rPr>
        <w:t xml:space="preserve">Top 10 Takeaways</w:t>
      </w:r>
      <w:r w:rsidDel="00000000" w:rsidR="00000000" w:rsidRPr="00000000">
        <w:rPr>
          <w:rtl w:val="0"/>
        </w:rPr>
        <w:t xml:space="preserve"> truly actionable (not just a scannable list), we should design it so that each point is expandable into a focused, high-context view. This helps bankers:</w:t>
      </w:r>
    </w:p>
    <w:p w:rsidR="00000000" w:rsidDel="00000000" w:rsidP="00000000" w:rsidRDefault="00000000" w:rsidRPr="00000000" w14:paraId="0000001A">
      <w:pPr>
        <w:numPr>
          <w:ilvl w:val="0"/>
          <w:numId w:val="5"/>
        </w:numPr>
        <w:spacing w:after="0" w:afterAutospacing="0" w:before="240" w:lineRule="auto"/>
        <w:ind w:left="720" w:hanging="360"/>
      </w:pPr>
      <w:r w:rsidDel="00000000" w:rsidR="00000000" w:rsidRPr="00000000">
        <w:rPr>
          <w:rtl w:val="0"/>
        </w:rPr>
        <w:t xml:space="preserve">Validate the insight</w:t>
        <w:br w:type="textWrapping"/>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rtl w:val="0"/>
        </w:rPr>
        <w:t xml:space="preserve">See source evidence</w:t>
        <w:br w:type="textWrapping"/>
      </w:r>
    </w:p>
    <w:p w:rsidR="00000000" w:rsidDel="00000000" w:rsidP="00000000" w:rsidRDefault="00000000" w:rsidRPr="00000000" w14:paraId="0000001C">
      <w:pPr>
        <w:numPr>
          <w:ilvl w:val="0"/>
          <w:numId w:val="5"/>
        </w:numPr>
        <w:spacing w:after="240" w:before="0" w:beforeAutospacing="0" w:lineRule="auto"/>
        <w:ind w:left="720" w:hanging="360"/>
      </w:pPr>
      <w:r w:rsidDel="00000000" w:rsidR="00000000" w:rsidRPr="00000000">
        <w:rPr>
          <w:rtl w:val="0"/>
        </w:rPr>
        <w:t xml:space="preserve">Take next-step actions (e.g. add to brief, ask a follow-up, compare to past)</w:t>
        <w:br w:type="textWrapping"/>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spacing w:after="80" w:before="280" w:lineRule="auto"/>
        <w:ind w:left="0"/>
        <w:rPr>
          <w:sz w:val="26"/>
          <w:szCs w:val="26"/>
        </w:rPr>
      </w:pPr>
      <w:bookmarkStart w:colFirst="0" w:colLast="0" w:name="_n656k2knzbc2" w:id="4"/>
      <w:bookmarkEnd w:id="4"/>
      <w:r w:rsidDel="00000000" w:rsidR="00000000" w:rsidRPr="00000000">
        <w:rPr>
          <w:sz w:val="26"/>
          <w:szCs w:val="26"/>
          <w:rtl w:val="0"/>
        </w:rPr>
        <w:t xml:space="preserve">3 Smart UI Patterns You Can Use to Expand Key Points</w:t>
      </w:r>
    </w:p>
    <w:p w:rsidR="00000000" w:rsidDel="00000000" w:rsidP="00000000" w:rsidRDefault="00000000" w:rsidRPr="00000000" w14:paraId="0000001F">
      <w:pPr>
        <w:pStyle w:val="Heading4"/>
        <w:keepNext w:val="0"/>
        <w:keepLines w:val="0"/>
        <w:rPr>
          <w:sz w:val="22"/>
          <w:szCs w:val="22"/>
        </w:rPr>
      </w:pPr>
      <w:bookmarkStart w:colFirst="0" w:colLast="0" w:name="_caww31ky91fi" w:id="5"/>
      <w:bookmarkEnd w:id="5"/>
      <w:r w:rsidDel="00000000" w:rsidR="00000000" w:rsidRPr="00000000">
        <w:rPr>
          <w:sz w:val="22"/>
          <w:szCs w:val="22"/>
          <w:rtl w:val="0"/>
        </w:rPr>
        <w:t xml:space="preserve">1. Accordion/Expandable Row</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rtl w:val="0"/>
        </w:rPr>
        <w:t xml:space="preserve">Tap or click expands a panel below the takeaway</w:t>
        <w:br w:type="textWrapping"/>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rtl w:val="0"/>
        </w:rPr>
        <w:t xml:space="preserve">Shows deeper context: AI summary + key source snippets (earnings call quote, CRM note, news excerpt)</w:t>
        <w:br w:type="textWrapping"/>
      </w:r>
    </w:p>
    <w:p w:rsidR="00000000" w:rsidDel="00000000" w:rsidP="00000000" w:rsidRDefault="00000000" w:rsidRPr="00000000" w14:paraId="00000022">
      <w:pPr>
        <w:numPr>
          <w:ilvl w:val="0"/>
          <w:numId w:val="4"/>
        </w:numPr>
        <w:spacing w:after="240" w:before="0" w:beforeAutospacing="0" w:lineRule="auto"/>
        <w:ind w:left="720" w:hanging="360"/>
      </w:pPr>
      <w:r w:rsidDel="00000000" w:rsidR="00000000" w:rsidRPr="00000000">
        <w:rPr>
          <w:rtl w:val="0"/>
        </w:rPr>
        <w:t xml:space="preserve">Includes quick actions: “Add to Meeting Brief,” “Ask Follow-Up,” “Compare to Last Quarter”</w:t>
        <w:br w:type="textWrapping"/>
      </w:r>
    </w:p>
    <w:p w:rsidR="00000000" w:rsidDel="00000000" w:rsidP="00000000" w:rsidRDefault="00000000" w:rsidRPr="00000000" w14:paraId="00000023">
      <w:pPr>
        <w:pStyle w:val="Heading4"/>
        <w:keepNext w:val="0"/>
        <w:keepLines w:val="0"/>
        <w:rPr>
          <w:sz w:val="22"/>
          <w:szCs w:val="22"/>
        </w:rPr>
      </w:pPr>
      <w:bookmarkStart w:colFirst="0" w:colLast="0" w:name="_vviqlrbdnnbo" w:id="6"/>
      <w:bookmarkEnd w:id="6"/>
      <w:r w:rsidDel="00000000" w:rsidR="00000000" w:rsidRPr="00000000">
        <w:rPr>
          <w:sz w:val="22"/>
          <w:szCs w:val="22"/>
          <w:rtl w:val="0"/>
        </w:rPr>
        <w:t xml:space="preserve">2. Side Drawer/Slide-In Panel</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rtl w:val="0"/>
        </w:rPr>
        <w:t xml:space="preserve">Clicking a takeaway slides in a panel from the right</w:t>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Keeps the main list visible</w:t>
        <w:br w:type="textWrapping"/>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tl w:val="0"/>
        </w:rPr>
        <w:t xml:space="preserve">Good for “deep dive” without losing flow</w:t>
        <w:br w:type="textWrapping"/>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rtl w:val="0"/>
        </w:rPr>
        <w:t xml:space="preserve">Includes smart AI-generated summary at the top and raw source detail underneath</w:t>
        <w:br w:type="textWrapping"/>
      </w:r>
    </w:p>
    <w:p w:rsidR="00000000" w:rsidDel="00000000" w:rsidP="00000000" w:rsidRDefault="00000000" w:rsidRPr="00000000" w14:paraId="00000028">
      <w:pPr>
        <w:pStyle w:val="Heading4"/>
        <w:keepNext w:val="0"/>
        <w:keepLines w:val="0"/>
        <w:rPr>
          <w:sz w:val="22"/>
          <w:szCs w:val="22"/>
        </w:rPr>
      </w:pPr>
      <w:bookmarkStart w:colFirst="0" w:colLast="0" w:name="_e3ihfeq6nsea" w:id="7"/>
      <w:bookmarkEnd w:id="7"/>
      <w:r w:rsidDel="00000000" w:rsidR="00000000" w:rsidRPr="00000000">
        <w:rPr>
          <w:sz w:val="22"/>
          <w:szCs w:val="22"/>
          <w:rtl w:val="0"/>
        </w:rPr>
        <w:t xml:space="preserve">3. Hover Card + Action Buttons (for desktop)</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tl w:val="0"/>
        </w:rPr>
        <w:t xml:space="preserve">Hover reveals a smart preview (e.g., top insight + source link + sentiment)</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Quick actions like [Expand], [Add to Brief], or [Summarize this] visible on hover</w:t>
        <w:br w:type="textWrapping"/>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rtl w:val="0"/>
        </w:rPr>
        <w:t xml:space="preserve">Fast and non-intrusive—great for analyst/associate use</w:t>
        <w:br w:type="textWrapping"/>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spacing w:after="80" w:before="280" w:lineRule="auto"/>
        <w:ind w:left="0"/>
        <w:rPr>
          <w:sz w:val="26"/>
          <w:szCs w:val="26"/>
        </w:rPr>
      </w:pPr>
      <w:bookmarkStart w:colFirst="0" w:colLast="0" w:name="_6ng1gshqbbzn" w:id="8"/>
      <w:bookmarkEnd w:id="8"/>
      <w:r w:rsidDel="00000000" w:rsidR="00000000" w:rsidRPr="00000000">
        <w:rPr>
          <w:sz w:val="26"/>
          <w:szCs w:val="26"/>
          <w:rtl w:val="0"/>
        </w:rPr>
        <w:t xml:space="preserve">Example Interaction Using One Key Point:</w:t>
      </w:r>
    </w:p>
    <w:p w:rsidR="00000000" w:rsidDel="00000000" w:rsidP="00000000" w:rsidRDefault="00000000" w:rsidRPr="00000000" w14:paraId="0000002E">
      <w:pPr>
        <w:spacing w:after="240" w:before="240" w:lineRule="auto"/>
        <w:rPr/>
      </w:pPr>
      <w:r w:rsidDel="00000000" w:rsidR="00000000" w:rsidRPr="00000000">
        <w:rPr>
          <w:rtl w:val="0"/>
        </w:rPr>
        <w:t xml:space="preserve">Let’s use this one from your list:</w:t>
      </w:r>
    </w:p>
    <w:p w:rsidR="00000000" w:rsidDel="00000000" w:rsidP="00000000" w:rsidRDefault="00000000" w:rsidRPr="00000000" w14:paraId="0000002F">
      <w:pPr>
        <w:spacing w:after="240" w:before="240" w:lineRule="auto"/>
        <w:ind w:left="600" w:right="600" w:firstLine="0"/>
        <w:rPr/>
      </w:pPr>
      <w:r w:rsidDel="00000000" w:rsidR="00000000" w:rsidRPr="00000000">
        <w:rPr>
          <w:b w:val="1"/>
          <w:rtl w:val="0"/>
        </w:rPr>
        <w:t xml:space="preserve">Retention Concerns:</w:t>
      </w:r>
      <w:r w:rsidDel="00000000" w:rsidR="00000000" w:rsidRPr="00000000">
        <w:rPr>
          <w:rtl w:val="0"/>
        </w:rPr>
        <w:t xml:space="preserve"> 20% churn reported in lower-tier accounts; flagged as an execution risk by analysts.</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4"/>
        <w:keepNext w:val="0"/>
        <w:keepLines w:val="0"/>
        <w:rPr>
          <w:sz w:val="22"/>
          <w:szCs w:val="22"/>
        </w:rPr>
      </w:pPr>
      <w:bookmarkStart w:colFirst="0" w:colLast="0" w:name="_8o8a5k416p34" w:id="9"/>
      <w:bookmarkEnd w:id="9"/>
      <w:r w:rsidDel="00000000" w:rsidR="00000000" w:rsidRPr="00000000">
        <w:rPr>
          <w:sz w:val="22"/>
          <w:szCs w:val="22"/>
          <w:rtl w:val="0"/>
        </w:rPr>
        <w:t xml:space="preserve">Collapsed View:</w:t>
      </w:r>
    </w:p>
    <w:p w:rsidR="00000000" w:rsidDel="00000000" w:rsidP="00000000" w:rsidRDefault="00000000" w:rsidRPr="00000000" w14:paraId="00000032">
      <w:pPr>
        <w:spacing w:after="240" w:before="240" w:lineRule="auto"/>
        <w:rPr/>
      </w:pPr>
      <w:r w:rsidDel="00000000" w:rsidR="00000000" w:rsidRPr="00000000">
        <w:rPr>
          <w:b w:val="1"/>
          <w:rtl w:val="0"/>
        </w:rPr>
        <w:t xml:space="preserve">Retention Concerns</w:t>
        <w:br w:type="textWrapping"/>
      </w:r>
      <w:r w:rsidDel="00000000" w:rsidR="00000000" w:rsidRPr="00000000">
        <w:rPr>
          <w:rtl w:val="0"/>
        </w:rPr>
        <w:t xml:space="preserve"> 20% churn reported in lower-tier accounts; flagged as an execution risk by analysts.</w:t>
        <w:br w:type="textWrapping"/>
        <w:t xml:space="preserve"> [Expand] [Add to Brief] [Ask Follow-Up]</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4"/>
        <w:keepNext w:val="0"/>
        <w:keepLines w:val="0"/>
        <w:rPr>
          <w:sz w:val="22"/>
          <w:szCs w:val="22"/>
        </w:rPr>
      </w:pPr>
      <w:bookmarkStart w:colFirst="0" w:colLast="0" w:name="_a35egd1tcwaj" w:id="10"/>
      <w:bookmarkEnd w:id="10"/>
      <w:r w:rsidDel="00000000" w:rsidR="00000000" w:rsidRPr="00000000">
        <w:rPr>
          <w:sz w:val="22"/>
          <w:szCs w:val="22"/>
          <w:rtl w:val="0"/>
        </w:rPr>
        <w:t xml:space="preserve">Expanded View (Drawer or Accordion):</w:t>
      </w:r>
    </w:p>
    <w:p w:rsidR="00000000" w:rsidDel="00000000" w:rsidP="00000000" w:rsidRDefault="00000000" w:rsidRPr="00000000" w14:paraId="00000035">
      <w:pPr>
        <w:spacing w:after="240" w:before="240" w:lineRule="auto"/>
        <w:rPr/>
      </w:pPr>
      <w:r w:rsidDel="00000000" w:rsidR="00000000" w:rsidRPr="00000000">
        <w:rPr>
          <w:b w:val="1"/>
          <w:rtl w:val="0"/>
        </w:rPr>
        <w:t xml:space="preserve">AI Summary:</w:t>
        <w:br w:type="textWrapping"/>
      </w:r>
      <w:r w:rsidDel="00000000" w:rsidR="00000000" w:rsidRPr="00000000">
        <w:rPr>
          <w:rtl w:val="0"/>
        </w:rPr>
        <w:t xml:space="preserve"> Recent earnings materials reveal a 20% churn rate in lower-value customer segments. Analysts on the Q1 call (April 25) expressed concern that this may indicate pressure in customer success or product-market fit below the enterprise tier. This is especially relevant as ServiceNow rolls out AI offerings to the mid-market.</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Key Sources:</w:t>
      </w:r>
    </w:p>
    <w:p w:rsidR="00000000" w:rsidDel="00000000" w:rsidP="00000000" w:rsidRDefault="00000000" w:rsidRPr="00000000" w14:paraId="00000037">
      <w:pPr>
        <w:numPr>
          <w:ilvl w:val="0"/>
          <w:numId w:val="3"/>
        </w:numPr>
        <w:spacing w:after="0" w:afterAutospacing="0" w:before="240" w:lineRule="auto"/>
        <w:ind w:left="720" w:hanging="360"/>
      </w:pPr>
      <w:r w:rsidDel="00000000" w:rsidR="00000000" w:rsidRPr="00000000">
        <w:rPr>
          <w:i w:val="1"/>
          <w:rtl w:val="0"/>
        </w:rPr>
        <w:t xml:space="preserve">“We did see higher-than-usual attrition in Q1 among our SMB cohort, though net expansion in enterprise remains strong.”</w:t>
      </w:r>
      <w:r w:rsidDel="00000000" w:rsidR="00000000" w:rsidRPr="00000000">
        <w:rPr>
          <w:rtl w:val="0"/>
        </w:rPr>
        <w:t xml:space="preserve"> – Q1 Earnings Call, CFO</w:t>
        <w:br w:type="textWrapping"/>
      </w:r>
    </w:p>
    <w:p w:rsidR="00000000" w:rsidDel="00000000" w:rsidP="00000000" w:rsidRDefault="00000000" w:rsidRPr="00000000" w14:paraId="00000038">
      <w:pPr>
        <w:numPr>
          <w:ilvl w:val="0"/>
          <w:numId w:val="3"/>
        </w:numPr>
        <w:spacing w:after="240" w:before="0" w:beforeAutospacing="0" w:lineRule="auto"/>
        <w:ind w:left="720" w:hanging="360"/>
      </w:pPr>
      <w:r w:rsidDel="00000000" w:rsidR="00000000" w:rsidRPr="00000000">
        <w:rPr>
          <w:i w:val="1"/>
          <w:rtl w:val="0"/>
        </w:rPr>
        <w:t xml:space="preserve">“Retention slippage in low-revenue segments suggests risk in scaling mid-market GTM.”</w:t>
      </w:r>
      <w:r w:rsidDel="00000000" w:rsidR="00000000" w:rsidRPr="00000000">
        <w:rPr>
          <w:rtl w:val="0"/>
        </w:rPr>
        <w:t xml:space="preserve"> – JPMorgan Research Note, April 26</w:t>
        <w:br w:type="textWrapping"/>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Suggested Talking Point:</w:t>
      </w:r>
    </w:p>
    <w:p w:rsidR="00000000" w:rsidDel="00000000" w:rsidP="00000000" w:rsidRDefault="00000000" w:rsidRPr="00000000" w14:paraId="0000003A">
      <w:pPr>
        <w:spacing w:after="240" w:before="240" w:lineRule="auto"/>
        <w:ind w:left="600" w:right="600" w:firstLine="0"/>
        <w:rPr>
          <w:i w:val="1"/>
        </w:rPr>
      </w:pPr>
      <w:r w:rsidDel="00000000" w:rsidR="00000000" w:rsidRPr="00000000">
        <w:rPr>
          <w:i w:val="1"/>
          <w:rtl w:val="0"/>
        </w:rPr>
        <w:t xml:space="preserve">“How are you addressing retention friction in the lower-tier accounts as you expand AI to the mid-market?”</w:t>
      </w:r>
    </w:p>
    <w:p w:rsidR="00000000" w:rsidDel="00000000" w:rsidP="00000000" w:rsidRDefault="00000000" w:rsidRPr="00000000" w14:paraId="0000003B">
      <w:pPr>
        <w:spacing w:after="240" w:before="240" w:lineRule="auto"/>
        <w:rPr/>
      </w:pPr>
      <w:r w:rsidDel="00000000" w:rsidR="00000000" w:rsidRPr="00000000">
        <w:rPr>
          <w:b w:val="1"/>
          <w:rtl w:val="0"/>
        </w:rPr>
        <w:t xml:space="preserve">Actions:</w:t>
        <w:br w:type="textWrapping"/>
      </w:r>
      <w:r w:rsidDel="00000000" w:rsidR="00000000" w:rsidRPr="00000000">
        <w:rPr>
          <w:rFonts w:ascii="Arial Unicode MS" w:cs="Arial Unicode MS" w:eastAsia="Arial Unicode MS" w:hAnsi="Arial Unicode MS"/>
          <w:rtl w:val="0"/>
        </w:rPr>
        <w:t xml:space="preserve"> [✓ Add to Brief] [Compare vs Q4 Churn] [Show Related Analyst Sentiment] [Summarize for Email]</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right="366"/>
      <w:jc w:val="right"/>
    </w:pPr>
    <w:rPr>
      <w:rFonts w:ascii="Times New Roman" w:cs="Times New Roman" w:eastAsia="Times New Roman" w:hAnsi="Times New Roman"/>
      <w:sz w:val="23"/>
      <w:szCs w:val="23"/>
    </w:rPr>
  </w:style>
  <w:style w:type="paragraph" w:styleId="Heading2">
    <w:name w:val="heading 2"/>
    <w:basedOn w:val="Normal"/>
    <w:next w:val="Normal"/>
    <w:pPr>
      <w:ind w:left="251"/>
    </w:pPr>
    <w:rPr>
      <w:rFonts w:ascii="Times New Roman" w:cs="Times New Roman" w:eastAsia="Times New Roman" w:hAnsi="Times New Roman"/>
      <w:b w:val="1"/>
      <w:sz w:val="22"/>
      <w:szCs w:val="22"/>
    </w:rPr>
  </w:style>
  <w:style w:type="paragraph" w:styleId="Heading3">
    <w:name w:val="heading 3"/>
    <w:basedOn w:val="Normal"/>
    <w:next w:val="Normal"/>
    <w:pPr>
      <w:ind w:left="258"/>
    </w:pPr>
    <w:rPr>
      <w:rFonts w:ascii="Times New Roman" w:cs="Times New Roman" w:eastAsia="Times New Roman" w:hAnsi="Times New Roman"/>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6" w:lineRule="auto"/>
      <w:ind w:left="367"/>
    </w:pPr>
    <w:rPr>
      <w:rFonts w:ascii="Times New Roman" w:cs="Times New Roman" w:eastAsia="Times New Roman" w:hAnsi="Times New Roman"/>
      <w:sz w:val="27"/>
      <w:szCs w:val="2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