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25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2265"/>
        <w:gridCol w:w="1605"/>
        <w:gridCol w:w="2550"/>
        <w:gridCol w:w="960"/>
        <w:gridCol w:w="825"/>
        <w:gridCol w:w="825"/>
        <w:gridCol w:w="1485"/>
        <w:gridCol w:w="1710"/>
        <w:gridCol w:w="3390"/>
        <w:gridCol w:w="3315"/>
        <w:tblGridChange w:id="0">
          <w:tblGrid>
            <w:gridCol w:w="1320"/>
            <w:gridCol w:w="2265"/>
            <w:gridCol w:w="1605"/>
            <w:gridCol w:w="2550"/>
            <w:gridCol w:w="960"/>
            <w:gridCol w:w="825"/>
            <w:gridCol w:w="825"/>
            <w:gridCol w:w="1485"/>
            <w:gridCol w:w="1710"/>
            <w:gridCol w:w="3390"/>
            <w:gridCol w:w="33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Epic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UX-heavy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 on Platform Epics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Client Meeting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Meeting Calendar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Outlook-Embedded Client Meeting Prep Activation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Remove context switching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• Event parsing &amp; meeting classification• CRM client match• Embedded panel (Client Insights, Briefs, Script Assistant)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classification accuracy• Context loads ≤2s• ≥75% in-Calendar prep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Entitlements• #14 Observability &amp; Telemetry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Vertical Insights Recommendation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Meeting Context &amp; Highlights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Quick orientation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• “Recent Updates” feed• Insight chips• Linked research/news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First useful insight &lt;30s• ≥80% sessions click a chip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Entitlements• #14 Observability &amp; Telemetry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Meeting Script or Talking Points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Talking Points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Instant role-specific openers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• Persona tailoring (CEO/CFO)• Section regeneration• Source-linked bullets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≤5s generation• ≥60% briefs tailored• ≥90% facts sourced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• #10 Evidence/Citations/Confidence• #13 Model Evals &amp; Quality Gates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Vertical Insights Recommendation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Key Metrics &amp; Market Snapshot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Fast, accurate numbers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• Financial tiles• YoY/QoQ changes• Sparklines &amp; metric explainers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data accuracy• Charts load &lt;1.5s• ≥80% satisfaction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Entitlements• #14 Observability &amp; Telemetry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Attendee Intelligence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Relationship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• Roles &amp; contacts• LinkedIn links• Past meeting themes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role match• Themes for ≥1 attendee in 70%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Scenario-based refinement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Deck-Aware Question Anticipation (Script Assistant)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Anticipate client 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• File upload &amp; parsing• Slide/topic extraction• Role-specific Q&amp;A• Team share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≥70% rate Qs “useful”• ≥50% share rate• ≤5s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• #10 Evidence/Citations/Confidence• #13 Model Evals &amp; Quality Gates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Meeting Prep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Client Briefs Workspace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Centralize briefs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• Brief list• Templates• Meeting linking•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Time to first brief &lt;15s• ≥60% from templates• ≥99% export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• #14 Observability &amp; Telemetry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Meeting Prep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Client Brief Composer &amp;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Application-Level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Produce deliverable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• Edit &amp; regrade sections• Reorder sections• Export to Word/email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≥80% briefs sent/exported• Edit+regrade ≤3s/section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• #10 Evidence/Citations/Confidence• #13 Model Evals &amp; Quality Gates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Data Source Manager &amp; Entitlements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Secure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• Source selection UI• Entitlement enforcement• Retrieval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• 0 entitlement violations• 100% facts have valid source 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Evidence, Citations &amp; 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Trust in AI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• Inline citations• “Show sources” toggle• Confidence scores• “I’m not sure” fallback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groundedness• 0 uncited claims• Confidence on all sections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Sharing &amp; Distribution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Workflow-Level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Secure collaboration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• One-click send to attendees• Watermarking• 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≥98% share success• 0 mis-share incidents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• #12 Compliance Checkpoints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Compliance Checkpoints (Pre-Send)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Prevent restricted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• Pre-send scanning• Flagging• Compliance routing/review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• 100% flagged items blocked/remediated• &lt;5% false positives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• #9 Data Source Manager &amp; Entitlements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Model Evals &amp; Quality Gates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Maintain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• Golden-set evals• Groundedness &amp; citation tests• Latency/cost benchmarks• Canary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groundedness on eval set• P95 latency &lt;5s• Pass safety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Observability &amp; Telemetry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Performance visibility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• Prompt/version logging• Retrieval set IDs• Latency, tokens,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• 100% requests logged• Latency tracked for all sessions• Prompt versions traceable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Instrumentation for Continuous Improvement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Platform-Level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Continuous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• Thumbs up/down• Comments capture• Usage heatmaps• Retraining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≥50% bankers give feedback• Quality scores improve post-updates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• #14 Observability &amp; Telemetry</w:t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I’d set </w:t>
      </w:r>
      <w:r w:rsidDel="00000000" w:rsidR="00000000" w:rsidRPr="00000000">
        <w:rPr>
          <w:b w:val="1"/>
          <w:rtl w:val="0"/>
        </w:rPr>
        <w:t xml:space="preserve">Client Meeting Prep</w:t>
      </w:r>
      <w:r w:rsidDel="00000000" w:rsidR="00000000" w:rsidRPr="00000000">
        <w:rPr>
          <w:rtl w:val="0"/>
        </w:rPr>
        <w:t xml:space="preserve"> product-level metrics with a Hamel Dev–style framing—balancing </w:t>
      </w:r>
      <w:r w:rsidDel="00000000" w:rsidR="00000000" w:rsidRPr="00000000">
        <w:rPr>
          <w:b w:val="1"/>
          <w:rtl w:val="0"/>
        </w:rPr>
        <w:t xml:space="preserve">adoption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guardrails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f60h1njun3tb" w:id="0"/>
      <w:bookmarkEnd w:id="0"/>
      <w:r w:rsidDel="00000000" w:rsidR="00000000" w:rsidRPr="00000000">
        <w:rPr>
          <w:sz w:val="34"/>
          <w:szCs w:val="34"/>
          <w:rtl w:val="0"/>
        </w:rPr>
        <w:t xml:space="preserve">1. Adoption &amp; Engagement Metrics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Ensure sustained, repeat use in real banker workflows.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Trigger-to-Usage Conversion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≥50% of users who open a meeting invite containing a client meeting click into the embedded prep panel before the meeting starts.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Engagement Rate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≥40% of unique users who use the panel once return to use it for a different meeting within 2 weeks.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In-Context Retention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≥70% of those who open the panel spend ≥30 seconds in it and interact with ≥2 core features in the same session.</w:t>
        <w:br w:type="textWrapping"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788jrd2emt3w" w:id="1"/>
      <w:bookmarkEnd w:id="1"/>
      <w:r w:rsidDel="00000000" w:rsidR="00000000" w:rsidRPr="00000000">
        <w:rPr>
          <w:sz w:val="34"/>
          <w:szCs w:val="34"/>
          <w:rtl w:val="0"/>
        </w:rPr>
        <w:t xml:space="preserve">2. Quality &amp; Usefulness Metrics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Ensure the prep delivers expert-level value and trustworthiness.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 Quality Check (Pass Rate)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≥90% of sampled briefs meet domain expert criteria for accuracy, completeness, actionability, and clarity.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Error Rate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≤1% of briefs contain high-severity factual errors or omissions that could undermine client trust.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Utility Score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≥70% of users rate at least one core feature (e.g., Client Insights, Key Metrics, Talking Points) as “Very Useful” in post-use surveys.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69bxtg4ig7vt" w:id="2"/>
      <w:bookmarkEnd w:id="2"/>
      <w:r w:rsidDel="00000000" w:rsidR="00000000" w:rsidRPr="00000000">
        <w:rPr>
          <w:sz w:val="34"/>
          <w:szCs w:val="34"/>
          <w:rtl w:val="0"/>
        </w:rPr>
        <w:t xml:space="preserve">3. Guardrail &amp; Risk Metrics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Prevent harm, maintain compliance, and ensure smooth performance.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Violation Rate</w:t>
        <w:br w:type="textWrapping"/>
      </w:r>
      <w:r w:rsidDel="00000000" w:rsidR="00000000" w:rsidRPr="00000000">
        <w:rPr>
          <w:rtl w:val="0"/>
        </w:rPr>
        <w:t xml:space="preserve"> 0% of distributed briefs trigger compliance violations post-send.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SLAs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 Panel loads in ≤2 seconds, key features respond in ≤5 seconds.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Entitlement Breaches</w:t>
        <w:br w:type="textWrapping"/>
      </w:r>
      <w:r w:rsidDel="00000000" w:rsidR="00000000" w:rsidRPr="00000000">
        <w:rPr>
          <w:rtl w:val="0"/>
        </w:rPr>
        <w:t xml:space="preserve"> 0 incidents of users accessing data they’re not entitled to see.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g2douvl61z7o" w:id="3"/>
      <w:bookmarkEnd w:id="3"/>
      <w:r w:rsidDel="00000000" w:rsidR="00000000" w:rsidRPr="00000000">
        <w:rPr>
          <w:sz w:val="34"/>
          <w:szCs w:val="34"/>
          <w:rtl w:val="0"/>
        </w:rPr>
        <w:t xml:space="preserve">Why This Structure Works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Adoption metrics</w:t>
      </w:r>
      <w:r w:rsidDel="00000000" w:rsidR="00000000" w:rsidRPr="00000000">
        <w:rPr>
          <w:rtl w:val="0"/>
        </w:rPr>
        <w:t xml:space="preserve"> track whether the product is getting traction in real workflows.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metrics</w:t>
      </w:r>
      <w:r w:rsidDel="00000000" w:rsidR="00000000" w:rsidRPr="00000000">
        <w:rPr>
          <w:rtl w:val="0"/>
        </w:rPr>
        <w:t xml:space="preserve"> make sure what’s being delivered is truly valuable and trusted by bankers.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Guardrail metrics</w:t>
      </w:r>
      <w:r w:rsidDel="00000000" w:rsidR="00000000" w:rsidRPr="00000000">
        <w:rPr>
          <w:rtl w:val="0"/>
        </w:rPr>
        <w:t xml:space="preserve"> protect against reputational, compliance, and technical failures.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like, I can now </w:t>
      </w:r>
      <w:r w:rsidDel="00000000" w:rsidR="00000000" w:rsidRPr="00000000">
        <w:rPr>
          <w:b w:val="1"/>
          <w:rtl w:val="0"/>
        </w:rPr>
        <w:t xml:space="preserve">map these product-level metrics down to epic-level success criteria</w:t>
      </w:r>
      <w:r w:rsidDel="00000000" w:rsidR="00000000" w:rsidRPr="00000000">
        <w:rPr>
          <w:rFonts w:ascii="Cardo" w:cs="Cardo" w:eastAsia="Cardo" w:hAnsi="Cardo"/>
          <w:rtl w:val="0"/>
        </w:rPr>
        <w:t xml:space="preserve"> so that each epic rolls up into these three pillars. That will give you traceability from product goals → epic metrics → feature metrics.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do that mapping next?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