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here’s how a </w:t>
      </w:r>
      <w:r w:rsidDel="00000000" w:rsidR="00000000" w:rsidRPr="00000000">
        <w:rPr>
          <w:b w:val="1"/>
          <w:rtl w:val="0"/>
        </w:rPr>
        <w:t xml:space="preserve">mock output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i w:val="1"/>
          <w:rtl w:val="0"/>
        </w:rPr>
        <w:t xml:space="preserve">Financial Performance Snapshot</w:t>
      </w:r>
      <w:r w:rsidDel="00000000" w:rsidR="00000000" w:rsidRPr="00000000">
        <w:rPr>
          <w:rtl w:val="0"/>
        </w:rPr>
        <w:t xml:space="preserve"> section would look in the same style I showed you for </w:t>
      </w:r>
      <w:r w:rsidDel="00000000" w:rsidR="00000000" w:rsidRPr="00000000">
        <w:rPr>
          <w:i w:val="1"/>
          <w:rtl w:val="0"/>
        </w:rPr>
        <w:t xml:space="preserve">Industry &amp; Competitors</w:t>
      </w:r>
      <w:r w:rsidDel="00000000" w:rsidR="00000000" w:rsidRPr="00000000">
        <w:rPr>
          <w:rtl w:val="0"/>
        </w:rPr>
        <w:t xml:space="preserve">. I’ll use </w:t>
      </w:r>
      <w:r w:rsidDel="00000000" w:rsidR="00000000" w:rsidRPr="00000000">
        <w:rPr>
          <w:b w:val="1"/>
          <w:rtl w:val="0"/>
        </w:rPr>
        <w:t xml:space="preserve">Salesforce</w:t>
      </w:r>
      <w:r w:rsidDel="00000000" w:rsidR="00000000" w:rsidRPr="00000000">
        <w:rPr>
          <w:rtl w:val="0"/>
        </w:rPr>
        <w:t xml:space="preserve"> again as the example so you can see how it comes together in banker-ready format.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jmohzmgrmyx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📊 Financial Performance Snapshot (Mock Output – Salesforce, Sept 2025)</w:t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gfglq7wf3cwi" w:id="1"/>
      <w:bookmarkEnd w:id="1"/>
      <w:r w:rsidDel="00000000" w:rsidR="00000000" w:rsidRPr="00000000">
        <w:rPr>
          <w:sz w:val="26"/>
          <w:szCs w:val="26"/>
          <w:rtl w:val="0"/>
        </w:rPr>
        <w:t xml:space="preserve">Historical Financials (USD, Fiscal Year Ending Jan 31)</w:t>
      </w:r>
    </w:p>
    <w:tbl>
      <w:tblPr>
        <w:tblStyle w:val="Table1"/>
        <w:tblW w:w="9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520"/>
        <w:gridCol w:w="2360"/>
        <w:gridCol w:w="1955"/>
        <w:gridCol w:w="1550"/>
        <w:gridCol w:w="1430"/>
        <w:tblGridChange w:id="0">
          <w:tblGrid>
            <w:gridCol w:w="1160"/>
            <w:gridCol w:w="1520"/>
            <w:gridCol w:w="2360"/>
            <w:gridCol w:w="1955"/>
            <w:gridCol w:w="1550"/>
            <w:gridCol w:w="143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($B)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Income ($B)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EPS (Diluted)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YoY Growth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FY2021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+24%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FY2022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+25%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FY2023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+18%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FY2024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+11%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FY2025E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38.5*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6.7*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18%*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4.55*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+10%*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*FY2025E based on consensus analyst estimates.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kya0mkve734" w:id="2"/>
      <w:bookmarkEnd w:id="2"/>
      <w:r w:rsidDel="00000000" w:rsidR="00000000" w:rsidRPr="00000000">
        <w:rPr>
          <w:sz w:val="26"/>
          <w:szCs w:val="26"/>
          <w:rtl w:val="0"/>
        </w:rPr>
        <w:t xml:space="preserve">Forecasts (Consensus, as of Sept 2025)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$38.5B (FY2025E), $42.0B (FY2026E), ~9% CAGR.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EPS:</w:t>
      </w:r>
      <w:r w:rsidDel="00000000" w:rsidR="00000000" w:rsidRPr="00000000">
        <w:rPr>
          <w:rtl w:val="0"/>
        </w:rPr>
        <w:t xml:space="preserve"> $4.55 (FY2025E), $5.20 (FY2026E).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Margins:</w:t>
      </w:r>
      <w:r w:rsidDel="00000000" w:rsidR="00000000" w:rsidRPr="00000000">
        <w:rPr>
          <w:rtl w:val="0"/>
        </w:rPr>
        <w:t xml:space="preserve"> Analysts expect operating margin to expand gradually toward 20% by FY2026 driven by cost discipline.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ywv8h0u2mwvl" w:id="3"/>
      <w:bookmarkEnd w:id="3"/>
      <w:r w:rsidDel="00000000" w:rsidR="00000000" w:rsidRPr="00000000">
        <w:rPr>
          <w:sz w:val="26"/>
          <w:szCs w:val="26"/>
          <w:rtl w:val="0"/>
        </w:rPr>
        <w:t xml:space="preserve">Trends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topline growth historically (~20% CAGR FY2020–2023), but moderating to ~9–11% post-2024.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</w:t>
      </w:r>
      <w:r w:rsidDel="00000000" w:rsidR="00000000" w:rsidRPr="00000000">
        <w:rPr>
          <w:b w:val="1"/>
          <w:rtl w:val="0"/>
        </w:rPr>
        <w:t xml:space="preserve">margin expansion in FY2024</w:t>
      </w:r>
      <w:r w:rsidDel="00000000" w:rsidR="00000000" w:rsidRPr="00000000">
        <w:rPr>
          <w:rtl w:val="0"/>
        </w:rPr>
        <w:t xml:space="preserve"> due to restructuring and cost controls (headcount reduction, lower SG&amp;A).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acceleration</w:t>
      </w:r>
      <w:r w:rsidDel="00000000" w:rsidR="00000000" w:rsidRPr="00000000">
        <w:rPr>
          <w:rtl w:val="0"/>
        </w:rPr>
        <w:t xml:space="preserve"> reflects operating leverage from efficiency programs.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Growth increasingly dependent on cross-selling Data Cloud, Slack integration, and generative AI add-ons.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4p8wpyvqbgsf" w:id="4"/>
      <w:bookmarkEnd w:id="4"/>
      <w:r w:rsidDel="00000000" w:rsidR="00000000" w:rsidRPr="00000000">
        <w:rPr>
          <w:sz w:val="26"/>
          <w:szCs w:val="26"/>
          <w:rtl w:val="0"/>
        </w:rPr>
        <w:t xml:space="preserve">Divisional Performance (FY2024 Revenue Mix)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Cloud:</w:t>
      </w:r>
      <w:r w:rsidDel="00000000" w:rsidR="00000000" w:rsidRPr="00000000">
        <w:rPr>
          <w:rtl w:val="0"/>
        </w:rPr>
        <w:t xml:space="preserve"> $8.8B (~25% of revenue, +12% YoY).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Cloud:</w:t>
      </w:r>
      <w:r w:rsidDel="00000000" w:rsidR="00000000" w:rsidRPr="00000000">
        <w:rPr>
          <w:rtl w:val="0"/>
        </w:rPr>
        <w:t xml:space="preserve"> $8.9B (~25%, +11% YoY).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&amp; Other (Slack, Tableau, MuleSoft):</w:t>
      </w:r>
      <w:r w:rsidDel="00000000" w:rsidR="00000000" w:rsidRPr="00000000">
        <w:rPr>
          <w:rtl w:val="0"/>
        </w:rPr>
        <w:t xml:space="preserve"> $8.7B (~25%, +15% YoY).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&amp; Commerce:</w:t>
      </w:r>
      <w:r w:rsidDel="00000000" w:rsidR="00000000" w:rsidRPr="00000000">
        <w:rPr>
          <w:rtl w:val="0"/>
        </w:rPr>
        <w:t xml:space="preserve"> $6.6B (~19%, +8% YoY).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Services:</w:t>
      </w:r>
      <w:r w:rsidDel="00000000" w:rsidR="00000000" w:rsidRPr="00000000">
        <w:rPr>
          <w:rtl w:val="0"/>
        </w:rPr>
        <w:t xml:space="preserve"> $2.0B (~6%, flat YoY).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This snapshot gives the banker </w:t>
      </w:r>
      <w:r w:rsidDel="00000000" w:rsidR="00000000" w:rsidRPr="00000000">
        <w:rPr>
          <w:b w:val="1"/>
          <w:rtl w:val="0"/>
        </w:rPr>
        <w:t xml:space="preserve">numbers + trajectory + narrative 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the company’s been</w:t>
      </w:r>
      <w:r w:rsidDel="00000000" w:rsidR="00000000" w:rsidRPr="00000000">
        <w:rPr>
          <w:rtl w:val="0"/>
        </w:rPr>
        <w:t xml:space="preserve"> (historical table).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it’s going</w:t>
      </w:r>
      <w:r w:rsidDel="00000000" w:rsidR="00000000" w:rsidRPr="00000000">
        <w:rPr>
          <w:rtl w:val="0"/>
        </w:rPr>
        <w:t xml:space="preserve"> (forecasts).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matters now</w:t>
      </w:r>
      <w:r w:rsidDel="00000000" w:rsidR="00000000" w:rsidRPr="00000000">
        <w:rPr>
          <w:rtl w:val="0"/>
        </w:rPr>
        <w:t xml:space="preserve"> (trends like margin expansion).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drives it</w:t>
      </w:r>
      <w:r w:rsidDel="00000000" w:rsidR="00000000" w:rsidRPr="00000000">
        <w:rPr>
          <w:rtl w:val="0"/>
        </w:rPr>
        <w:t xml:space="preserve"> (divisional breakdown).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also prepare a </w:t>
      </w:r>
      <w:r w:rsidDel="00000000" w:rsidR="00000000" w:rsidRPr="00000000">
        <w:rPr>
          <w:b w:val="1"/>
          <w:rtl w:val="0"/>
        </w:rPr>
        <w:t xml:space="preserve">developer spec</w:t>
      </w:r>
      <w:r w:rsidDel="00000000" w:rsidR="00000000" w:rsidRPr="00000000">
        <w:rPr>
          <w:rFonts w:ascii="Cardo" w:cs="Cardo" w:eastAsia="Cardo" w:hAnsi="Cardo"/>
          <w:rtl w:val="0"/>
        </w:rPr>
        <w:t xml:space="preserve"> (inputs → processing steps → output template) for </w:t>
      </w:r>
      <w:r w:rsidDel="00000000" w:rsidR="00000000" w:rsidRPr="00000000">
        <w:rPr>
          <w:i w:val="1"/>
          <w:rtl w:val="0"/>
        </w:rPr>
        <w:t xml:space="preserve">Financial Performance Snapshot</w:t>
      </w:r>
      <w:r w:rsidDel="00000000" w:rsidR="00000000" w:rsidRPr="00000000">
        <w:rPr>
          <w:rtl w:val="0"/>
        </w:rPr>
        <w:t xml:space="preserve">, just like I did for Industry &amp; Competitors, so your engineers know how to generate this section automatically from CapIQ + filings?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Perfect—here’s a </w:t>
      </w:r>
      <w:r w:rsidDel="00000000" w:rsidR="00000000" w:rsidRPr="00000000">
        <w:rPr>
          <w:b w:val="1"/>
          <w:rtl w:val="0"/>
        </w:rPr>
        <w:t xml:space="preserve">mock Financial Performance Snapshot for Salesforce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line-by-line logic tags</w:t>
      </w:r>
      <w:r w:rsidDel="00000000" w:rsidR="00000000" w:rsidRPr="00000000">
        <w:rPr>
          <w:rtl w:val="0"/>
        </w:rPr>
        <w:t xml:space="preserve"> that tell your engineers exactly </w:t>
      </w:r>
      <w:r w:rsidDel="00000000" w:rsidR="00000000" w:rsidRPr="00000000">
        <w:rPr>
          <w:i w:val="1"/>
          <w:rtl w:val="0"/>
        </w:rPr>
        <w:t xml:space="preserve">what to fetch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how to produce</w:t>
      </w:r>
      <w:r w:rsidDel="00000000" w:rsidR="00000000" w:rsidRPr="00000000">
        <w:rPr>
          <w:rtl w:val="0"/>
        </w:rPr>
        <w:t xml:space="preserve"> each line. Keep the numbers as placeholders; the right side shows the </w:t>
      </w:r>
      <w:r w:rsidDel="00000000" w:rsidR="00000000" w:rsidRPr="00000000">
        <w:rPr>
          <w:b w:val="1"/>
          <w:rtl w:val="0"/>
        </w:rPr>
        <w:t xml:space="preserve">source/logic</w:t>
      </w:r>
      <w:r w:rsidDel="00000000" w:rsidR="00000000" w:rsidRPr="00000000">
        <w:rPr>
          <w:rtl w:val="0"/>
        </w:rPr>
        <w:t xml:space="preserve"> your pipeline should use.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k6s8xzra4vtq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Financial Performance Snapshot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(Salesforce — as of Sept 2025)</w:t>
      </w:r>
    </w:p>
    <w:p w:rsidR="00000000" w:rsidDel="00000000" w:rsidP="00000000" w:rsidRDefault="00000000" w:rsidRPr="00000000" w14:paraId="0000004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su79ie9xbvyp" w:id="6"/>
      <w:bookmarkEnd w:id="6"/>
      <w:r w:rsidDel="00000000" w:rsidR="00000000" w:rsidRPr="00000000">
        <w:rPr>
          <w:sz w:val="26"/>
          <w:szCs w:val="26"/>
          <w:rtl w:val="0"/>
        </w:rPr>
        <w:t xml:space="preserve">Context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Fiscal Year End:</w:t>
      </w:r>
      <w:r w:rsidDel="00000000" w:rsidR="00000000" w:rsidRPr="00000000">
        <w:rPr>
          <w:rtl w:val="0"/>
        </w:rPr>
        <w:t xml:space="preserve"> Jan 31</w:t>
        <w:br w:type="textWrapping"/>
        <w:t xml:space="preserve"> ~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Company Facts → fiscal_year_end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Currency:</w:t>
      </w:r>
      <w:r w:rsidDel="00000000" w:rsidR="00000000" w:rsidRPr="00000000">
        <w:rPr>
          <w:rtl w:val="0"/>
        </w:rPr>
        <w:t xml:space="preserve"> USD</w:t>
        <w:br w:type="textWrapping"/>
        <w:t xml:space="preserve"> ~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Company Facts → reporting_currency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if output currency ≠ reporting, </w:t>
      </w:r>
      <w:r w:rsidDel="00000000" w:rsidR="00000000" w:rsidRPr="00000000">
        <w:rPr>
          <w:b w:val="1"/>
          <w:rtl w:val="0"/>
        </w:rPr>
        <w:t xml:space="preserve">FX convert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CapIQ FX (as_of_date)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rvj4t7xfh2a9" w:id="7"/>
      <w:bookmarkEnd w:id="7"/>
      <w:r w:rsidDel="00000000" w:rsidR="00000000" w:rsidRPr="00000000">
        <w:rPr>
          <w:sz w:val="26"/>
          <w:szCs w:val="26"/>
          <w:rtl w:val="0"/>
        </w:rPr>
        <w:t xml:space="preserve">Historical Financials (USD, Fiscal Year Ending Jan 31)</w:t>
      </w:r>
    </w:p>
    <w:tbl>
      <w:tblPr>
        <w:tblStyle w:val="Table2"/>
        <w:tblW w:w="10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1220"/>
        <w:gridCol w:w="1565"/>
        <w:gridCol w:w="1460"/>
        <w:gridCol w:w="1250"/>
        <w:gridCol w:w="1310"/>
        <w:gridCol w:w="1265"/>
        <w:gridCol w:w="1235"/>
        <w:tblGridChange w:id="0">
          <w:tblGrid>
            <w:gridCol w:w="1010"/>
            <w:gridCol w:w="1220"/>
            <w:gridCol w:w="1565"/>
            <w:gridCol w:w="1460"/>
            <w:gridCol w:w="1250"/>
            <w:gridCol w:w="1310"/>
            <w:gridCol w:w="1265"/>
            <w:gridCol w:w="123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($B)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Income ($B)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EBITDA ($B)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EBITDA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EPS (Diluted)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YoY Rev Growth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FY2021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+24%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FY2022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+25%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FY2023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31.4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+18%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FY2024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+11%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Table logic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Operating Income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EBITDA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EPS (Diluted)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Fundamentals (Periodic, FY) → Income Statement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Operating Margin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Operating Income / Revenue</w:t>
      </w:r>
      <w:r w:rsidDel="00000000" w:rsidR="00000000" w:rsidRPr="00000000">
        <w:rPr>
          <w:rtl w:val="0"/>
        </w:rPr>
        <w:t xml:space="preserve"> (compute)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EBITDA Margin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EBITDA / Revenue</w:t>
      </w:r>
      <w:r w:rsidDel="00000000" w:rsidR="00000000" w:rsidRPr="00000000">
        <w:rPr>
          <w:rtl w:val="0"/>
        </w:rPr>
        <w:t xml:space="preserve"> (compute)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YoY Rev Growth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(Revenue_t − Revenue_t-1) / Revenue_t-1</w:t>
      </w:r>
      <w:r w:rsidDel="00000000" w:rsidR="00000000" w:rsidRPr="00000000">
        <w:rPr>
          <w:rtl w:val="0"/>
        </w:rPr>
        <w:t xml:space="preserve"> (compute)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Periods: pull </w:t>
      </w:r>
      <w:r w:rsidDel="00000000" w:rsidR="00000000" w:rsidRPr="00000000">
        <w:rPr>
          <w:b w:val="1"/>
          <w:rtl w:val="0"/>
        </w:rPr>
        <w:t xml:space="preserve">last 4–5 FYs</w:t>
      </w:r>
      <w:r w:rsidDel="00000000" w:rsidR="00000000" w:rsidRPr="00000000">
        <w:rPr>
          <w:rtl w:val="0"/>
        </w:rPr>
        <w:t xml:space="preserve">; if latest FY &gt;18 months old, add note: </w:t>
      </w:r>
      <w:r w:rsidDel="00000000" w:rsidR="00000000" w:rsidRPr="00000000">
        <w:rPr>
          <w:i w:val="1"/>
          <w:rtl w:val="0"/>
        </w:rPr>
        <w:t xml:space="preserve">“Latest FY stale; TTM used where helpful.”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fj91884edk8" w:id="8"/>
      <w:bookmarkEnd w:id="8"/>
      <w:r w:rsidDel="00000000" w:rsidR="00000000" w:rsidRPr="00000000">
        <w:rPr>
          <w:sz w:val="26"/>
          <w:szCs w:val="26"/>
          <w:rtl w:val="0"/>
        </w:rPr>
        <w:t xml:space="preserve">Forecasts (Consensus, as of Sept 2025)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$38.5B (FY2025E), $42.0B (FY2026E)</w:t>
        <w:br w:type="textWrapping"/>
        <w:t xml:space="preserve"> ~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Estimates (Consensus) → Revenue FY+1/FY+2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(Diluted):</w:t>
      </w:r>
      <w:r w:rsidDel="00000000" w:rsidR="00000000" w:rsidRPr="00000000">
        <w:rPr>
          <w:rtl w:val="0"/>
        </w:rPr>
        <w:t xml:space="preserve"> 4.55 (FY2025E), 5.20 (FY2026E)</w:t>
        <w:br w:type="textWrapping"/>
        <w:t xml:space="preserve"> ~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Estimates (Consensus) → EPS (Diluted) FY+1/FY+2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Margin:</w:t>
      </w:r>
      <w:r w:rsidDel="00000000" w:rsidR="00000000" w:rsidRPr="00000000">
        <w:rPr>
          <w:rtl w:val="0"/>
        </w:rPr>
        <w:t xml:space="preserve"> 18.0% (FY2025E), 19.5% (FY2026E)</w:t>
        <w:br w:type="textWrapping"/>
        <w:t xml:space="preserve"> ~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Estimates (Consensus) → Operating Margin FY+1/FY+2</w:t>
      </w:r>
      <w:r w:rsidDel="00000000" w:rsidR="00000000" w:rsidRPr="00000000">
        <w:rPr>
          <w:rtl w:val="0"/>
        </w:rPr>
        <w:t xml:space="preserve"> (if absent, compute from est. Operating Income / Revenue)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 Timestamp:</w:t>
      </w:r>
      <w:r w:rsidDel="00000000" w:rsidR="00000000" w:rsidRPr="00000000">
        <w:rPr>
          <w:rtl w:val="0"/>
        </w:rPr>
        <w:t xml:space="preserve"> 2025-09-10</w:t>
        <w:br w:type="textWrapping"/>
        <w:t xml:space="preserve"> ~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Estimates snapshot → as_of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bky0leb3zxfd" w:id="9"/>
      <w:bookmarkEnd w:id="9"/>
      <w:r w:rsidDel="00000000" w:rsidR="00000000" w:rsidRPr="00000000">
        <w:rPr>
          <w:sz w:val="26"/>
          <w:szCs w:val="26"/>
          <w:rtl w:val="0"/>
        </w:rPr>
        <w:t xml:space="preserve">Trends (LLM narrative over structured data)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Topline:</w:t>
      </w:r>
      <w:r w:rsidDel="00000000" w:rsidR="00000000" w:rsidRPr="00000000">
        <w:rPr>
          <w:rtl w:val="0"/>
        </w:rPr>
        <w:t xml:space="preserve"> Growth moderating from ~20% CAGR (FY21–FY23) to ~9–11% through FY26E.</w:t>
        <w:br w:type="textWrapping"/>
        <w:t xml:space="preserve"> ~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LLM.summarize()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historicals.revenue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forecasts.revenue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compute CAGR → produce sentence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Margins:</w:t>
      </w:r>
      <w:r w:rsidDel="00000000" w:rsidR="00000000" w:rsidRPr="00000000">
        <w:rPr>
          <w:rFonts w:ascii="Cardo" w:cs="Cardo" w:eastAsia="Cardo" w:hAnsi="Cardo"/>
          <w:rtl w:val="0"/>
        </w:rPr>
        <w:t xml:space="preserve"> Step-up in FY2024 (11% → 17%) with consensus trending toward ~19–20% by FY2026E.</w:t>
        <w:br w:type="textWrapping"/>
        <w:t xml:space="preserve"> ~ Compare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historicals.operating_margin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forecasts.operating_margin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LLM.compose()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trajectory:</w:t>
      </w:r>
      <w:r w:rsidDel="00000000" w:rsidR="00000000" w:rsidRPr="00000000">
        <w:rPr>
          <w:rtl w:val="0"/>
        </w:rPr>
        <w:t xml:space="preserve"> Acceleration post-FY2024 on cost actions and operating leverage.</w:t>
        <w:br w:type="textWrapping"/>
        <w:t xml:space="preserve"> ~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LLM.explain_drivers()</w:t>
      </w:r>
      <w:r w:rsidDel="00000000" w:rsidR="00000000" w:rsidRPr="00000000">
        <w:rPr>
          <w:rtl w:val="0"/>
        </w:rPr>
        <w:t xml:space="preserve"> referencing delta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Opex/Revenue</w:t>
      </w:r>
      <w:r w:rsidDel="00000000" w:rsidR="00000000" w:rsidRPr="00000000">
        <w:rPr>
          <w:rtl w:val="0"/>
        </w:rPr>
        <w:t xml:space="preserve">, and any mgmt commentary if present (optional: ingest latest call transcript snippet)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Drivers to watch:</w:t>
      </w:r>
      <w:r w:rsidDel="00000000" w:rsidR="00000000" w:rsidRPr="00000000">
        <w:rPr>
          <w:rtl w:val="0"/>
        </w:rPr>
        <w:t xml:space="preserve"> Mix shift to Data Cloud/Platform, Slack synergies; risk from competitive bundling (Microsoft).</w:t>
        <w:br w:type="textWrapping"/>
        <w:t xml:space="preserve"> ~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LLM.inject_context()</w:t>
      </w:r>
      <w:r w:rsidDel="00000000" w:rsidR="00000000" w:rsidRPr="00000000">
        <w:rPr>
          <w:rtl w:val="0"/>
        </w:rPr>
        <w:t xml:space="preserve"> (optional unstructured inputs: latest ER transcript/IR deck highlights)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Trends logic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historicals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forecasts</w:t>
      </w:r>
      <w:r w:rsidDel="00000000" w:rsidR="00000000" w:rsidRPr="00000000">
        <w:rPr>
          <w:rtl w:val="0"/>
        </w:rPr>
        <w:t xml:space="preserve"> (structured) ± brief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unstructured_context</w:t>
      </w:r>
      <w:r w:rsidDel="00000000" w:rsidR="00000000" w:rsidRPr="00000000">
        <w:rPr>
          <w:rtl w:val="0"/>
        </w:rPr>
        <w:t xml:space="preserve"> (optional)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b w:val="1"/>
          <w:rtl w:val="0"/>
        </w:rPr>
        <w:t xml:space="preserve">3–5 sentences</w:t>
      </w:r>
      <w:r w:rsidDel="00000000" w:rsidR="00000000" w:rsidRPr="00000000">
        <w:rPr>
          <w:rtl w:val="0"/>
        </w:rPr>
        <w:t xml:space="preserve">; no raw decimals—use rounded % and plain English</w:t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5c3qzghmc8mv" w:id="10"/>
      <w:bookmarkEnd w:id="10"/>
      <w:r w:rsidDel="00000000" w:rsidR="00000000" w:rsidRPr="00000000">
        <w:rPr>
          <w:sz w:val="26"/>
          <w:szCs w:val="26"/>
          <w:rtl w:val="0"/>
        </w:rPr>
        <w:t xml:space="preserve">Divisional Performance (FY2024 Revenue Mix)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Cloud:</w:t>
      </w:r>
      <w:r w:rsidDel="00000000" w:rsidR="00000000" w:rsidRPr="00000000">
        <w:rPr>
          <w:rtl w:val="0"/>
        </w:rPr>
        <w:t xml:space="preserve"> ~$8.8B (~25%)</w:t>
        <w:br w:type="textWrapping"/>
        <w:t xml:space="preserve"> ~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Segments (Business) → segment_name='Sales Cloud' → revenue; share = revenue / total_revenue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Cloud:</w:t>
      </w:r>
      <w:r w:rsidDel="00000000" w:rsidR="00000000" w:rsidRPr="00000000">
        <w:rPr>
          <w:rtl w:val="0"/>
        </w:rPr>
        <w:t xml:space="preserve"> ~$8.9B (~25%)</w:t>
        <w:br w:type="textWrapping"/>
        <w:t xml:space="preserve"> ~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Segments (Business)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&amp; Other (Slack, Tableau, MuleSoft):</w:t>
      </w:r>
      <w:r w:rsidDel="00000000" w:rsidR="00000000" w:rsidRPr="00000000">
        <w:rPr>
          <w:rtl w:val="0"/>
        </w:rPr>
        <w:t xml:space="preserve"> ~$8.7B (~25%)</w:t>
        <w:br w:type="textWrapping"/>
        <w:t xml:space="preserve"> ~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Segments (Business)</w:t>
      </w:r>
      <w:r w:rsidDel="00000000" w:rsidR="00000000" w:rsidRPr="00000000">
        <w:rPr>
          <w:rtl w:val="0"/>
        </w:rPr>
        <w:t xml:space="preserve">; if sub-labels available, list in parentheses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&amp; Commerce:</w:t>
      </w:r>
      <w:r w:rsidDel="00000000" w:rsidR="00000000" w:rsidRPr="00000000">
        <w:rPr>
          <w:rtl w:val="0"/>
        </w:rPr>
        <w:t xml:space="preserve"> ~$6.6B (~19%)</w:t>
        <w:br w:type="textWrapping"/>
        <w:t xml:space="preserve"> ~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Segments (Business)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Services:</w:t>
      </w:r>
      <w:r w:rsidDel="00000000" w:rsidR="00000000" w:rsidRPr="00000000">
        <w:rPr>
          <w:rtl w:val="0"/>
        </w:rPr>
        <w:t xml:space="preserve"> ~$2.0B (~6%)</w:t>
        <w:br w:type="textWrapping"/>
        <w:t xml:space="preserve"> ~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CapIQ → Segments (Business)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 Growth Callouts:</w:t>
      </w:r>
      <w:r w:rsidDel="00000000" w:rsidR="00000000" w:rsidRPr="00000000">
        <w:rPr>
          <w:rtl w:val="0"/>
        </w:rPr>
        <w:t xml:space="preserve"> Platform &amp; Other +15% YoY; Services flat.</w:t>
        <w:br w:type="textWrapping"/>
        <w:t xml:space="preserve"> ~ 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YoY</w:t>
      </w:r>
      <w:r w:rsidDel="00000000" w:rsidR="00000000" w:rsidRPr="00000000">
        <w:rPr>
          <w:rtl w:val="0"/>
        </w:rPr>
        <w:t xml:space="preserve"> per segment if prior FY available; else omit growth callouts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Segment logic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Business segments</w:t>
      </w:r>
      <w:r w:rsidDel="00000000" w:rsidR="00000000" w:rsidRPr="00000000">
        <w:rPr>
          <w:rtl w:val="0"/>
        </w:rPr>
        <w:t xml:space="preserve">; if missing, fall back to </w:t>
      </w:r>
      <w:r w:rsidDel="00000000" w:rsidR="00000000" w:rsidRPr="00000000">
        <w:rPr>
          <w:b w:val="1"/>
          <w:rtl w:val="0"/>
        </w:rPr>
        <w:t xml:space="preserve">Geographic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shares sum ≈100%</w:t>
      </w:r>
      <w:r w:rsidDel="00000000" w:rsidR="00000000" w:rsidRPr="00000000">
        <w:rPr>
          <w:rtl w:val="0"/>
        </w:rPr>
        <w:t xml:space="preserve"> (±1–2% rounding); otherwise include footnote “segments do not fully reconcile to 100% due to disclosure granularity”</w:t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oicrz7mhfp6a" w:id="11"/>
      <w:bookmarkEnd w:id="11"/>
      <w:r w:rsidDel="00000000" w:rsidR="00000000" w:rsidRPr="00000000">
        <w:rPr>
          <w:sz w:val="26"/>
          <w:szCs w:val="26"/>
          <w:rtl w:val="0"/>
        </w:rPr>
        <w:t xml:space="preserve">Notes &amp; Guardrails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GAAP vs non-GAAP:</w:t>
      </w:r>
      <w:r w:rsidDel="00000000" w:rsidR="00000000" w:rsidRPr="00000000">
        <w:rPr>
          <w:rtl w:val="0"/>
        </w:rPr>
        <w:t xml:space="preserve"> Use GAAP by default; if non-GAAP used (e.g., Adj. EPS), </w:t>
      </w:r>
      <w:r w:rsidDel="00000000" w:rsidR="00000000" w:rsidRPr="00000000">
        <w:rPr>
          <w:b w:val="1"/>
          <w:rtl w:val="0"/>
        </w:rPr>
        <w:t xml:space="preserve">label explicitly</w:t>
      </w:r>
      <w:r w:rsidDel="00000000" w:rsidR="00000000" w:rsidRPr="00000000">
        <w:rPr>
          <w:rtl w:val="0"/>
        </w:rPr>
        <w:t xml:space="preserve">.</w:t>
        <w:br w:type="textWrapping"/>
        <w:t xml:space="preserve"> ~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labeling_policy.enforce()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Currency display:</w:t>
      </w:r>
      <w:r w:rsidDel="00000000" w:rsidR="00000000" w:rsidRPr="00000000">
        <w:rPr>
          <w:rtl w:val="0"/>
        </w:rPr>
        <w:t xml:space="preserve"> Use billions with one decimal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$35.0B</w:t>
      </w:r>
      <w:r w:rsidDel="00000000" w:rsidR="00000000" w:rsidRPr="00000000">
        <w:rPr>
          <w:rtl w:val="0"/>
        </w:rPr>
        <w:t xml:space="preserve">); margins to one decimal.</w:t>
        <w:br w:type="textWrapping"/>
        <w:t xml:space="preserve"> ~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formatting.rules()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fields:</w:t>
      </w:r>
      <w:r w:rsidDel="00000000" w:rsidR="00000000" w:rsidRPr="00000000">
        <w:rPr>
          <w:rtl w:val="0"/>
        </w:rPr>
        <w:t xml:space="preserve"> Omit the line; never output zeros as placeholders.</w:t>
        <w:br w:type="textWrapping"/>
        <w:t xml:space="preserve"> ~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null_handling.skip()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Traceability:</w:t>
      </w:r>
      <w:r w:rsidDel="00000000" w:rsidR="00000000" w:rsidRPr="00000000">
        <w:rPr>
          <w:rtl w:val="0"/>
        </w:rPr>
        <w:t xml:space="preserve"> Store CapIQ request IDs + timestamps for Fundamentals, Estimates, Segments.</w:t>
        <w:br w:type="textWrapping"/>
        <w:t xml:space="preserve"> ~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audit.attach(meta)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er3529ceg2nb" w:id="12"/>
      <w:bookmarkEnd w:id="12"/>
      <w:r w:rsidDel="00000000" w:rsidR="00000000" w:rsidRPr="00000000">
        <w:rPr>
          <w:sz w:val="34"/>
          <w:szCs w:val="34"/>
          <w:rtl w:val="0"/>
        </w:rPr>
        <w:t xml:space="preserve">Developer Checklist (copy/paste)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Fonts w:ascii="Cardo" w:cs="Cardo" w:eastAsia="Cardo" w:hAnsi="Cardo"/>
          <w:rtl w:val="0"/>
        </w:rPr>
        <w:t xml:space="preserve"> FY fundamentals (Revenue, OI, EBITDA, EPS) → compute margins &amp; YoY.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consensus FY+1/FY+2 (Revenue, EPS, margins) + snapshot date.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Fonts w:ascii="Cardo" w:cs="Cardo" w:eastAsia="Cardo" w:hAnsi="Cardo"/>
          <w:rtl w:val="0"/>
        </w:rPr>
        <w:t xml:space="preserve"> latest FY business segments → compute % mix and YoY if available.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LLM</w:t>
      </w:r>
      <w:r w:rsidDel="00000000" w:rsidR="00000000" w:rsidRPr="00000000">
        <w:rPr>
          <w:rtl w:val="0"/>
        </w:rPr>
        <w:t xml:space="preserve"> on structured data to output 3–5 bullet </w:t>
      </w:r>
      <w:r w:rsidDel="00000000" w:rsidR="00000000" w:rsidRPr="00000000">
        <w:rPr>
          <w:b w:val="1"/>
          <w:rtl w:val="0"/>
        </w:rPr>
        <w:t xml:space="preserve">Trends</w:t>
      </w:r>
      <w:r w:rsidDel="00000000" w:rsidR="00000000" w:rsidRPr="00000000">
        <w:rPr>
          <w:rtl w:val="0"/>
        </w:rPr>
        <w:t xml:space="preserve"> (no jargon, banker-ready).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in the exact block order above; apply formatting/rounding rules; attach notes/metadata.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convert this into a </w:t>
      </w:r>
      <w:r w:rsidDel="00000000" w:rsidR="00000000" w:rsidRPr="00000000">
        <w:rPr>
          <w:b w:val="1"/>
          <w:rtl w:val="0"/>
        </w:rPr>
        <w:t xml:space="preserve">JSON “render spec”</w:t>
      </w:r>
      <w:r w:rsidDel="00000000" w:rsidR="00000000" w:rsidRPr="00000000">
        <w:rPr>
          <w:rtl w:val="0"/>
        </w:rPr>
        <w:t xml:space="preserve"> your team can use to auto-generate the section (with keys for each line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</w:t>
      </w:r>
      <w:r w:rsidDel="00000000" w:rsidR="00000000" w:rsidRPr="00000000">
        <w:rPr>
          <w:rtl w:val="0"/>
        </w:rPr>
        <w:t xml:space="preserve"> field beside it).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