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*Professional Brand: * You brand is rooted in being a great problem-solver who thrives in ambiguity and brings structure, clarity, and direction to open-ended challenges. You’re the kind of person others naturally turn to when things feel undefined - because you help shape the problem, explore options, and move toward tangible next steps. A great example of this was when we were working on the North Star framework for product management - we went in with a rough idea, and through brainstorming with you, we aligned on both the structure and the best way to communicate it to the business. You consistently add value by turning scattered thoughts into actionable strategies.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Strenghts: One of your greatest strengths is your genuine willingness to help and your approachable nature — you consistently support others with clarity, kindness, and strong intent, even when it’s beyond your direct responsibilities. You communicate with honesty and openeness, and it’s clear that you’re driven by strong core values. Another standout trait is your curiosity and drive to go above and beyond. I saw this firsthand when you jumped onto the Aiden, even though it wasn’t your formal mandate - you took time to understand IB workflows by talking to bankers outside RBC, and our disccussions helped shape the Aiden Note Taker. That kind of initiative and value-driven action speaks volumes about your impact.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Growth Opportunities With your strong foundation in consulting and engineering, you’re well-positioned to grow into someone who uniquely bridges both product management and program delivery. You already bring strategic thinking and disciplined execution - now it’s about owning that combined story more visibly. For example, your early contributions to Aiden and to MATA Index Analytics GTM showed how much value you can add in product discovery and cross-functional thinking. With more focus on shaping product narratives, influencing senior stakeholders, and leading at a broader scale, I believe you’ll unlock even greater value - not just for yourself, but for RBC as a whole.</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1" w:lineRule="auto"/>
      <w:ind w:right="366"/>
      <w:jc w:val="right"/>
    </w:pPr>
    <w:rPr>
      <w:rFonts w:ascii="Times New Roman" w:cs="Times New Roman" w:eastAsia="Times New Roman" w:hAnsi="Times New Roman"/>
      <w:sz w:val="23"/>
      <w:szCs w:val="23"/>
    </w:rPr>
  </w:style>
  <w:style w:type="paragraph" w:styleId="Heading2">
    <w:name w:val="heading 2"/>
    <w:basedOn w:val="Normal"/>
    <w:next w:val="Normal"/>
    <w:pPr>
      <w:ind w:left="251"/>
    </w:pPr>
    <w:rPr>
      <w:rFonts w:ascii="Times New Roman" w:cs="Times New Roman" w:eastAsia="Times New Roman" w:hAnsi="Times New Roman"/>
      <w:b w:val="1"/>
      <w:sz w:val="22"/>
      <w:szCs w:val="22"/>
    </w:rPr>
  </w:style>
  <w:style w:type="paragraph" w:styleId="Heading3">
    <w:name w:val="heading 3"/>
    <w:basedOn w:val="Normal"/>
    <w:next w:val="Normal"/>
    <w:pPr>
      <w:ind w:left="258"/>
    </w:pPr>
    <w:rPr>
      <w:rFonts w:ascii="Times New Roman" w:cs="Times New Roman" w:eastAsia="Times New Roman" w:hAnsi="Times New Roman"/>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6" w:lineRule="auto"/>
      <w:ind w:left="367"/>
    </w:pPr>
    <w:rPr>
      <w:rFonts w:ascii="Times New Roman" w:cs="Times New Roman" w:eastAsia="Times New Roman" w:hAnsi="Times New Roman"/>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