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Salesforce’s most recent Form 10-K (annual report), extract the following metrics that are core and specific to Salesforce’s SaaS business model: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Current Remaining Performance Obligation (CRPO) for the fiscal year, and the year-over-year change compared to the prior fiscal year.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Subscription &amp; Support revenue as a percentage of total revenue (revenue mix), and the year-over-year change compared to the prior fiscal year.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the result clearly formatted as: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Fiscal Year: [Year]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CRPO: $X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Change vs prior year: Up/Down Y%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Subscription &amp; Support Revenue Mix: Z%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Change vs prior year: Up/Down A percentage points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only the official SEC 10-K filing (do not use press releases, websites, or third-party sources).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 state the exact filing date.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Salesforce’s most recent Form 10-K (annual report), extract the total annual revenue and the year-over-year change compared to the prior fiscal year.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the result clearly formatted as: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Fiscal Year: [Year]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revenue: $X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Change vs prior year: Up/Down Y%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only the official SEC 10-K filing (do not use press releases, websites, or third-party sources).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 state the exact filing date.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