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 Regulatory Compliance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From Salesforce’s most recent SEC filings, extract all regulatory and legal risks flagged in the </w:t>
      </w:r>
      <w:r w:rsidDel="00000000" w:rsidR="00000000" w:rsidRPr="00000000">
        <w:rPr>
          <w:i w:val="1"/>
          <w:rtl w:val="0"/>
        </w:rPr>
        <w:t xml:space="preserve">Risk Factors</w:t>
      </w:r>
      <w:r w:rsidDel="00000000" w:rsidR="00000000" w:rsidRPr="00000000">
        <w:rPr>
          <w:rtl w:val="0"/>
        </w:rPr>
        <w:t xml:space="preserve"> section. Summarize each distinct regulatory issue in 1–2 sentences, grouped by theme. For each issue, include: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The risk description (e.g., data privacy, AI regulation, export controls)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The specific regulation(s) or jurisdiction(s) mentioned (e.g., GDPR, CCPA/CPRA, EU AI Act, U.S. TCPA)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A short note on the potential impact (e.g., penalties, business model restrictions, contract terminations)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The filing type (10-K or 10-Q), fiscal year/quarter, and filing date as the source citation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Return the results as a table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5"/>
        <w:gridCol w:w="4220"/>
        <w:gridCol w:w="1400"/>
        <w:gridCol w:w="935"/>
        <w:tblGridChange w:id="0">
          <w:tblGrid>
            <w:gridCol w:w="3095"/>
            <w:gridCol w:w="4220"/>
            <w:gridCol w:w="1400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Regulatory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Filing(s)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600" w:right="6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Privacy &amp; data-protection laws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Expanding obligations under GDPR, CCPA/CPRA, and other regimes; risk of penalties, enforcement, and business practice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FY2025, 10-Q Q2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600" w:right="60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AI-specific regulation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Emerging rules (EU AI Act, Utah &amp; Colorado AI statutes, draft CCPA rules on automated decision-making); non-compliance could adversely impact business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600" w:right="60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Cross-border data transfers &amp; sovereignty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Restrictions and evolving frameworks may limit adoption and require operational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600" w:right="60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Online platform liability &amp; safe harbors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Narrowing/removal of safe harbors (copyright/defamation) could increase exposure; active legal matters noted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600" w:right="60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Communications/marketing laws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Exposure under TCPA and similar laws governing outreach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FY2025, 10-Q Q2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600" w:right="60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Antitrust &amp; competition scrutiny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Global efforts to tighten competition rules for digital markets could force compliance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FY2025, 10-Q Q2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600" w:right="600" w:firstLine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Export controls &amp; sanctions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Restrictions on providing products/services to sanctioned parties; heightened geopolitical enforcement risk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600" w:right="600" w:firstLine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Government contracting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Audits, inquiries, or investigations tied to contracts may reduce use or lead to termination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600" w:right="600" w:firstLine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Tax law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Global/federal/state tax reforms (incl. OECD Pillar Two) may affect cash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600" w:right="600" w:firstLine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ESG &amp; climate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Climate-related regulatory and physical risks could disrupt operations and add compliance 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600" w:right="600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Cybersecurity regulation/reporting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Heightened regulatory requirements; material impact possible even without past major breaches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600" w:right="600" w:firstLine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Investment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Salesforce’s earnings calls, or Sec filing extract major technology investment announcements . Return as: "$X investment in [area], over Y years." 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Expansion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Salesforce’s most recent Sec fillings extract all statements about </w:t>
      </w:r>
      <w:r w:rsidDel="00000000" w:rsidR="00000000" w:rsidRPr="00000000">
        <w:rPr>
          <w:b w:val="1"/>
          <w:i w:val="1"/>
          <w:rtl w:val="0"/>
        </w:rPr>
        <w:t xml:space="preserve">market expansion initiatives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initiative, return: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filing type (10-K or 10-Q)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fiscal year or quarter covered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initiative (short phrase, e.g., “geographic expansion,” “vertical industry solutions”)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1–2 sentence description of the initiative, in Salesforce’s own words where possible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results in a Markdown table with columns: Filing | Period Covered | Expansion Initiative | Notes.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right="60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430"/>
        <w:gridCol w:w="2465"/>
        <w:gridCol w:w="4220"/>
        <w:tblGridChange w:id="0">
          <w:tblGrid>
            <w:gridCol w:w="1535"/>
            <w:gridCol w:w="1430"/>
            <w:gridCol w:w="2465"/>
            <w:gridCol w:w="42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right="6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right="6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right="6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Expansion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right="60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10-K FY2025 (ended Jan 31,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Fiscal year ended January 31,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Increasing geographic reach, via extending go-to-market globally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 to new customers in new regions; investing in domestic &amp; international operations and infrastructure. (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Fiscal year ended January 31,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Expanding industry-specific reach with more vertical software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“out‐of‐the‐box” solutions for certain industries (e.g. financial services, healthcare &amp; life sciences, manufacturing). (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10-K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Fiscal year ended January 31,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Driving multiple service-offering adoption &amp; cross-selling / upselling with existing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want more of their suite sold within the installed base, adding new products/features/functional areas/business units. (</w:t>
            </w: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10-Q Q1 FY2025 (quarter ended April 30, 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Three months ended April 30,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Increasing penetration with enterprise &amp; international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of growth levers; tied with expanding industry-specific reach. (</w:t>
            </w: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10-Q Q1 FY2025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Three months ended April 30,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Industry-vertical expansion (“more vertical software solutions”)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right="6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Also noted in the same growth-lever list. (</w:t>
            </w: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Salesforce’s most recent SEC filings and earnings call transcripts (filed with or referenced in 8-Ks), extract all disclosures about strategic partnerships or alliances announced or expanded in the past 12 months.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partnership or alliance, provide: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Filing type or Earnings Call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/ Fiscal period covered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name(s) (if disclosed)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partnership or expansion (1–2 sentences, in Salesforce’s own words where possible)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or business purpose (e.g., “partners included in top 10 deals,” “expanded industry collaboration,” “pending launch”)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output as a Markdown table with columns: Source | Date / Period | Partner(s) | Description | Notes.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205.q4cdn.com/626266368/files/doc_financials/2025/q1/406ce68c-f5bf-44af-875f-eed4356965f1.pdf?utm_source=chatgpt.com" TargetMode="External"/><Relationship Id="rId11" Type="http://schemas.openxmlformats.org/officeDocument/2006/relationships/hyperlink" Target="https://www.sec.gov/Archives/edgar/data/1108524/000110852425000006/crm-20250131.htm" TargetMode="External"/><Relationship Id="rId10" Type="http://schemas.openxmlformats.org/officeDocument/2006/relationships/hyperlink" Target="https://www.sec.gov/Archives/edgar/data/1108524/000110852425000006/crm-20250131.htm" TargetMode="External"/><Relationship Id="rId21" Type="http://schemas.openxmlformats.org/officeDocument/2006/relationships/hyperlink" Target="https://s205.q4cdn.com/626266368/files/doc_financials/2025/q1/406ce68c-f5bf-44af-875f-eed4356965f1.pdf?utm_source=chatgpt.com" TargetMode="External"/><Relationship Id="rId13" Type="http://schemas.openxmlformats.org/officeDocument/2006/relationships/hyperlink" Target="https://www.sec.gov/Archives/edgar/data/1108524/000110852425000006/crm-20250131.htm" TargetMode="External"/><Relationship Id="rId12" Type="http://schemas.openxmlformats.org/officeDocument/2006/relationships/hyperlink" Target="https://www.sec.gov/Archives/edgar/data/1108524/000110852425000006/crm-2025013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c.gov/Archives/edgar/data/1108524/000110852425000006/crm-20250131.htm" TargetMode="External"/><Relationship Id="rId15" Type="http://schemas.openxmlformats.org/officeDocument/2006/relationships/hyperlink" Target="https://www.sec.gov/Archives/edgar/data/1108524/000110852425000006/crm-20250131.htm" TargetMode="External"/><Relationship Id="rId14" Type="http://schemas.openxmlformats.org/officeDocument/2006/relationships/hyperlink" Target="https://www.sec.gov/Archives/edgar/data/1108524/000110852425000006/crm-20250131.htm" TargetMode="External"/><Relationship Id="rId17" Type="http://schemas.openxmlformats.org/officeDocument/2006/relationships/hyperlink" Target="https://www.sec.gov/Archives/edgar/data/1108524/000110852425000006/crm-20250131.htm?utm_source=chatgpt.com" TargetMode="External"/><Relationship Id="rId16" Type="http://schemas.openxmlformats.org/officeDocument/2006/relationships/hyperlink" Target="https://www.sec.gov/Archives/edgar/data/1108524/000110852425000006/crm-20250131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ec.gov/Archives/edgar/data/1108524/000110852425000006/crm-20250131.htm?utm_source=chatgpt.com" TargetMode="External"/><Relationship Id="rId6" Type="http://schemas.openxmlformats.org/officeDocument/2006/relationships/hyperlink" Target="https://www.sec.gov/Archives/edgar/data/1108524/000110852425000006/crm-20250131.htm" TargetMode="External"/><Relationship Id="rId18" Type="http://schemas.openxmlformats.org/officeDocument/2006/relationships/hyperlink" Target="https://www.sec.gov/Archives/edgar/data/1108524/000110852425000006/crm-20250131.htm?utm_source=chatgpt.com" TargetMode="External"/><Relationship Id="rId7" Type="http://schemas.openxmlformats.org/officeDocument/2006/relationships/hyperlink" Target="https://www.sec.gov/Archives/edgar/data/1108524/000110852425000006/crm-20250131.htm" TargetMode="External"/><Relationship Id="rId8" Type="http://schemas.openxmlformats.org/officeDocument/2006/relationships/hyperlink" Target="https://www.sec.gov/Archives/edgar/data/1108524/000110852425000006/crm-202501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