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240" w:before="240" w:lineRule="auto"/>
        <w:ind w:right="0"/>
        <w:jc w:val="left"/>
        <w:rPr>
          <w:sz w:val="22"/>
          <w:szCs w:val="22"/>
        </w:rPr>
      </w:pPr>
      <w:bookmarkStart w:colFirst="0" w:colLast="0" w:name="_sn4tlhbj40uw" w:id="0"/>
      <w:bookmarkEnd w:id="0"/>
      <w:r w:rsidDel="00000000" w:rsidR="00000000" w:rsidRPr="00000000">
        <w:rPr>
          <w:sz w:val="22"/>
          <w:szCs w:val="22"/>
          <w:rtl w:val="0"/>
        </w:rPr>
        <w:t xml:space="preserve">Subject: Research Summary: Improving Client Meeting Prep for Investment Banking Teams</w:t>
      </w:r>
    </w:p>
    <w:p w:rsidR="00000000" w:rsidDel="00000000" w:rsidP="00000000" w:rsidRDefault="00000000" w:rsidRPr="00000000" w14:paraId="00000002">
      <w:pPr>
        <w:pStyle w:val="Heading1"/>
        <w:spacing w:after="240" w:before="240" w:lineRule="auto"/>
        <w:ind w:right="0"/>
        <w:jc w:val="left"/>
        <w:rPr>
          <w:sz w:val="22"/>
          <w:szCs w:val="22"/>
        </w:rPr>
      </w:pPr>
      <w:bookmarkStart w:colFirst="0" w:colLast="0" w:name="_sn4tlhbj40uw" w:id="0"/>
      <w:bookmarkEnd w:id="0"/>
      <w:r w:rsidDel="00000000" w:rsidR="00000000" w:rsidRPr="00000000">
        <w:rPr>
          <w:sz w:val="22"/>
          <w:szCs w:val="22"/>
          <w:rtl w:val="0"/>
        </w:rPr>
        <w:t xml:space="preserve">Hi team,</w:t>
      </w:r>
    </w:p>
    <w:p w:rsidR="00000000" w:rsidDel="00000000" w:rsidP="00000000" w:rsidRDefault="00000000" w:rsidRPr="00000000" w14:paraId="00000003">
      <w:pPr>
        <w:pStyle w:val="Heading1"/>
        <w:spacing w:after="240" w:before="240" w:lineRule="auto"/>
        <w:ind w:right="0"/>
        <w:jc w:val="left"/>
        <w:rPr>
          <w:sz w:val="22"/>
          <w:szCs w:val="22"/>
        </w:rPr>
      </w:pPr>
      <w:bookmarkStart w:colFirst="0" w:colLast="0" w:name="_sn4tlhbj40uw" w:id="0"/>
      <w:bookmarkEnd w:id="0"/>
      <w:r w:rsidDel="00000000" w:rsidR="00000000" w:rsidRPr="00000000">
        <w:rPr>
          <w:sz w:val="22"/>
          <w:szCs w:val="22"/>
          <w:rtl w:val="0"/>
        </w:rPr>
        <w:t xml:space="preserve">As part of our ongoing effort to rethink and improve how we support senior bankers in client meetings, I’ve conducted in-depth research on the end-to-end workflow of investment banking meeting preparation, using ServiceNow as a representative client.</w:t>
      </w:r>
    </w:p>
    <w:p w:rsidR="00000000" w:rsidDel="00000000" w:rsidP="00000000" w:rsidRDefault="00000000" w:rsidRPr="00000000" w14:paraId="00000004">
      <w:pPr>
        <w:pStyle w:val="Heading1"/>
        <w:spacing w:after="240" w:before="240" w:lineRule="auto"/>
        <w:ind w:right="0"/>
        <w:jc w:val="left"/>
        <w:rPr>
          <w:sz w:val="22"/>
          <w:szCs w:val="22"/>
        </w:rPr>
      </w:pPr>
      <w:bookmarkStart w:colFirst="0" w:colLast="0" w:name="_sn4tlhbj40uw" w:id="0"/>
      <w:bookmarkEnd w:id="0"/>
      <w:r w:rsidDel="00000000" w:rsidR="00000000" w:rsidRPr="00000000">
        <w:rPr>
          <w:sz w:val="22"/>
          <w:szCs w:val="22"/>
          <w:rtl w:val="0"/>
        </w:rPr>
        <w:t xml:space="preserve">I’m sharing a comprehensive briefing that captures how top-tier banks (e.g., Goldman Sachs, Morgan Stanley) structure their client prep—from data gathering and internal coordination to GenAI-native tools and post-meeting follow-up. The research is designed to ground our thinking in real-world workflows while identifying opportunities to modernize and differentiate our experience.</w:t>
      </w:r>
    </w:p>
    <w:p w:rsidR="00000000" w:rsidDel="00000000" w:rsidP="00000000" w:rsidRDefault="00000000" w:rsidRPr="00000000" w14:paraId="00000005">
      <w:pPr>
        <w:pStyle w:val="Heading1"/>
        <w:spacing w:after="240" w:before="240" w:lineRule="auto"/>
        <w:ind w:right="0"/>
        <w:jc w:val="left"/>
        <w:rPr>
          <w:sz w:val="22"/>
          <w:szCs w:val="22"/>
        </w:rPr>
      </w:pPr>
      <w:bookmarkStart w:colFirst="0" w:colLast="0" w:name="_sn4tlhbj40uw" w:id="0"/>
      <w:bookmarkEnd w:id="0"/>
      <w:r w:rsidDel="00000000" w:rsidR="00000000" w:rsidRPr="00000000">
        <w:rPr>
          <w:sz w:val="22"/>
          <w:szCs w:val="22"/>
          <w:rtl w:val="0"/>
        </w:rPr>
        <w:t xml:space="preserve">What this research includes:</w:t>
      </w:r>
    </w:p>
    <w:p w:rsidR="00000000" w:rsidDel="00000000" w:rsidP="00000000" w:rsidRDefault="00000000" w:rsidRPr="00000000" w14:paraId="00000006">
      <w:pPr>
        <w:pStyle w:val="Heading1"/>
        <w:numPr>
          <w:ilvl w:val="0"/>
          <w:numId w:val="9"/>
        </w:numPr>
        <w:spacing w:after="0" w:afterAutospacing="0" w:before="240" w:lineRule="auto"/>
        <w:ind w:left="720" w:right="0" w:hanging="360"/>
        <w:jc w:val="left"/>
        <w:rPr>
          <w:sz w:val="22"/>
          <w:szCs w:val="22"/>
        </w:rPr>
      </w:pPr>
      <w:bookmarkStart w:colFirst="0" w:colLast="0" w:name="_sn4tlhbj40uw" w:id="0"/>
      <w:bookmarkEnd w:id="0"/>
      <w:r w:rsidDel="00000000" w:rsidR="00000000" w:rsidRPr="00000000">
        <w:rPr>
          <w:sz w:val="22"/>
          <w:szCs w:val="22"/>
          <w:rtl w:val="0"/>
        </w:rPr>
        <w:t xml:space="preserve">A full end-to-end workflow of how investment bankers prepare for a meeting</w:t>
        <w:br w:type="textWrapping"/>
      </w:r>
    </w:p>
    <w:p w:rsidR="00000000" w:rsidDel="00000000" w:rsidP="00000000" w:rsidRDefault="00000000" w:rsidRPr="00000000" w14:paraId="00000007">
      <w:pPr>
        <w:pStyle w:val="Heading1"/>
        <w:numPr>
          <w:ilvl w:val="0"/>
          <w:numId w:val="9"/>
        </w:numPr>
        <w:spacing w:after="0" w:afterAutospacing="0" w:before="0" w:beforeAutospacing="0" w:lineRule="auto"/>
        <w:ind w:left="720" w:right="0" w:hanging="360"/>
        <w:jc w:val="left"/>
        <w:rPr>
          <w:sz w:val="22"/>
          <w:szCs w:val="22"/>
        </w:rPr>
      </w:pPr>
      <w:bookmarkStart w:colFirst="0" w:colLast="0" w:name="_sn4tlhbj40uw" w:id="0"/>
      <w:bookmarkEnd w:id="0"/>
      <w:r w:rsidDel="00000000" w:rsidR="00000000" w:rsidRPr="00000000">
        <w:rPr>
          <w:sz w:val="22"/>
          <w:szCs w:val="22"/>
          <w:rtl w:val="0"/>
        </w:rPr>
        <w:t xml:space="preserve">The different types of client meetings (e.g., M&amp;A pitch, strategic review, IPO readiness) and what success looks like in each</w:t>
        <w:br w:type="textWrapping"/>
      </w:r>
    </w:p>
    <w:p w:rsidR="00000000" w:rsidDel="00000000" w:rsidP="00000000" w:rsidRDefault="00000000" w:rsidRPr="00000000" w14:paraId="00000008">
      <w:pPr>
        <w:pStyle w:val="Heading1"/>
        <w:numPr>
          <w:ilvl w:val="0"/>
          <w:numId w:val="9"/>
        </w:numPr>
        <w:spacing w:after="0" w:afterAutospacing="0" w:before="0" w:beforeAutospacing="0" w:lineRule="auto"/>
        <w:ind w:left="720" w:right="0" w:hanging="360"/>
        <w:jc w:val="left"/>
        <w:rPr>
          <w:sz w:val="22"/>
          <w:szCs w:val="22"/>
        </w:rPr>
      </w:pPr>
      <w:bookmarkStart w:colFirst="0" w:colLast="0" w:name="_sn4tlhbj40uw" w:id="0"/>
      <w:bookmarkEnd w:id="0"/>
      <w:r w:rsidDel="00000000" w:rsidR="00000000" w:rsidRPr="00000000">
        <w:rPr>
          <w:sz w:val="22"/>
          <w:szCs w:val="22"/>
          <w:rtl w:val="0"/>
        </w:rPr>
        <w:t xml:space="preserve">The roles and responsibilities of Analysts, Associates, VPs, and MDs</w:t>
        <w:br w:type="textWrapping"/>
      </w:r>
    </w:p>
    <w:p w:rsidR="00000000" w:rsidDel="00000000" w:rsidP="00000000" w:rsidRDefault="00000000" w:rsidRPr="00000000" w14:paraId="00000009">
      <w:pPr>
        <w:pStyle w:val="Heading1"/>
        <w:numPr>
          <w:ilvl w:val="0"/>
          <w:numId w:val="9"/>
        </w:numPr>
        <w:spacing w:after="0" w:afterAutospacing="0" w:before="0" w:beforeAutospacing="0" w:lineRule="auto"/>
        <w:ind w:left="720" w:right="0" w:hanging="360"/>
        <w:jc w:val="left"/>
        <w:rPr>
          <w:sz w:val="22"/>
          <w:szCs w:val="22"/>
        </w:rPr>
      </w:pPr>
      <w:bookmarkStart w:colFirst="0" w:colLast="0" w:name="_sn4tlhbj40uw" w:id="0"/>
      <w:bookmarkEnd w:id="0"/>
      <w:r w:rsidDel="00000000" w:rsidR="00000000" w:rsidRPr="00000000">
        <w:rPr>
          <w:sz w:val="22"/>
          <w:szCs w:val="22"/>
          <w:rtl w:val="0"/>
        </w:rPr>
        <w:t xml:space="preserve">A summary of tools and data sources commonly used in prep (e.g., CapIQ, FactSet, CRM)</w:t>
        <w:br w:type="textWrapping"/>
      </w:r>
    </w:p>
    <w:p w:rsidR="00000000" w:rsidDel="00000000" w:rsidP="00000000" w:rsidRDefault="00000000" w:rsidRPr="00000000" w14:paraId="0000000A">
      <w:pPr>
        <w:pStyle w:val="Heading1"/>
        <w:numPr>
          <w:ilvl w:val="0"/>
          <w:numId w:val="9"/>
        </w:numPr>
        <w:spacing w:after="0" w:afterAutospacing="0" w:before="0" w:beforeAutospacing="0" w:lineRule="auto"/>
        <w:ind w:left="720" w:right="0" w:hanging="360"/>
        <w:jc w:val="left"/>
        <w:rPr>
          <w:sz w:val="22"/>
          <w:szCs w:val="22"/>
        </w:rPr>
      </w:pPr>
      <w:bookmarkStart w:colFirst="0" w:colLast="0" w:name="_sn4tlhbj40uw" w:id="0"/>
      <w:bookmarkEnd w:id="0"/>
      <w:r w:rsidDel="00000000" w:rsidR="00000000" w:rsidRPr="00000000">
        <w:rPr>
          <w:sz w:val="22"/>
          <w:szCs w:val="22"/>
          <w:rtl w:val="0"/>
        </w:rPr>
        <w:t xml:space="preserve">Best practices from bulge bracket banks that lead to more impactful client conversations</w:t>
        <w:br w:type="textWrapping"/>
      </w:r>
    </w:p>
    <w:p w:rsidR="00000000" w:rsidDel="00000000" w:rsidP="00000000" w:rsidRDefault="00000000" w:rsidRPr="00000000" w14:paraId="0000000B">
      <w:pPr>
        <w:pStyle w:val="Heading1"/>
        <w:numPr>
          <w:ilvl w:val="0"/>
          <w:numId w:val="9"/>
        </w:numPr>
        <w:spacing w:after="0" w:afterAutospacing="0" w:before="0" w:beforeAutospacing="0" w:lineRule="auto"/>
        <w:ind w:left="720" w:right="0" w:hanging="360"/>
        <w:jc w:val="left"/>
        <w:rPr>
          <w:sz w:val="22"/>
          <w:szCs w:val="22"/>
        </w:rPr>
      </w:pPr>
      <w:bookmarkStart w:colFirst="0" w:colLast="0" w:name="_sn4tlhbj40uw" w:id="0"/>
      <w:bookmarkEnd w:id="0"/>
      <w:r w:rsidDel="00000000" w:rsidR="00000000" w:rsidRPr="00000000">
        <w:rPr>
          <w:sz w:val="22"/>
          <w:szCs w:val="22"/>
          <w:rtl w:val="0"/>
        </w:rPr>
        <w:t xml:space="preserve">Common pain points in the current prep process, and how GenAI or workflow tools can solve them</w:t>
        <w:br w:type="textWrapping"/>
      </w:r>
    </w:p>
    <w:p w:rsidR="00000000" w:rsidDel="00000000" w:rsidP="00000000" w:rsidRDefault="00000000" w:rsidRPr="00000000" w14:paraId="0000000C">
      <w:pPr>
        <w:pStyle w:val="Heading1"/>
        <w:numPr>
          <w:ilvl w:val="0"/>
          <w:numId w:val="9"/>
        </w:numPr>
        <w:spacing w:after="240" w:before="0" w:beforeAutospacing="0" w:lineRule="auto"/>
        <w:ind w:left="720" w:right="0" w:hanging="360"/>
        <w:jc w:val="left"/>
        <w:rPr>
          <w:sz w:val="22"/>
          <w:szCs w:val="22"/>
        </w:rPr>
      </w:pPr>
      <w:bookmarkStart w:colFirst="0" w:colLast="0" w:name="_sn4tlhbj40uw" w:id="0"/>
      <w:bookmarkEnd w:id="0"/>
      <w:r w:rsidDel="00000000" w:rsidR="00000000" w:rsidRPr="00000000">
        <w:rPr>
          <w:sz w:val="22"/>
          <w:szCs w:val="22"/>
          <w:rtl w:val="0"/>
        </w:rPr>
        <w:t xml:space="preserve">A breakdown of success metrics and post-meeting actions used to measure meeting effectiveness</w:t>
        <w:br w:type="textWrapping"/>
      </w:r>
    </w:p>
    <w:p w:rsidR="00000000" w:rsidDel="00000000" w:rsidP="00000000" w:rsidRDefault="00000000" w:rsidRPr="00000000" w14:paraId="0000000D">
      <w:pPr>
        <w:pStyle w:val="Heading1"/>
        <w:spacing w:after="240" w:before="240" w:lineRule="auto"/>
        <w:ind w:right="0"/>
        <w:jc w:val="left"/>
        <w:rPr>
          <w:sz w:val="22"/>
          <w:szCs w:val="22"/>
        </w:rPr>
      </w:pPr>
      <w:bookmarkStart w:colFirst="0" w:colLast="0" w:name="_sn4tlhbj40uw" w:id="0"/>
      <w:bookmarkEnd w:id="0"/>
      <w:r w:rsidDel="00000000" w:rsidR="00000000" w:rsidRPr="00000000">
        <w:rPr>
          <w:sz w:val="22"/>
          <w:szCs w:val="22"/>
          <w:rtl w:val="0"/>
        </w:rPr>
        <w:t xml:space="preserve">This research can serve as a foundational reference as we reimagine the banker experience. Happy to walk through this in more detail or discuss how it can inform the next phase of our design.</w:t>
      </w:r>
    </w:p>
    <w:p w:rsidR="00000000" w:rsidDel="00000000" w:rsidP="00000000" w:rsidRDefault="00000000" w:rsidRPr="00000000" w14:paraId="0000000E">
      <w:pPr>
        <w:pStyle w:val="Heading1"/>
        <w:spacing w:after="240" w:before="240" w:lineRule="auto"/>
        <w:ind w:right="0"/>
        <w:jc w:val="left"/>
        <w:rPr>
          <w:sz w:val="22"/>
          <w:szCs w:val="22"/>
        </w:rPr>
      </w:pPr>
      <w:bookmarkStart w:colFirst="0" w:colLast="0" w:name="_sn4tlhbj40uw" w:id="0"/>
      <w:bookmarkEnd w:id="0"/>
      <w:r w:rsidDel="00000000" w:rsidR="00000000" w:rsidRPr="00000000">
        <w:rPr>
          <w:sz w:val="22"/>
          <w:szCs w:val="22"/>
          <w:rtl w:val="0"/>
        </w:rPr>
        <w:t xml:space="preserve">Best,</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9753600" cy="97536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9753600" cy="9753600"/>
                    </a:xfrm>
                    <a:prstGeom prst="rect"/>
                    <a:ln/>
                  </pic:spPr>
                </pic:pic>
              </a:graphicData>
            </a:graphic>
          </wp:inline>
        </w:drawing>
      </w:r>
      <w:r w:rsidDel="00000000" w:rsidR="00000000" w:rsidRPr="00000000">
        <w:rPr/>
        <w:drawing>
          <wp:inline distB="114300" distT="114300" distL="114300" distR="114300">
            <wp:extent cx="9753600" cy="97536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753600" cy="97536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9753600" cy="97536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753600" cy="9753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1"/>
        <w:spacing w:after="240" w:before="240" w:lineRule="auto"/>
        <w:ind w:right="0"/>
        <w:jc w:val="left"/>
        <w:rPr>
          <w:b w:val="1"/>
          <w:sz w:val="46"/>
          <w:szCs w:val="46"/>
        </w:rPr>
      </w:pPr>
      <w:bookmarkStart w:colFirst="0" w:colLast="0" w:name="_sn4tlhbj40uw" w:id="0"/>
      <w:bookmarkEnd w:id="0"/>
      <w:r w:rsidDel="00000000" w:rsidR="00000000" w:rsidRPr="00000000">
        <w:rPr>
          <w:rtl w:val="0"/>
        </w:rPr>
      </w:r>
    </w:p>
    <w:p w:rsidR="00000000" w:rsidDel="00000000" w:rsidP="00000000" w:rsidRDefault="00000000" w:rsidRPr="00000000" w14:paraId="00000014">
      <w:pPr>
        <w:pStyle w:val="Heading1"/>
        <w:spacing w:after="120" w:before="480" w:lineRule="auto"/>
        <w:ind w:right="0"/>
        <w:jc w:val="left"/>
        <w:rPr>
          <w:b w:val="1"/>
          <w:sz w:val="46"/>
          <w:szCs w:val="46"/>
        </w:rPr>
      </w:pPr>
      <w:bookmarkStart w:colFirst="0" w:colLast="0" w:name="_sn4tlhbj40uw" w:id="0"/>
      <w:bookmarkEnd w:id="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5">
      <w:pPr>
        <w:pStyle w:val="Heading1"/>
        <w:spacing w:after="120" w:before="480" w:lineRule="auto"/>
        <w:ind w:right="0"/>
        <w:jc w:val="left"/>
        <w:rPr>
          <w:b w:val="1"/>
          <w:sz w:val="46"/>
          <w:szCs w:val="46"/>
        </w:rPr>
      </w:pPr>
      <w:bookmarkStart w:colFirst="0" w:colLast="0" w:name="_hw3jhg18q2sa" w:id="1"/>
      <w:bookmarkEnd w:id="1"/>
      <w:r w:rsidDel="00000000" w:rsidR="00000000" w:rsidRPr="00000000">
        <w:rPr>
          <w:rtl w:val="0"/>
        </w:rPr>
      </w:r>
    </w:p>
    <w:p w:rsidR="00000000" w:rsidDel="00000000" w:rsidP="00000000" w:rsidRDefault="00000000" w:rsidRPr="00000000" w14:paraId="00000016">
      <w:pPr>
        <w:spacing w:after="240" w:before="240" w:lineRule="auto"/>
        <w:rPr/>
      </w:pPr>
      <w:r w:rsidDel="00000000" w:rsidR="00000000" w:rsidRPr="00000000">
        <w:rPr>
          <w:rtl w:val="0"/>
        </w:rPr>
        <w:t xml:space="preserve">Below is a comprehensive overview of how bankers prepare for a client meeting with ServiceNow, covering each stage of the process, types of meetings, tools and data, team roles, best practices, pain points, and how success is measured.</w:t>
      </w:r>
    </w:p>
    <w:p w:rsidR="00000000" w:rsidDel="00000000" w:rsidP="00000000" w:rsidRDefault="00000000" w:rsidRPr="00000000" w14:paraId="00000017">
      <w:pPr>
        <w:pStyle w:val="Heading2"/>
        <w:spacing w:after="80" w:before="360" w:lineRule="auto"/>
        <w:ind w:left="0"/>
        <w:rPr>
          <w:sz w:val="34"/>
          <w:szCs w:val="34"/>
        </w:rPr>
      </w:pPr>
      <w:bookmarkStart w:colFirst="0" w:colLast="0" w:name="_qqfjrddvjy84" w:id="2"/>
      <w:bookmarkEnd w:id="2"/>
      <w:r w:rsidDel="00000000" w:rsidR="00000000" w:rsidRPr="00000000">
        <w:rPr>
          <w:sz w:val="34"/>
          <w:szCs w:val="34"/>
          <w:rtl w:val="0"/>
        </w:rPr>
        <w:t xml:space="preserve">1. End-to-End Preparation Workflow</w:t>
      </w:r>
    </w:p>
    <w:p w:rsidR="00000000" w:rsidDel="00000000" w:rsidP="00000000" w:rsidRDefault="00000000" w:rsidRPr="00000000" w14:paraId="00000018">
      <w:pPr>
        <w:spacing w:after="240" w:before="240" w:lineRule="auto"/>
        <w:rPr/>
      </w:pPr>
      <w:r w:rsidDel="00000000" w:rsidR="00000000" w:rsidRPr="00000000">
        <w:rPr>
          <w:rtl w:val="0"/>
        </w:rPr>
        <w:t xml:space="preserve">Investment bankers approach client meeting prep as a multi-step project, starting from initial scheduling through final follow-ups. Each step is carefully managed to maximize the meeting’s impact:</w:t>
      </w:r>
    </w:p>
    <w:p w:rsidR="00000000" w:rsidDel="00000000" w:rsidP="00000000" w:rsidRDefault="00000000" w:rsidRPr="00000000" w14:paraId="00000019">
      <w:pPr>
        <w:numPr>
          <w:ilvl w:val="0"/>
          <w:numId w:val="1"/>
        </w:numPr>
        <w:spacing w:after="0" w:afterAutospacing="0" w:before="240" w:lineRule="auto"/>
        <w:ind w:left="720" w:hanging="360"/>
      </w:pPr>
      <w:r w:rsidDel="00000000" w:rsidR="00000000" w:rsidRPr="00000000">
        <w:rPr>
          <w:rtl w:val="0"/>
        </w:rPr>
        <w:t xml:space="preserve">Meeting Scheduling &amp; Agenda Setting: The process begins with the Managing Director (MD) or coverage banker (often the primary relationship manager) reaching out to ServiceNow’s executives (e.g. CFO or CEO) to arrange the meeting. This involves coordinating calendars (often via executive assistants) and agreeing on the meeting’s purpose and attendees. An agenda or at least a clear meeting objective is set in advance – for example, a discussion on potential AI-related acquisitions or a review of capital raising options. The MD leverages the established relationship to ensure the meeting is positioned as value-add for the client. At this stage, the team internally discusses what ServiceNow likely wants to hear and what the bank aims to achieve (e.g. showcasing a new idea or progressing a deal opportunity).</w:t>
        <w:br w:type="textWrapping"/>
      </w:r>
    </w:p>
    <w:p w:rsidR="00000000" w:rsidDel="00000000" w:rsidP="00000000" w:rsidRDefault="00000000" w:rsidRPr="00000000" w14:paraId="0000001A">
      <w:pPr>
        <w:numPr>
          <w:ilvl w:val="0"/>
          <w:numId w:val="1"/>
        </w:numPr>
        <w:spacing w:after="0" w:afterAutospacing="0" w:before="0" w:beforeAutospacing="0" w:lineRule="auto"/>
        <w:ind w:left="720" w:hanging="360"/>
      </w:pPr>
      <w:r w:rsidDel="00000000" w:rsidR="00000000" w:rsidRPr="00000000">
        <w:rPr>
          <w:rtl w:val="0"/>
        </w:rPr>
        <w:t xml:space="preserve">Internal Data Gathering: Once the meeting is confirmed, the team gathers internal data and past records related to ServiceNow. Analysts pull up the bank’s CRM records of prior interactions – e.g. notes from previous meetings, any mandates or deals the bank has done for ServiceNow, and the status of past pitches or proposals. They review internal research reports from the bank’s equity research department on ServiceNow and its competitors, as well as any relevant industry reports the bank’s knowledge portal might have. Internal financial models or valuations prepared in the past (for example, a model from a prior pitch on a potential ServiceNow acquisition) are retrieved and updated. The team also checks if colleagues in other product groups (M&amp;A, Equity Capital Markets, Debt Capital Markets, etc.) have insights – for instance, if the DCM team has evaluated ServiceNow’s debt capacity before. Internal coordination is key even at this stage: bankers work together across departments to share information so that the upcoming meeting’s content aligns with both the client’s known preferences and the bank’s strategies . Often, critical knowledge about the client is “locked away” in individuals’ heads or scattered in emails and spreadsheets, so the team consolidates these insights into a common view . This ensures the bankers are fully aware of ServiceNow’s history with the firm and any sensitive issues or opportunities previously identified.</w:t>
        <w:br w:type="textWrapping"/>
      </w:r>
    </w:p>
    <w:p w:rsidR="00000000" w:rsidDel="00000000" w:rsidP="00000000" w:rsidRDefault="00000000" w:rsidRPr="00000000" w14:paraId="0000001B">
      <w:pPr>
        <w:numPr>
          <w:ilvl w:val="0"/>
          <w:numId w:val="1"/>
        </w:numPr>
        <w:spacing w:after="0" w:afterAutospacing="0" w:before="0" w:beforeAutospacing="0" w:lineRule="auto"/>
        <w:ind w:left="720" w:hanging="360"/>
      </w:pPr>
      <w:r w:rsidDel="00000000" w:rsidR="00000000" w:rsidRPr="00000000">
        <w:rPr>
          <w:rtl w:val="0"/>
        </w:rPr>
        <w:t xml:space="preserve">External Data Gathering: In parallel, the team gathers external data to update their understanding of ServiceNow’s current situation and the broader market. Analysts will download the latest financial information on ServiceNow – recent earnings, stock performance, valuation multiples – using tools like S&amp;P Capital IQ and FactSet . These platforms provide detailed company financials, consensus forecasts, and peer benchmarks. The team checks Bloomberg for real-time market data and news on ServiceNow . For example, if ServiceNow’s share price moved significantly or if a competitor made a major move, the bankers need to know and be ready to discuss it. They scour news feeds (Factiva, Bloomberg News) and analyst reports for any developments in ServiceNow’s industry (enterprise software) – particularly around AI trends, since ServiceNow has been actively investing in AI capabilities. (Indeed, in 2025 ServiceNow announced plans to acquire an AI startup for $2.85 billion , so bankers would note such facts.) The team also researches comparable companies and recent deals: e.g. have other software companies made acquisitions of AI firms recently? what valuations and rationales were involved? If the meeting’s focus might touch on a capital raise, bankers pull data on recent tech company financings (debt issuances, convertible bonds, etc.) to gauge market conditions. External data sources like Dealogic or Refinitiv are used for M&amp;A and capital markets deal league tables and precedents, while databases like PitchBook or Mergermarket might be searched for information on private companies or rumored targets. This comprehensive data gathering ensures the team is armed with up-to-date facts – both public information and third-party data – to support any advice or ideas they present.</w:t>
        <w:br w:type="textWrapping"/>
      </w:r>
    </w:p>
    <w:p w:rsidR="00000000" w:rsidDel="00000000" w:rsidP="00000000" w:rsidRDefault="00000000" w:rsidRPr="00000000" w14:paraId="0000001C">
      <w:pPr>
        <w:numPr>
          <w:ilvl w:val="0"/>
          <w:numId w:val="1"/>
        </w:numPr>
        <w:spacing w:after="0" w:afterAutospacing="0" w:before="0" w:beforeAutospacing="0" w:lineRule="auto"/>
        <w:ind w:left="720" w:hanging="360"/>
      </w:pPr>
      <w:r w:rsidDel="00000000" w:rsidR="00000000" w:rsidRPr="00000000">
        <w:rPr>
          <w:rtl w:val="0"/>
        </w:rPr>
        <w:t xml:space="preserve">Internal Coordination &amp; Brainstorming: With raw information in hand, the deal team (analyst, associate, vice president, and MD) holds internal sessions to synthesize insights and plan the meeting approach. They discuss ServiceNow’s likely interests and pain points: for example, is ServiceNow looking for growth via acquisitions (and if so, in AI or other areas)? Are they concerned about their stock valuation or investor expectations? The team may hold a brainstorming meeting including product specialists. For instance, if the upcoming client meeting might delve into financing, they invite a debt capital markets banker to weigh in on feasible loan or bond options; if it’s about M&amp;A, the sector M&amp;A specialist or an experienced VP may join to refine deal ideas. During these internal prep meetings, roles for the client meeting are allocated – typically, the MD will lead the conversation, but senior team members decide which points each person might handle if needed (though juniors often remain silent unless called upon). The team aligns on key messages and recommendations. Scenario planning is a big part of this step: they anticipate the client’s questions and reactions. For example, “If ServiceNow’s CFO asks about the valuation of a specific AI startup we propose as an acquisition target, do we have a view on that ready?” or “If the CEO expresses concern about diluting shareholders with a capital raise, what alternatives can we suggest?” The team might prepare Q&amp;A sheets or backup slides to address potential queries. Internally, they may even rehearse the meeting – senior bankers might role-play as the client to probe the team’s ideas. All of this coordination is to ensure a unified, well-prepared front when facing the client. As one industry resource notes, internal coordination means working across the team and firm to agree on deliverables and timelines in advance – no surprises internally or for the client.</w:t>
        <w:br w:type="textWrapping"/>
      </w:r>
    </w:p>
    <w:p w:rsidR="00000000" w:rsidDel="00000000" w:rsidP="00000000" w:rsidRDefault="00000000" w:rsidRPr="00000000" w14:paraId="0000001D">
      <w:pPr>
        <w:numPr>
          <w:ilvl w:val="0"/>
          <w:numId w:val="1"/>
        </w:numPr>
        <w:spacing w:after="0" w:afterAutospacing="0" w:before="0" w:beforeAutospacing="0" w:lineRule="auto"/>
        <w:ind w:left="720" w:hanging="360"/>
      </w:pPr>
      <w:r w:rsidDel="00000000" w:rsidR="00000000" w:rsidRPr="00000000">
        <w:rPr>
          <w:rtl w:val="0"/>
        </w:rPr>
        <w:t xml:space="preserve">Pitchbook and Materials Preparation: Using the insights gathered, the junior bankers (analyst and associate) compile the pitchbook or presentation materials. This is often a PowerPoint deck tailored to ServiceNow’s situation. The process is highly collaborative: typically the MD (and possibly a Director or VP) first outlines the presentation’s story and content flow . For example, they might decide: “Let’s start with a summary of ServiceNow’s strong position in the market, then highlight new opportunities in AI, segue into specific acquisition ideas with valuations, and conclude with how our bank can help execute these plans.” The VP or Associate creates a detailed outline or “wireframe,” and then the analyst crunches numbers and produces the exhibits . This can include valuation analyses (trading comps, precedent M&amp;A transactions, DCF scenarios) and market stats. All data must be double-checked for accuracy and consistency (e.g. aligning figures with the latest stock price and financials). The pitchbook for ServiceNow would be heavily customized: it might contain an overview of relevant AI acquisition targets (with profiles of each target company), analysis of how such an acquisition could enhance ServiceNow’s product offerings, a valuation summary (perhaps a “football field” chart showing ServiceNow’s valuation range under different methods), and financing considerations for a purchase . If the meeting is about strategic planning, the deck might include broader industry trends (like enterprise software growth areas, competitive moves) and “thought pieces” on strategy. Throughout this phase, there are typically multiple iterations of the deck – senior bankers review drafts and send them back with edits. It’s not uncommon for numerous revisions to occur, sometimes resulting in dozens of version files (e.g. “Project_SNOW_v44.pptx” as a final file name) . Top banks have a high standard for presentation quality: every chart, page and footnote must be perfect, and formatting is refined obsessively to look seamless. (At bulge brackets, there may be a dedicated graphics team to polish slides, whereas at a mid-market firm the analysts themselves might spend late nights perfecting the visuals.) The end product is a pitchbook that not only presents analysis but also tells a coherent story aligning with ServiceNow’s goals. Supporting materials are also prepared: this could include an Excel model printout (e.g. a model of a proposed acquisition’s impact on ServiceNow’s earnings), an appendix of data (detailed comps, etc.), or even a brief “tear sheet” summary the client can take away. Importantly, the team will also prepare any leave-behind documents per compliance rules (removing any bank-internal confidential information if needed).</w:t>
        <w:br w:type="textWrapping"/>
        <w:br w:type="textWrapping"/>
        <w:t xml:space="preserve"> Example of a valuation summary slide that might appear in a pitchbook, illustrating ServiceNow’s value under different scenarios. Bankers prepare detailed analyses like this to inform discussions .</w:t>
        <w:br w:type="textWrapping"/>
      </w:r>
    </w:p>
    <w:p w:rsidR="00000000" w:rsidDel="00000000" w:rsidP="00000000" w:rsidRDefault="00000000" w:rsidRPr="00000000" w14:paraId="0000001E">
      <w:pPr>
        <w:numPr>
          <w:ilvl w:val="0"/>
          <w:numId w:val="1"/>
        </w:numPr>
        <w:spacing w:after="240" w:before="0" w:beforeAutospacing="0" w:lineRule="auto"/>
        <w:ind w:left="720" w:hanging="360"/>
      </w:pPr>
      <w:r w:rsidDel="00000000" w:rsidR="00000000" w:rsidRPr="00000000">
        <w:rPr>
          <w:rtl w:val="0"/>
        </w:rPr>
        <w:t xml:space="preserve">Pre-Meeting Final Checks &amp; Scenario Planning: In the day or hours before the meeting, the team does a final scrub of everything. They update any data in the deck for last-minute changes (for instance, if ServiceNow’s stock moved sharply that morning or if a competitor announced an earnings surprise the night before). They print hard copies of the presentation (on high-quality paper or binders, especially at bulge brackets where presentation aesthetics are part of the polish ) and ensure they have access to electronic copies (sometimes bankers carry an iPad or have the deck on a USB drive as backup). The bankers convene a short prep session to go over the meeting game plan one more time: who will introduce what topic, and how to steer the conversation toward the bank’s key suggestions. “Client scenario planning” is essentially finalized now – the team re-visits their anticipated Q&amp;A, and each member is briefed on how to handle tough questions. For example, the MD might say: “If the CFO asks about how we see macro conditions affecting tech valuations, I’ll address that using the market data slide. If they ask something highly detailed about a particular target’s financials, &lt;Associate’s name&gt;, be ready to chime in with the numbers from our appendix if I cue you.” The analyst and associate bring along backup data (either extra slides in an appendix or a separate report) for reference, so they can quickly retrieve details if the client drills down on something unexpected. Travel logistics are confirmed (if the meeting is at ServiceNow’s office in Santa Clara, the team travels there, or if at the bank’s office, the conference room is booked and set up). Everyone arrives early, professional and armed with knowledge, so that once in the meeting, they can focus on listening and engaging the client rather than fumbling for information. By the time they walk into the room, the bankers have effectively pre-lived the meeting in their minds and are ready for various outcomes.</w:t>
        <w:br w:type="textWrapping"/>
      </w:r>
    </w:p>
    <w:p w:rsidR="00000000" w:rsidDel="00000000" w:rsidP="00000000" w:rsidRDefault="00000000" w:rsidRPr="00000000" w14:paraId="0000001F">
      <w:pPr>
        <w:pStyle w:val="Heading2"/>
        <w:spacing w:after="80" w:before="360" w:lineRule="auto"/>
        <w:ind w:left="0"/>
        <w:rPr>
          <w:sz w:val="34"/>
          <w:szCs w:val="34"/>
        </w:rPr>
      </w:pPr>
      <w:bookmarkStart w:colFirst="0" w:colLast="0" w:name="_f758xcxxecxt" w:id="3"/>
      <w:bookmarkEnd w:id="3"/>
      <w:r w:rsidDel="00000000" w:rsidR="00000000" w:rsidRPr="00000000">
        <w:rPr>
          <w:sz w:val="34"/>
          <w:szCs w:val="34"/>
          <w:rtl w:val="0"/>
        </w:rPr>
        <w:t xml:space="preserve">2. Common Meeting Types with ServiceNow and Their Characteristics</w:t>
      </w:r>
    </w:p>
    <w:p w:rsidR="00000000" w:rsidDel="00000000" w:rsidP="00000000" w:rsidRDefault="00000000" w:rsidRPr="00000000" w14:paraId="00000020">
      <w:pPr>
        <w:spacing w:after="240" w:before="240" w:lineRule="auto"/>
        <w:rPr/>
      </w:pPr>
      <w:r w:rsidDel="00000000" w:rsidR="00000000" w:rsidRPr="00000000">
        <w:rPr>
          <w:rtl w:val="0"/>
        </w:rPr>
        <w:t xml:space="preserve">Bankers typically engage with a corporate client like ServiceNow in a few main types of meetings, each with different objectives and content. Below are key categories of meetings and what each entails, including typical discussion points, materials, and measures of success:</w:t>
      </w:r>
    </w:p>
    <w:p w:rsidR="00000000" w:rsidDel="00000000" w:rsidP="00000000" w:rsidRDefault="00000000" w:rsidRPr="00000000" w14:paraId="00000021">
      <w:pPr>
        <w:pStyle w:val="Heading3"/>
        <w:spacing w:after="80" w:before="280" w:lineRule="auto"/>
        <w:ind w:left="0"/>
        <w:rPr>
          <w:sz w:val="26"/>
          <w:szCs w:val="26"/>
        </w:rPr>
      </w:pPr>
      <w:bookmarkStart w:colFirst="0" w:colLast="0" w:name="_h95jkwbyzsq7" w:id="4"/>
      <w:bookmarkEnd w:id="4"/>
      <w:r w:rsidDel="00000000" w:rsidR="00000000" w:rsidRPr="00000000">
        <w:rPr>
          <w:sz w:val="26"/>
          <w:szCs w:val="26"/>
          <w:rtl w:val="0"/>
        </w:rPr>
        <w:t xml:space="preserve">M&amp;A Idea Generation Meetings</w:t>
      </w:r>
    </w:p>
    <w:p w:rsidR="00000000" w:rsidDel="00000000" w:rsidP="00000000" w:rsidRDefault="00000000" w:rsidRPr="00000000" w14:paraId="00000022">
      <w:pPr>
        <w:spacing w:after="240" w:before="240" w:lineRule="auto"/>
        <w:rPr/>
      </w:pPr>
      <w:r w:rsidDel="00000000" w:rsidR="00000000" w:rsidRPr="00000000">
        <w:rPr>
          <w:rtl w:val="0"/>
        </w:rPr>
        <w:t xml:space="preserve">Purpose &amp; Discussion: These are proactive strategy sessions where bankers present merger and acquisition ideas to ServiceNow’s leadership. The focus is on idea generation – identifying potential companies or assets ServiceNow could acquire (or occasionally, businesses it might divest). Bankers discuss the client’s growth strategy and how M&amp;A could fit: e.g. “Where can ServiceNow expand next? Perhaps acquiring an AI workflow automation startup to bolster your platform.” They will talk through industry M&amp;A trends (for instance, noting that tech M&amp;A activity rebounded in 2024-2025 , and that peers like Salesforce, Oracle, etc., have been buying companies in AI or other strategic areas). The core discussion points include the rationale for each suggested target, estimated synergies or product benefits, and high-level financial implications (cost of acquisition, impact on earnings, etc.). Bankers also listen for the client’s M&amp;A appetite – ServiceNow’s CFO might emphasize they are disciplined about deals , so ideas need to be realistic.</w:t>
      </w:r>
    </w:p>
    <w:p w:rsidR="00000000" w:rsidDel="00000000" w:rsidP="00000000" w:rsidRDefault="00000000" w:rsidRPr="00000000" w14:paraId="00000023">
      <w:pPr>
        <w:spacing w:after="240" w:before="240" w:lineRule="auto"/>
        <w:rPr/>
      </w:pPr>
      <w:r w:rsidDel="00000000" w:rsidR="00000000" w:rsidRPr="00000000">
        <w:rPr>
          <w:rtl w:val="0"/>
        </w:rPr>
        <w:t xml:space="preserve">Materials Brought: A tailored pitchbook is usually prepared, containing an overview of each M&amp;A idea. This typically has profiles of target companies (business overview, product fit, revenues, etc.), valuation estimates for each target, and perhaps a one-page financial impact analysis (what the acquisition might do to ServiceNow’s earnings or growth). For the top one or two ideas, bankers might include a simple pro forma model showing the deal’s effect (e.g. accretion/dilution to EPS or how it could be funded with cash vs. debt). Comparative data on precedent transactions is often included – e.g. “similar AI-focused acquisitions in the last year traded at 10x revenue; here’s how our target compares.” They’ll also include market backdrop slides: how ServiceNow’s stock valuation compares to targets or how much cash and debt capacity ServiceNow has for deals. All of this is often prefaced by an “industry landscape” summary to set context.</w:t>
      </w:r>
    </w:p>
    <w:p w:rsidR="00000000" w:rsidDel="00000000" w:rsidP="00000000" w:rsidRDefault="00000000" w:rsidRPr="00000000" w14:paraId="00000024">
      <w:pPr>
        <w:spacing w:after="240" w:before="240" w:lineRule="auto"/>
        <w:rPr/>
      </w:pPr>
      <w:r w:rsidDel="00000000" w:rsidR="00000000" w:rsidRPr="00000000">
        <w:rPr>
          <w:rtl w:val="0"/>
        </w:rPr>
        <w:t xml:space="preserve">Successful Outcome: Success in an idea generation meeting is measured by engagement. A great outcome is when ServiceNow’s executives show interest in one or more of the proposed ideas – for example, the CFO might say, “Tell me more about how you envision integrating Target X” or “These two AI targets are intriguing; perhaps we should do deeper dives on them.” If the client asks the bank to follow up with more analysis on a specific target or even to initiate informal contact with a target, that’s a strong positive signal. In the long run, the ultimate success is if one of these ideas eventually leads to a mandate – i.e. ServiceNow formally hires the bank to execute an acquisition. But even short of that, a meeting is successful if it advances the dialogue: the client perceives the bankers as creative and knowledgeable advisors. An unsuccessful meeting, conversely, would be one where the client is lukewarm and there are no clear next steps. Bankers often log idea pitches in their pipeline; a “win” is if those ideas move forward (even if slowly). As one M&amp;A guide notes, the initial discussion with a client is about identifying their goals and discussing potential targets or buyers – essentially what these idea meetings aim to do .</w:t>
      </w:r>
    </w:p>
    <w:p w:rsidR="00000000" w:rsidDel="00000000" w:rsidP="00000000" w:rsidRDefault="00000000" w:rsidRPr="00000000" w14:paraId="00000025">
      <w:pPr>
        <w:pStyle w:val="Heading3"/>
        <w:spacing w:after="80" w:before="280" w:lineRule="auto"/>
        <w:ind w:left="0"/>
        <w:rPr>
          <w:sz w:val="26"/>
          <w:szCs w:val="26"/>
        </w:rPr>
      </w:pPr>
      <w:bookmarkStart w:colFirst="0" w:colLast="0" w:name="_w0geitqv1cgy" w:id="5"/>
      <w:bookmarkEnd w:id="5"/>
      <w:r w:rsidDel="00000000" w:rsidR="00000000" w:rsidRPr="00000000">
        <w:rPr>
          <w:sz w:val="26"/>
          <w:szCs w:val="26"/>
          <w:rtl w:val="0"/>
        </w:rPr>
        <w:t xml:space="preserve">Strategic Review / Planning Meetings</w:t>
      </w:r>
    </w:p>
    <w:p w:rsidR="00000000" w:rsidDel="00000000" w:rsidP="00000000" w:rsidRDefault="00000000" w:rsidRPr="00000000" w14:paraId="00000026">
      <w:pPr>
        <w:spacing w:after="240" w:before="240" w:lineRule="auto"/>
        <w:rPr/>
      </w:pPr>
      <w:r w:rsidDel="00000000" w:rsidR="00000000" w:rsidRPr="00000000">
        <w:rPr>
          <w:rtl w:val="0"/>
        </w:rPr>
        <w:t xml:space="preserve">Purpose &amp; Discussion: These meetings are broader, high-level discussions where bankers act as strategic advisors. Often scheduled annually or quarterly (or when major market changes occur), a strategic review covers the company’s overall objectives, challenges, and opportunities. With ServiceNow, bankers might review the company’s positioning in the market (enterprise cloud software) and discuss big-picture topics: “What’s the next wave of growth? How do rising interest rates or shifting IT budgets affect your strategy? What are competitors doing (like Salesforce entering certain spaces) and how should you respond?” Core discussion points include industry trends (e.g. adoption of AI in enterprise software, cloud spending outlook), competitive landscape, and potential strategic moves (this can span M&amp;A, partnerships, new market entry, or even organizational/financial strategy like splitting off a division). Sometimes these meetings are held ahead of a board meeting or planning cycle, so bankers try to provide an outside perspective that management can weigh. It’s more of a two-way dialogue: bankers share insights and also listen as the client voices their strategic priorities or concerns.</w:t>
      </w:r>
    </w:p>
    <w:p w:rsidR="00000000" w:rsidDel="00000000" w:rsidP="00000000" w:rsidRDefault="00000000" w:rsidRPr="00000000" w14:paraId="00000027">
      <w:pPr>
        <w:spacing w:after="240" w:before="240" w:lineRule="auto"/>
        <w:rPr/>
      </w:pPr>
      <w:r w:rsidDel="00000000" w:rsidR="00000000" w:rsidRPr="00000000">
        <w:rPr>
          <w:rtl w:val="0"/>
        </w:rPr>
        <w:t xml:space="preserve">Materials Brought: The materials here may be less deal-specific and more about context and options. Bankers often bring an “industry update” deck. For ServiceNow, this might include: current market metrics (growth rates in relevant software segments, valuation multiples of peers), a competitor moves summary (who’s acquiring whom, who is investing in what technology), and possibly case studies of relevant strategic moves (e.g. how another tech company successfully pivoted to AI, or how a peer optimized its capital structure to fund growth). There might also be a SWOT analysis or positioning matrix showing ServiceNow’s strengths vs. competitors. If ServiceNow has expressed specific interests previously (say, exploring expansion in a certain geographic region or product area), the deck will include analysis of that (market sizing, potential entry strategies). While this is not a formal “pitch” for one transaction, the bankers will usually embed ideas in the conversation – for example, highlighting that “several smaller competitors are struggling; perhaps there’s an opportunity to acquire talent or tech cheaply” or “your balance sheet could support more leverage if you wanted to do a large buyback or acquisition.” The presentation often ends with a few “strategic options” slides enumerating possible paths (organic growth, M&amp;A, partnerships, etc.), effectively planting seeds for future mandates .</w:t>
      </w:r>
    </w:p>
    <w:p w:rsidR="00000000" w:rsidDel="00000000" w:rsidP="00000000" w:rsidRDefault="00000000" w:rsidRPr="00000000" w14:paraId="00000028">
      <w:pPr>
        <w:spacing w:after="240" w:before="240" w:lineRule="auto"/>
        <w:rPr/>
      </w:pPr>
      <w:r w:rsidDel="00000000" w:rsidR="00000000" w:rsidRPr="00000000">
        <w:rPr>
          <w:rtl w:val="0"/>
        </w:rPr>
        <w:t xml:space="preserve">Successful Outcome: In a strategic review, success is a bit intangible but very important for relationship-building. A successful meeting is one where the client gains valuable perspective – if ServiceNow’s executives say something like, “That’s a useful way to look at the market; we hadn’t seen that analysis” or “Your suggestion about our AI product strategy is interesting,” it means the bankers have delivered insight beyond what the company already knows. Often the best outcome is when the client asks the bank to continue the conversation, maybe to present to the broader management team or board. For example, ServiceNow might invite the bankers to a follow-up session with the CEO or to a board strategy offsite, indicating trust in their advice. Long-term, success is measured by being kept “in the loop” on the client’s strategic considerations. If, down the line, ServiceNow decides to explore a major strategic move (sell a division, make a big acquisition, etc.), they are likely to call in those bankers as advisors. In the short term, even without a transaction, success can be the client disclosing more of their internal thinking (which means they see the bankers as confidants) or simply scheduling the next strategic check-in. Essentially, the meeting is a success if it reinforces the bank’s position as a trusted advisor with relevant ideas, rather than just a vendor of financial services.</w:t>
      </w:r>
    </w:p>
    <w:p w:rsidR="00000000" w:rsidDel="00000000" w:rsidP="00000000" w:rsidRDefault="00000000" w:rsidRPr="00000000" w14:paraId="00000029">
      <w:pPr>
        <w:pStyle w:val="Heading3"/>
        <w:spacing w:after="80" w:before="280" w:lineRule="auto"/>
        <w:ind w:left="0"/>
        <w:rPr>
          <w:sz w:val="26"/>
          <w:szCs w:val="26"/>
        </w:rPr>
      </w:pPr>
      <w:bookmarkStart w:colFirst="0" w:colLast="0" w:name="_a8hz8bf6lg3" w:id="6"/>
      <w:bookmarkEnd w:id="6"/>
      <w:r w:rsidDel="00000000" w:rsidR="00000000" w:rsidRPr="00000000">
        <w:rPr>
          <w:sz w:val="26"/>
          <w:szCs w:val="26"/>
          <w:rtl w:val="0"/>
        </w:rPr>
        <w:t xml:space="preserve">IPO Readiness / Equity Financing Check-ins</w:t>
      </w:r>
    </w:p>
    <w:p w:rsidR="00000000" w:rsidDel="00000000" w:rsidP="00000000" w:rsidRDefault="00000000" w:rsidRPr="00000000" w14:paraId="0000002A">
      <w:pPr>
        <w:spacing w:after="240" w:before="240" w:lineRule="auto"/>
        <w:rPr/>
      </w:pPr>
      <w:r w:rsidDel="00000000" w:rsidR="00000000" w:rsidRPr="00000000">
        <w:rPr>
          <w:rtl w:val="0"/>
        </w:rPr>
        <w:t xml:space="preserve">Purpose &amp; Discussion: Although ServiceNow is already a public company (NYSE: NOW), bankers might hold similar meetings for other high-growth clients or in cases where ServiceNow could consider equity moves (e.g. a secondary offering, or spin-off of a division via IPO). In general, an “IPO readiness” meeting (for a private company) covers what a company needs to prepare for a public offering. If we imagine ServiceNow were private or a division of it was to be spun out, bankers would discuss topics like financial reporting upgrades, governance, market timing, and valuation in an IPO context. For ServiceNow specifically, an analogous meeting could be an equity market check-in – discussing investor perceptions, the company’s stock performance, or the feasibility of raising equity capital for expansion. Key discussion points include the current IPO market conditions (e.g. “Are tech IPOs being well received this quarter or is the window closing?”), valuation benchmarking (how public market valuations for comparable companies look, which affects what valuation ServiceNow or its unit could fetch), and readiness factors (like whether financial audits, internal controls, and executive team composition meet what public investors expect). For a spin-off scenario, they’d discuss how that entity would stand on its own. If considering a follow-on equity offering (issuing additional shares), the talk would cover share price levels, investor appetite, and dilution impact.</w:t>
      </w:r>
    </w:p>
    <w:p w:rsidR="00000000" w:rsidDel="00000000" w:rsidP="00000000" w:rsidRDefault="00000000" w:rsidRPr="00000000" w14:paraId="0000002B">
      <w:pPr>
        <w:spacing w:after="240" w:before="240" w:lineRule="auto"/>
        <w:rPr/>
      </w:pPr>
      <w:r w:rsidDel="00000000" w:rsidR="00000000" w:rsidRPr="00000000">
        <w:rPr>
          <w:rtl w:val="0"/>
        </w:rPr>
        <w:t xml:space="preserve">Materials Brought: For an IPO readiness discussion, bankers often provide a checklist or scorecard of readiness. This might cover financial metrics (revenue scale, profitability), infrastructure (does the company have a CFO and reporting systems suitable for a public company?), and market timing considerations. They would also bring market data on recent tech IPOs: a table of recent IPOs, their initial pricing vs current trading, and key metrics (e.g. “Enterprise software IPOs in the last year priced at an average of 8x forward revenue” or which banks led those deals). If equity analysts cover the sector, the bankers might include excerpts of equity research highlighting what public investors are focusing on (growth vs. margins, etc.). For ServiceNow’s context, if discussing a possible equity raise, the deck might include stock performance charts, relative valuation charts vs peers, and scenarios of raising capital (e.g. “issuing $1B of new equity would dilute existing shareholders by X% but could be accretive to growth if invested in AI R&amp;D”). Additionally, bankers might hand over case studies of companies that successfully navigated an IPO or secondary offering, outlining what made those a success or failure (to indirectly advise ServiceNow on best practices). Visual timelines are common too: a Gantt chart showing the steps and timeline of an IPO process (usually ~6-9 months) or the execution timeline for an equity offering.</w:t>
      </w:r>
    </w:p>
    <w:p w:rsidR="00000000" w:rsidDel="00000000" w:rsidP="00000000" w:rsidRDefault="00000000" w:rsidRPr="00000000" w14:paraId="0000002C">
      <w:pPr>
        <w:spacing w:after="240" w:before="240" w:lineRule="auto"/>
        <w:rPr/>
      </w:pPr>
      <w:r w:rsidDel="00000000" w:rsidR="00000000" w:rsidRPr="00000000">
        <w:rPr>
          <w:rtl w:val="0"/>
        </w:rPr>
        <w:t xml:space="preserve">Successful Outcome: In an IPO readiness or equity meeting, success is often about honest assessment and next steps. If the client is private (or considering a spin-off IPO), a successful meeting might lead to an engagement for an IPO mandate – i.e. the company formally hiring the bank (often among others) as an underwriter when they decide to go public. Short of an immediate mandate, it’s successful if the company walks away with a clear understanding of what to improve and indicates a timeline (e.g. “We aim to be IPO-ready by next year; let’s keep in touch each quarter until then”). If the meeting was to discuss a follow-on offering for ServiceNow, success might be the client signaling interest in the idea: “If our stock hits $X, we would consider raising capital – we’d involve you at that point.” Another sign of success is if the client engages in depth – asking the bankers to, for instance, help benchmark their metrics confidentially against peers or to introduce them to equity research analysts for informal feedback. Essentially, a good outcome is that the client trusts the bank’s equity market expertise and will involve them when an equity transaction is on the table. These meetings also serve to plant a seed; success might only be realized later when the company moves forward and includes the bank in the deal. In the interim, bankers will mark the opportunity in their pipeline and continue nurturing the relationship with periodic updates on the market.</w:t>
      </w:r>
    </w:p>
    <w:p w:rsidR="00000000" w:rsidDel="00000000" w:rsidP="00000000" w:rsidRDefault="00000000" w:rsidRPr="00000000" w14:paraId="0000002D">
      <w:pPr>
        <w:pStyle w:val="Heading3"/>
        <w:spacing w:after="80" w:before="280" w:lineRule="auto"/>
        <w:ind w:left="0"/>
        <w:rPr>
          <w:sz w:val="26"/>
          <w:szCs w:val="26"/>
        </w:rPr>
      </w:pPr>
      <w:bookmarkStart w:colFirst="0" w:colLast="0" w:name="_r75e2y9e2i0c" w:id="7"/>
      <w:bookmarkEnd w:id="7"/>
      <w:r w:rsidDel="00000000" w:rsidR="00000000" w:rsidRPr="00000000">
        <w:rPr>
          <w:sz w:val="26"/>
          <w:szCs w:val="26"/>
          <w:rtl w:val="0"/>
        </w:rPr>
        <w:t xml:space="preserve">Capital Structure &amp; Financing Advisory Meetings</w:t>
      </w:r>
    </w:p>
    <w:p w:rsidR="00000000" w:rsidDel="00000000" w:rsidP="00000000" w:rsidRDefault="00000000" w:rsidRPr="00000000" w14:paraId="0000002E">
      <w:pPr>
        <w:spacing w:after="240" w:before="240" w:lineRule="auto"/>
        <w:rPr/>
      </w:pPr>
      <w:r w:rsidDel="00000000" w:rsidR="00000000" w:rsidRPr="00000000">
        <w:rPr>
          <w:rtl w:val="0"/>
        </w:rPr>
        <w:t xml:space="preserve">Purpose &amp; Discussion: In these meetings, bankers focus on how ServiceNow finances its operations and growth – the mix of debt, equity, and other instruments – and advise on optimizing it. For a company like ServiceNow, which has a solid balance sheet, discussion might revolve around optimal leverage (Should they take on more debt? Refinance existing debt at better terms? Return capital to shareholders through buybacks or dividends?). If ServiceNow were contemplating a major investment or acquisition, bankers would discuss financing options (debt vs equity vs hybrid instruments). Key points include the company’s current capital structure metrics (debt-to-EBITDA ratio, credit rating if any, interest costs) relative to peers, market conditions for financing (interest rate trends, investor appetite for tech bonds or loans), and any identified needs (e.g. funding a $3B acquisition, or ensuring sufficient liquidity for expansion). Bankers might also bring up treasury management topics: for instance, the idea of pre-emptively raising cash if the market conditions are favorable, or conversely, using excess cash for a share repurchase. In essence, the conversation is about balancing risk, cost of capital, and flexibility. If ServiceNow has convertible bonds or other instruments, they’d discuss strategies around those as well (e.g. “Your convertible notes due in 2026 – should we look at refinancing or allow conversion?”).</w:t>
      </w:r>
    </w:p>
    <w:p w:rsidR="00000000" w:rsidDel="00000000" w:rsidP="00000000" w:rsidRDefault="00000000" w:rsidRPr="00000000" w14:paraId="0000002F">
      <w:pPr>
        <w:spacing w:after="240" w:before="240" w:lineRule="auto"/>
        <w:rPr/>
      </w:pPr>
      <w:r w:rsidDel="00000000" w:rsidR="00000000" w:rsidRPr="00000000">
        <w:rPr>
          <w:rtl w:val="0"/>
        </w:rPr>
        <w:t xml:space="preserve">Materials Brought: The bankers will prepare analysis on ServiceNow’s financial position and financing alternatives. Materials often include a capital structure summary page showing the company’s current debt (amount, maturities, interest rates) and equity stats, alongside peer comparisons (how much debt similar companies carry, and their credit ratings). There might be scenario analyses: e.g. a slide modeling the impact of issuing a new $1 billion bond – showing pro forma leverage ratios, interest expense, and how credit rating agencies might view it. Another slide might show the effect of a share buyback of a certain size on ServiceNow’s earnings per share and credit ratios. If the meeting is about a specific upcoming financing need, the deck will have market data on that financing type: for instance, recent large bond issuances by tech companies (interest rates achieved, investor reception) or, if equity, recent follow-on offerings stats. They might include a debt capacity analysis estimating how much debt ServiceNow could raise without jeopardizing its investment-grade rating, or how much cash they could return to shareholders while still funding growth. Charts of historical and current interest rates or bond index spreads can set the context for why now might be a good (or bad) time to raise capital. Additionally, banks often bring case studies: e.g. “Company X recently restructured its capital by issuing a convertible bond and doing a buyback – here’s how that played out.” All data used combines external market info and internal analytics to back up recommendations.</w:t>
      </w:r>
    </w:p>
    <w:p w:rsidR="00000000" w:rsidDel="00000000" w:rsidP="00000000" w:rsidRDefault="00000000" w:rsidRPr="00000000" w14:paraId="00000030">
      <w:pPr>
        <w:spacing w:after="240" w:before="240" w:lineRule="auto"/>
        <w:rPr/>
      </w:pPr>
      <w:r w:rsidDel="00000000" w:rsidR="00000000" w:rsidRPr="00000000">
        <w:rPr>
          <w:rtl w:val="0"/>
        </w:rPr>
        <w:t xml:space="preserve">Successful Outcome: A successful capital structure advisory meeting is one where the client gains clarity and likely decides on some course of action (with the bank’s help). In the short term, success could be the client expressing interest in a particular solution the bank proposed: “Your suggestion to refinance our 2023 notes with a longer-term bond at today’s rates makes sense – let’s explore that further.” Even a request for the bank to conduct further analysis (like engaging the bank’s debt capital markets team to draft possible terms, or the bank’s rating advisory to talk about rating implications) is a win, as it indicates the client is moving toward a transaction with the bank in mind. Long-term ultimate success is if ServiceNow mandates the bank on a financing – e.g. choosing them as lead arranger if they do issue a bond or as advisor if they restructure debt. Another measure of success is more qualitative: did the meeting strengthen the client’s confidence that the bank understands corporate finance and their specific needs? If yes, ServiceNow will likely call on that bank for advice whenever a financing question arises. Because capital structure advice can be sensitive (involving balance sheet risk), a sign of success is if the client shares internal considerations (like “we have a board threshold of X leverage” or “we’re thinking of a debt issuance next quarter but haven’t decided”). That trust indicates the bank has effectively become a financial consigliere to the company. Even if no immediate deal occurs, the bankers will follow up periodically with relevant market updates (e.g. “The window for investment-grade tech bond issuance is very good right now”), continuing to prove their value until a financing mandate materializes.</w:t>
      </w:r>
    </w:p>
    <w:p w:rsidR="00000000" w:rsidDel="00000000" w:rsidP="00000000" w:rsidRDefault="00000000" w:rsidRPr="00000000" w14:paraId="00000031">
      <w:pPr>
        <w:pStyle w:val="Heading2"/>
        <w:spacing w:after="80" w:before="360" w:lineRule="auto"/>
        <w:ind w:left="0"/>
        <w:rPr>
          <w:sz w:val="34"/>
          <w:szCs w:val="34"/>
        </w:rPr>
      </w:pPr>
      <w:bookmarkStart w:colFirst="0" w:colLast="0" w:name="_9jswjmcwx0e7" w:id="8"/>
      <w:bookmarkEnd w:id="8"/>
      <w:r w:rsidDel="00000000" w:rsidR="00000000" w:rsidRPr="00000000">
        <w:rPr>
          <w:sz w:val="34"/>
          <w:szCs w:val="34"/>
          <w:rtl w:val="0"/>
        </w:rPr>
        <w:t xml:space="preserve">3. Tools and Data Sources Used in Preparation</w:t>
      </w:r>
    </w:p>
    <w:p w:rsidR="00000000" w:rsidDel="00000000" w:rsidP="00000000" w:rsidRDefault="00000000" w:rsidRPr="00000000" w14:paraId="00000032">
      <w:pPr>
        <w:spacing w:after="240" w:before="240" w:lineRule="auto"/>
        <w:rPr/>
      </w:pPr>
      <w:r w:rsidDel="00000000" w:rsidR="00000000" w:rsidRPr="00000000">
        <w:rPr>
          <w:rtl w:val="0"/>
        </w:rPr>
        <w:t xml:space="preserve">To prepare the analyses and materials described above, investment banking teams leverage a mix of external data platforms and internal resources. The combination of these tools allows bankers to gather a 360° view of the client and market. Below are common tools and data sources and how they are used:</w:t>
      </w:r>
    </w:p>
    <w:p w:rsidR="00000000" w:rsidDel="00000000" w:rsidP="00000000" w:rsidRDefault="00000000" w:rsidRPr="00000000" w14:paraId="00000033">
      <w:pPr>
        <w:numPr>
          <w:ilvl w:val="0"/>
          <w:numId w:val="3"/>
        </w:numPr>
        <w:spacing w:after="0" w:afterAutospacing="0" w:before="240" w:lineRule="auto"/>
        <w:ind w:left="720" w:hanging="360"/>
      </w:pPr>
      <w:r w:rsidDel="00000000" w:rsidR="00000000" w:rsidRPr="00000000">
        <w:rPr>
          <w:rtl w:val="0"/>
        </w:rPr>
        <w:t xml:space="preserve">S&amp;P Capital IQ (CapIQ) – External: A broad financial database providing detailed company financials, market data, and transaction data. Bankers use CapIQ to pull ServiceNow’s historical financials, consensus forecasts, and to screen for comparable companies and deals. It’s essential for in-depth financial analysis and valuation modeling . For instance, an analyst might use CapIQ to download all tech software acquisitions in the last 3 years over $1B to identify relevant precedents for an M&amp;A pitch.</w:t>
        <w:br w:type="textWrapping"/>
      </w:r>
    </w:p>
    <w:p w:rsidR="00000000" w:rsidDel="00000000" w:rsidP="00000000" w:rsidRDefault="00000000" w:rsidRPr="00000000" w14:paraId="00000034">
      <w:pPr>
        <w:numPr>
          <w:ilvl w:val="0"/>
          <w:numId w:val="3"/>
        </w:numPr>
        <w:spacing w:after="0" w:afterAutospacing="0" w:before="0" w:beforeAutospacing="0" w:lineRule="auto"/>
        <w:ind w:left="720" w:hanging="360"/>
      </w:pPr>
      <w:r w:rsidDel="00000000" w:rsidR="00000000" w:rsidRPr="00000000">
        <w:rPr>
          <w:rtl w:val="0"/>
        </w:rPr>
        <w:t xml:space="preserve">FactSet – External: Similar to CapIQ in function, FactSet offers customizable analytics and a wealth of market and financial data. Many banks integrate FactSet into their workflow to compile market news, monitor client stock performance, and centralize research. In fact, FactSet can integrate with a bank’s CRM to merge internal client notes with external data streams for a unified view . Bankers might use FactSet’s screening tools to identify, say, which AI startups have revenue between $50–$200M (potential ServiceNow targets) or use its news feed to catch any headline involving ServiceNow (e.g. new product announcements or leadership changes).</w:t>
        <w:br w:type="textWrapping"/>
      </w:r>
    </w:p>
    <w:p w:rsidR="00000000" w:rsidDel="00000000" w:rsidP="00000000" w:rsidRDefault="00000000" w:rsidRPr="00000000" w14:paraId="00000035">
      <w:pPr>
        <w:numPr>
          <w:ilvl w:val="0"/>
          <w:numId w:val="3"/>
        </w:numPr>
        <w:spacing w:after="0" w:afterAutospacing="0" w:before="0" w:beforeAutospacing="0" w:lineRule="auto"/>
        <w:ind w:left="720" w:hanging="360"/>
      </w:pPr>
      <w:r w:rsidDel="00000000" w:rsidR="00000000" w:rsidRPr="00000000">
        <w:rPr>
          <w:rtl w:val="0"/>
        </w:rPr>
        <w:t xml:space="preserve">Bloomberg Terminal – External: A ubiquitous tool in finance, Bloomberg provides real-time market news, stock prices, trading data, and analytical functions. Bankers prepping for a ServiceNow meeting will use Bloomberg to monitor ServiceNow’s intraday stock price and volume (important if discussing equity issuance or share buybacks), check current and historical bond yields if debt is in scope, and read any news stories or research on the company and its competitors. The Bloomberg terminal’s chat and messaging functions might also be used to consult with sales &amp; trading colleagues about investor sentiment on ServiceNow’s stock or bonds. It’s invaluable for up-to-the-minute information (e.g. seeing how markets react on the morning of the meeting) .</w:t>
        <w:br w:type="textWrapping"/>
      </w:r>
    </w:p>
    <w:p w:rsidR="00000000" w:rsidDel="00000000" w:rsidP="00000000" w:rsidRDefault="00000000" w:rsidRPr="00000000" w14:paraId="00000036">
      <w:pPr>
        <w:numPr>
          <w:ilvl w:val="0"/>
          <w:numId w:val="3"/>
        </w:numPr>
        <w:spacing w:after="0" w:afterAutospacing="0" w:before="0" w:beforeAutospacing="0" w:lineRule="auto"/>
        <w:ind w:left="720" w:hanging="360"/>
      </w:pPr>
      <w:r w:rsidDel="00000000" w:rsidR="00000000" w:rsidRPr="00000000">
        <w:rPr>
          <w:rtl w:val="0"/>
        </w:rPr>
        <w:t xml:space="preserve">Thomson Reuters Eikon / Refinitiv – External: Another major data platform offering financials, market data, and particularly strong M&amp;A and capital markets deal databases (previously known as Thomson One or SDC). Bankers might use Refinitiv’s league table and deal screening tools to find precedent transactions, such as “tech deals in AI space in 2024” and see details on deal size, valuation multiples, advisors, etc. It’s also used to prepare league tables to demonstrate the bank’s expertise (e.g. showing that the bank is a top 5 advisor in tech M&amp;A). Similarly, Dealogic or Mergermarket could be used for tracking deals and rumors.</w:t>
        <w:br w:type="textWrapping"/>
      </w:r>
    </w:p>
    <w:p w:rsidR="00000000" w:rsidDel="00000000" w:rsidP="00000000" w:rsidRDefault="00000000" w:rsidRPr="00000000" w14:paraId="00000037">
      <w:pPr>
        <w:numPr>
          <w:ilvl w:val="0"/>
          <w:numId w:val="3"/>
        </w:numPr>
        <w:spacing w:after="0" w:afterAutospacing="0" w:before="0" w:beforeAutospacing="0" w:lineRule="auto"/>
        <w:ind w:left="720" w:hanging="360"/>
      </w:pPr>
      <w:r w:rsidDel="00000000" w:rsidR="00000000" w:rsidRPr="00000000">
        <w:rPr>
          <w:rtl w:val="0"/>
        </w:rPr>
        <w:t xml:space="preserve">PitchBook / Crunchbase – External: Databases focused on private companies, venture funding, and startups. If ServiceNow is interested in smaller private AI firms, analysts use these to gather info on those targets (founders, funding history, estimated financials). These sources provide color on the startup landscape that wouldn’t appear in CapIQ (which is more public-company oriented).</w:t>
        <w:br w:type="textWrapping"/>
      </w:r>
    </w:p>
    <w:p w:rsidR="00000000" w:rsidDel="00000000" w:rsidP="00000000" w:rsidRDefault="00000000" w:rsidRPr="00000000" w14:paraId="00000038">
      <w:pPr>
        <w:numPr>
          <w:ilvl w:val="0"/>
          <w:numId w:val="3"/>
        </w:numPr>
        <w:spacing w:after="0" w:afterAutospacing="0" w:before="0" w:beforeAutospacing="0" w:lineRule="auto"/>
        <w:ind w:left="720" w:hanging="360"/>
      </w:pPr>
      <w:r w:rsidDel="00000000" w:rsidR="00000000" w:rsidRPr="00000000">
        <w:rPr>
          <w:rtl w:val="0"/>
        </w:rPr>
        <w:t xml:space="preserve">Internal CRM Systems (Client Relationship Management) – Internal: Banks maintain proprietary CRM systems (or customized versions of Salesforce) to track every interaction with clients. Before the meeting, the team will pull up ServiceNow’s CRM profile, which logs past meetings, topics discussed, who attended, and any follow-up items from those meetings. It may also contain a “relationship map” showing connections (maybe an MD at the bank knows one of ServiceNow’s board members, etc.). The CRM helps ensure continuity – for example, bankers can see what was pitched to ServiceNow last time so they don’t repeat or contradict it. Modern CRMs increasingly integrate with email and calendar, automatically logging touchpoints (emails, calls, meetings) so that “from emails to calls to meetings, everything is logged for better follow-up” . This internal data is crucial for tailoring the upcoming meeting’s content and remembering client preferences. Some banks even integrate external data feeds into the CRM: one solution highlights that combining internal client data with outside news (from sources like Equilar, FactSet, CapIQ) can surface critical updates and “filter out the noise” , ensuring bankers don’t miss events like ServiceNow hiring a new CFO or making a small acquisition.</w:t>
        <w:br w:type="textWrapping"/>
      </w:r>
    </w:p>
    <w:p w:rsidR="00000000" w:rsidDel="00000000" w:rsidP="00000000" w:rsidRDefault="00000000" w:rsidRPr="00000000" w14:paraId="00000039">
      <w:pPr>
        <w:numPr>
          <w:ilvl w:val="0"/>
          <w:numId w:val="3"/>
        </w:numPr>
        <w:spacing w:after="0" w:afterAutospacing="0" w:before="0" w:beforeAutospacing="0" w:lineRule="auto"/>
        <w:ind w:left="720" w:hanging="360"/>
      </w:pPr>
      <w:r w:rsidDel="00000000" w:rsidR="00000000" w:rsidRPr="00000000">
        <w:rPr>
          <w:rtl w:val="0"/>
        </w:rPr>
        <w:t xml:space="preserve">Internal Research Portals and Databases – Internal: Investment banks have internal knowledge repositories, which might include past pitchbooks, industry analyses, and research produced by various divisions. For example, if another team at the bank did a tech industry overview or an “AI sector update” for a different client, those materials can be retrieved and repurposed (with appropriate updates) for the ServiceNow meeting. Likewise, banks have archives of valuation models and financial data that analysts can draw on. Internal research also includes the bank’s own equity research reports on ServiceNow and peers – even though equity research is typically public for clients, internally the bankers use it to align their message with the firm’s published views and to glean any insights (like an equity analyst’s projection of ServiceNow’s future revenue mix, which could spark a strategic idea).</w:t>
        <w:br w:type="textWrapping"/>
      </w:r>
    </w:p>
    <w:p w:rsidR="00000000" w:rsidDel="00000000" w:rsidP="00000000" w:rsidRDefault="00000000" w:rsidRPr="00000000" w14:paraId="0000003A">
      <w:pPr>
        <w:numPr>
          <w:ilvl w:val="0"/>
          <w:numId w:val="3"/>
        </w:numPr>
        <w:spacing w:after="0" w:afterAutospacing="0" w:before="0" w:beforeAutospacing="0" w:lineRule="auto"/>
        <w:ind w:left="720" w:hanging="360"/>
      </w:pPr>
      <w:r w:rsidDel="00000000" w:rsidR="00000000" w:rsidRPr="00000000">
        <w:rPr>
          <w:rtl w:val="0"/>
        </w:rPr>
        <w:t xml:space="preserve">Specialized Analytics Tools: Some banks have proprietary tools or use advanced software for analysis and visualization. For example, they might use Excel-based add-ins (FactSet and CapIQ both provide Excel plug-ins) to refresh financial data automatically in their models. Visualization tools might be used to create compelling charts (some banks use Think-Cell for charting in PowerPoint). For scenario analysis, an internal tool might simulate how a potential acquisition affects the stock price. Banks are also exploring AI-based tools in 2025 – e.g. generative AI assistants that can quickly summarize a 10-K filing or extract key points from a conference call transcript for the team, saving hours of manual reading.</w:t>
        <w:br w:type="textWrapping"/>
      </w:r>
    </w:p>
    <w:p w:rsidR="00000000" w:rsidDel="00000000" w:rsidP="00000000" w:rsidRDefault="00000000" w:rsidRPr="00000000" w14:paraId="0000003B">
      <w:pPr>
        <w:numPr>
          <w:ilvl w:val="0"/>
          <w:numId w:val="3"/>
        </w:numPr>
        <w:spacing w:after="240" w:before="0" w:beforeAutospacing="0" w:lineRule="auto"/>
        <w:ind w:left="720" w:hanging="360"/>
      </w:pPr>
      <w:r w:rsidDel="00000000" w:rsidR="00000000" w:rsidRPr="00000000">
        <w:rPr>
          <w:rtl w:val="0"/>
        </w:rPr>
        <w:t xml:space="preserve">External Advisors &amp; Industry Sources: Beyond databases, bankers preparing for a meeting might consult external experts or sources. For instance, they may read Gartner or IDC reports on the software industry for broader context. They might call the bank’s debt syndicate desk to get a read on bond market conditions, or the equity capital markets team to understand recent IPO investor feedback. All these inputs, while not “tools” in a software sense, are part of the data gathering process.</w:t>
        <w:br w:type="textWrapping"/>
      </w:r>
    </w:p>
    <w:p w:rsidR="00000000" w:rsidDel="00000000" w:rsidP="00000000" w:rsidRDefault="00000000" w:rsidRPr="00000000" w14:paraId="0000003C">
      <w:pPr>
        <w:spacing w:after="240" w:before="240" w:lineRule="auto"/>
        <w:rPr/>
      </w:pPr>
      <w:r w:rsidDel="00000000" w:rsidR="00000000" w:rsidRPr="00000000">
        <w:rPr>
          <w:rtl w:val="0"/>
        </w:rPr>
        <w:t xml:space="preserve">In summary, external data (financials, market stats, news) is fused with internal intelligence (CRM records, prior work, research) to create a comprehensive information base. Banks that effectively connect these dots can generate more personalized and insightful content for the client. It’s common to see a bank’s internal portal showing a dashboard for the client that includes recent news, stock performance, and internal notes all in one place . By using these tools, bankers make sure that when they walk into a ServiceNow meeting, they know more about the client and its environment than even the client expects, enabling thoughtful advice.</w:t>
      </w:r>
    </w:p>
    <w:p w:rsidR="00000000" w:rsidDel="00000000" w:rsidP="00000000" w:rsidRDefault="00000000" w:rsidRPr="00000000" w14:paraId="0000003D">
      <w:pPr>
        <w:pStyle w:val="Heading2"/>
        <w:spacing w:after="80" w:before="360" w:lineRule="auto"/>
        <w:ind w:left="0"/>
        <w:rPr>
          <w:sz w:val="34"/>
          <w:szCs w:val="34"/>
        </w:rPr>
      </w:pPr>
      <w:bookmarkStart w:colFirst="0" w:colLast="0" w:name="_rq1401f9wk9r" w:id="9"/>
      <w:bookmarkEnd w:id="9"/>
      <w:r w:rsidDel="00000000" w:rsidR="00000000" w:rsidRPr="00000000">
        <w:rPr>
          <w:sz w:val="34"/>
          <w:szCs w:val="34"/>
          <w:rtl w:val="0"/>
        </w:rPr>
        <w:t xml:space="preserve">4. Roles Involved and Their Responsibilities</w:t>
      </w:r>
    </w:p>
    <w:p w:rsidR="00000000" w:rsidDel="00000000" w:rsidP="00000000" w:rsidRDefault="00000000" w:rsidRPr="00000000" w14:paraId="0000003E">
      <w:pPr>
        <w:spacing w:after="240" w:before="240" w:lineRule="auto"/>
        <w:rPr/>
      </w:pPr>
      <w:r w:rsidDel="00000000" w:rsidR="00000000" w:rsidRPr="00000000">
        <w:rPr>
          <w:rtl w:val="0"/>
        </w:rPr>
        <w:t xml:space="preserve">Preparing for a client meeting is a team effort in investment banking, with each team member playing a specific role. A typical team comprises an Analyst, Associate, Vice President (or Director), and Managing Director. Below is an overview of who does what in the prep process for a ServiceNow meeting:</w:t>
      </w:r>
    </w:p>
    <w:p w:rsidR="00000000" w:rsidDel="00000000" w:rsidP="00000000" w:rsidRDefault="00000000" w:rsidRPr="00000000" w14:paraId="0000003F">
      <w:pPr>
        <w:numPr>
          <w:ilvl w:val="0"/>
          <w:numId w:val="4"/>
        </w:numPr>
        <w:spacing w:after="0" w:afterAutospacing="0" w:before="240" w:lineRule="auto"/>
        <w:ind w:left="720" w:hanging="360"/>
      </w:pPr>
      <w:r w:rsidDel="00000000" w:rsidR="00000000" w:rsidRPr="00000000">
        <w:rPr>
          <w:rtl w:val="0"/>
        </w:rPr>
        <w:t xml:space="preserve">Managing Director (MD): The MD is the senior banker who owns the client relationship. They often initiate the meeting (speaking with ServiceNow’s C-suite to set it up) and define its strategic purpose. In preparation, the MD provides overall direction: they outline what the pitch or discussion should cover and share insights from their high-level conversations with the client. For example, the MD might say, “ServiceNow’s CEO mentioned interest in AI – let’s ensure we bring them some fresh ideas there.” The MD leverages their experience to guide the team on messaging and will often have final say on what goes into the pitchbook. They might call in favors from across the firm, e.g. asking the tech sector research analyst for any unpublished insights to strengthen the pitch. During the meeting, the MD leads the presentation and discussion – they do most of the talking, set the tone, and manage the client interaction. A successful MD will also read the room and adjust on the fly, focusing on what the client reacts to. In terms of prep tasks, MDs are less in the weeds of analysis, but they must be deeply familiar with all content. They’ll often do a final review of the deck, ensuring it aligns with the story they want to tell and that it is free of errors (many MDs have eagle eyes for both the big picture and important details).</w:t>
        <w:br w:type="textWrapping"/>
      </w:r>
    </w:p>
    <w:p w:rsidR="00000000" w:rsidDel="00000000" w:rsidP="00000000" w:rsidRDefault="00000000" w:rsidRPr="00000000" w14:paraId="00000040">
      <w:pPr>
        <w:numPr>
          <w:ilvl w:val="0"/>
          <w:numId w:val="4"/>
        </w:numPr>
        <w:spacing w:after="0" w:afterAutospacing="0" w:before="0" w:beforeAutospacing="0" w:lineRule="auto"/>
        <w:ind w:left="720" w:hanging="360"/>
      </w:pPr>
      <w:r w:rsidDel="00000000" w:rsidR="00000000" w:rsidRPr="00000000">
        <w:rPr>
          <w:rtl w:val="0"/>
        </w:rPr>
        <w:t xml:space="preserve">Vice President (VP) / Director: A mid-level banker (VP or sometimes a Director/Executive Director) acts as the project manager for the preparation. They translate the MD’s vision into an actionable plan for the team. The VP will sit down with the MD to draft the initial outline of the pitchbook : for instance, deciding that “Section 1 will be about ServiceNow’s positioning, Section 2 about M&amp;A targets, Section 3 about financing options,” etc. After that, the VP coordinates the team’s efforts – assigning the analyst and associate specific tasks (“Alice will compile industry stats, Bob will build the valuation model,” etc.) and setting deadlines. They often review and refine the analysis at multiple points: checking the associate’s and analyst’s work for accuracy and coherence. VPs bring a wealth of deal experience, so they inject strategic insight: they might say, “I’ve seen similar clients struggle with integrating AI acquisitions; let’s emphasize our bank’s integration support services.” They also liaise with other groups: if input from the M&amp;A product team or capital markets is needed, the VP arranges those calls. As drafts of the deck emerge, the VP edits content, ensuring the story flows and the messaging is clear. They balance the MD’s requests with practical feasibility, and sometimes act as a buffer – consolidating feedback from multiple seniors (MD, possibly a Director) so the junior team isn’t confused by too many voices. Before the meeting, the VP helps brief the MD on the fine details (since the VP has been in the weeds enough to know them). In the meeting, a VP may present select sections (if the MD wants them to) or jump in to support the MD on detailed points. Mostly, they are there to back up the MD and observe the client’s reactions. If multiple bankers attend, the VP often handles any demos or detailed walkthroughs of analysis if needed. Essentially, the VP ensures everything is ready and of high quality, and that the team is coordinated in both prep and execution.</w:t>
        <w:br w:type="textWrapping"/>
      </w:r>
    </w:p>
    <w:p w:rsidR="00000000" w:rsidDel="00000000" w:rsidP="00000000" w:rsidRDefault="00000000" w:rsidRPr="00000000" w14:paraId="00000041">
      <w:pPr>
        <w:numPr>
          <w:ilvl w:val="0"/>
          <w:numId w:val="4"/>
        </w:numPr>
        <w:spacing w:after="0" w:afterAutospacing="0" w:before="0" w:beforeAutospacing="0" w:lineRule="auto"/>
        <w:ind w:left="720" w:hanging="360"/>
      </w:pPr>
      <w:r w:rsidDel="00000000" w:rsidR="00000000" w:rsidRPr="00000000">
        <w:rPr>
          <w:rtl w:val="0"/>
        </w:rPr>
        <w:t xml:space="preserve">Associate: The associate is a mid-junior banker who works closely with the analyst to produce the materials and analysis. They serve as the day-to-day coordinator of work. In prepping for the ServiceNow meeting, the associate will gather initial data and run analyses – for instance, they might supervise compiling a list of potential acquisition targets (shortlisting which ones to include) and then have the analyst pull the data for those. Associates are typically skilled at financial modeling, so they might build or at least supervise the building of models (valuation models, impact analyses, etc.) that underpin the pitch. They act as a quality check for the analyst’s output: reviewing the numbers for accuracy and the slides for consistency. For example, if the analyst produces a comparable companies valuation, the associate will verify the peer group is appropriate and that the math is correct. They often handle drafting text and framing the slides, since they have more client context – e.g. writing the bullet points that explain “why Target X is a good strategic fit for ServiceNow.” The associate also coordinates with internal resources: they might contact the internal compliance or legal team if there’s sensitive info to be approved for the presentation, or get slides approved by a Fairness Committee if required (though usually that’s for live deal situations). Timing and workflow are a big part of their role – associates maintain the project timeline (“we need a full deck draft by Tuesday night for the VP to review”). As the meeting nears, the associate often conducts the final coherence check: making sure all slides tell a consistent story, numbers tie out across slides, and formatting is clean. They may also help coach the analyst on any speaking role or prepare a cheat sheet of numbers the analyst might need to recall quickly in the meeting. During the client meeting, associates usually attend but do not speak unless called upon. They take detailed notes on what the client says and note any follow-up requests. In some cases, if the MD and VP are confident, an associate might present a very specific section they worked heavily on (this can happen at mid-market banks more often due to lean teams). But typically, the associate’s presence is as a supportive expert – ready to retrieve a fact or run a quick calculation live if needed, and to observe and learn.</w:t>
        <w:br w:type="textWrapping"/>
      </w:r>
    </w:p>
    <w:p w:rsidR="00000000" w:rsidDel="00000000" w:rsidP="00000000" w:rsidRDefault="00000000" w:rsidRPr="00000000" w14:paraId="00000042">
      <w:pPr>
        <w:numPr>
          <w:ilvl w:val="0"/>
          <w:numId w:val="4"/>
        </w:numPr>
        <w:spacing w:after="240" w:before="0" w:beforeAutospacing="0" w:lineRule="auto"/>
        <w:ind w:left="720" w:hanging="360"/>
      </w:pPr>
      <w:r w:rsidDel="00000000" w:rsidR="00000000" w:rsidRPr="00000000">
        <w:rPr>
          <w:rtl w:val="0"/>
        </w:rPr>
        <w:t xml:space="preserve">Analyst: The analyst is the most junior member, responsible for the heavy lifting of data analysis and presentation creation. For a ServiceNow meeting prep, the analyst will: gather financial data on ServiceNow and peers from databases, update valuation models (or build new ones), and create the charts and tables that go into the pitchbook. If a list of acquisition targets is being presented, the analyst compiles each target’s profile (using external sources like CapIQ, news, company websites). Analysts are masters of Excel and PowerPoint at this stage – they’ll crunch numbers (e.g. computing revenue multiples, synergy potentials, pro forma financials) and then visualize them in slides. They often produce the first draft of many slides, which then go up the chain for refinement. An analyst’s work can include writing a brief industry overview, summarizing recent M&amp;A transactions in AI, or drafting a slide on ServiceNow’s historical stock performance, all under guidance from the associate and VP. They also handle all the grunt work of formatting: making sure fonts, colors, and layouts adhere to the bank’s standards. There’s a saying that analysts spend more time in PowerPoint than Excel, reflecting how much effort goes into perfect-looking slides . The analyst must be extremely detail-oriented – a single number mistake can undermine credibility. Thus, they often double and triple-check calculations and sometimes have a peer analyst cross-check key figures. Analysts also prepare backup data not necessarily in the main deck – e.g. a printout of the full comps table or an extra schedule of ServiceNow’s past M&amp;A deals, in case the MD needs to reference something not in the slides. In the meeting, analysts usually do not speak up; they are there to learn and to support quietly. They take notes alongside the associate. However, they must be prepared in case a question gets directed their way or if the MD turns to them for a number. For example, if the CFO asks, “What was our EBITDA last quarter?” the MD might glance at the analyst who has the figures handy in the financial summary. Thus, analysts often bring an expanded set of data or the Excel printouts. At top banks, junior team members are trained to be ready to “dig up any additional information that’s required” on the spot . After the meeting, the analyst typically is responsible for promptly compiling a detailed meeting summary (from their notes) to circulate internally.</w:t>
        <w:br w:type="textWrapping"/>
      </w:r>
    </w:p>
    <w:p w:rsidR="00000000" w:rsidDel="00000000" w:rsidP="00000000" w:rsidRDefault="00000000" w:rsidRPr="00000000" w14:paraId="00000043">
      <w:pPr>
        <w:spacing w:after="240" w:before="240" w:lineRule="auto"/>
        <w:rPr/>
      </w:pPr>
      <w:r w:rsidDel="00000000" w:rsidR="00000000" w:rsidRPr="00000000">
        <w:rPr>
          <w:rtl w:val="0"/>
        </w:rPr>
        <w:t xml:space="preserve">It’s worth noting that at bulge bracket banks, teams can be larger and more specialized – sometimes there might be multiple analysts or additional roles like an Associate Vice President or specialist (e.g. a Financial Institutions Group banker if the client were a bank, etc.). For ServiceNow (a tech company), the core team is likely from the Technology Coverage Group, possibly collaborating with an M&amp;A execution team. In mid-market banks or smaller teams, one person may wear multiple hats (e.g. an Associate might do a bit of what a VP does in terms of planning, or an Analyst may get more client exposure due to a lean team). Regardless, the workflow and division of labor remain similar: senior bankers set direction and handle client interaction, while junior bankers handle analysis and materials – with everyone collaborating closely to deliver a seamless outcome .</w:t>
      </w:r>
    </w:p>
    <w:p w:rsidR="00000000" w:rsidDel="00000000" w:rsidP="00000000" w:rsidRDefault="00000000" w:rsidRPr="00000000" w14:paraId="00000044">
      <w:pPr>
        <w:pStyle w:val="Heading2"/>
        <w:spacing w:after="80" w:before="360" w:lineRule="auto"/>
        <w:ind w:left="0"/>
        <w:rPr>
          <w:sz w:val="34"/>
          <w:szCs w:val="34"/>
        </w:rPr>
      </w:pPr>
      <w:bookmarkStart w:colFirst="0" w:colLast="0" w:name="_yc8oo8a96jfi" w:id="10"/>
      <w:bookmarkEnd w:id="10"/>
      <w:r w:rsidDel="00000000" w:rsidR="00000000" w:rsidRPr="00000000">
        <w:rPr>
          <w:sz w:val="34"/>
          <w:szCs w:val="34"/>
          <w:rtl w:val="0"/>
        </w:rPr>
        <w:t xml:space="preserve">5. Best Practices &amp; Differentiators of Top Banks in Meeting Prep</w:t>
      </w:r>
    </w:p>
    <w:p w:rsidR="00000000" w:rsidDel="00000000" w:rsidP="00000000" w:rsidRDefault="00000000" w:rsidRPr="00000000" w14:paraId="00000045">
      <w:pPr>
        <w:spacing w:after="240" w:before="240" w:lineRule="auto"/>
        <w:rPr/>
      </w:pPr>
      <w:r w:rsidDel="00000000" w:rsidR="00000000" w:rsidRPr="00000000">
        <w:rPr>
          <w:rtl w:val="0"/>
        </w:rPr>
        <w:t xml:space="preserve">Elite investment banks (like Goldman Sachs, Morgan Stanley, etc.) are known for taking preparation to the next level. Their best practices often set them apart, allowing them to consistently impress clients like ServiceNow. Here are several differentiators and how they manifest in meeting prep:</w:t>
      </w:r>
    </w:p>
    <w:p w:rsidR="00000000" w:rsidDel="00000000" w:rsidP="00000000" w:rsidRDefault="00000000" w:rsidRPr="00000000" w14:paraId="00000046">
      <w:pPr>
        <w:numPr>
          <w:ilvl w:val="0"/>
          <w:numId w:val="2"/>
        </w:numPr>
        <w:spacing w:after="0" w:afterAutospacing="0" w:before="240" w:lineRule="auto"/>
        <w:ind w:left="720" w:hanging="360"/>
      </w:pPr>
      <w:r w:rsidDel="00000000" w:rsidR="00000000" w:rsidRPr="00000000">
        <w:rPr>
          <w:rtl w:val="0"/>
        </w:rPr>
        <w:t xml:space="preserve">Deeply Customized Insights: Top banks pride themselves on knowing the client’s business better than anyone else. This means they invest significant time upfront to understand ServiceNow’s strategy, challenges, and even internal dynamics. They will often come in with bespoke analysis that the client hasn’t seen before. For instance, a bulge bracket bank might use its internal data science team to analyze ServiceNow’s customer base or product usage data (if available) to identify an insight like a new potential market segment. They might present a unique perspective – such as a proprietary survey of CIOs on IT service management trends – to show ServiceNow how demand for its type of product could evolve. This level of insight goes beyond the obvious. It positions the bank as a true thought partner. Best-in-class banks also ensure that even their generic content (like industry overviews) are explicitly tailored to the client. One banker might say, “Yes, ServiceNow is well aware of general SaaS growth – but we’ve pinpointed how AI adoption in IT workflows (ServiceNow’s domain) specifically is accelerating 20% faster than broader SaaS, which underpins our idea that you should invest more in AI.” That kind of pinpoint relevance makes the client feel the prep was just for them, not a recycled pitch.</w:t>
        <w:br w:type="textWrapping"/>
      </w:r>
    </w:p>
    <w:p w:rsidR="00000000" w:rsidDel="00000000" w:rsidP="00000000" w:rsidRDefault="00000000" w:rsidRPr="00000000" w14:paraId="00000047">
      <w:pPr>
        <w:numPr>
          <w:ilvl w:val="0"/>
          <w:numId w:val="2"/>
        </w:numPr>
        <w:spacing w:after="0" w:afterAutospacing="0" w:before="0" w:beforeAutospacing="0" w:lineRule="auto"/>
        <w:ind w:left="720" w:hanging="360"/>
      </w:pPr>
      <w:r w:rsidDel="00000000" w:rsidR="00000000" w:rsidRPr="00000000">
        <w:rPr>
          <w:rtl w:val="0"/>
        </w:rPr>
        <w:t xml:space="preserve">“One Team” Collaboration: Top banks break down internal silos to prepare a holistic pitch. They will bring in experts from across the firm and synchronize their input. For example, if ServiceNow’s meeting touches on both M&amp;A and financing, a Goldman Sachs team would likely include both a senior M&amp;A banker and a capital markets banker in internal prep to ensure all angles are covered. They might also incorporate views from the bank’s research analyst on ServiceNow or the tech sector. The difference at top firms is that this collaboration is done behind the scenes and distilled so that the message to the client is cohesive. The client just sees that the coverage MD seems to have encyclopedic knowledge – not realizing it’s backed by numerous specialists’ input. Additionally, top banks often have formal processes to generate these insights: e.g. an internal “brainstorming call” with senior partners globally to discuss a major client’s possible moves. By pooling firm-wide knowledge, they might surface an idea like a non-obvious acquisition target overseas or a creative financing structure that a smaller bank team might miss. This comprehensive approach often impresses clients when bankers can say, “Our colleagues in Asia have seen a similar trend and here’s how it could benefit ServiceNow’s expansion.”</w:t>
        <w:br w:type="textWrapping"/>
      </w:r>
    </w:p>
    <w:p w:rsidR="00000000" w:rsidDel="00000000" w:rsidP="00000000" w:rsidRDefault="00000000" w:rsidRPr="00000000" w14:paraId="00000048">
      <w:pPr>
        <w:numPr>
          <w:ilvl w:val="0"/>
          <w:numId w:val="2"/>
        </w:numPr>
        <w:spacing w:after="0" w:afterAutospacing="0" w:before="0" w:beforeAutospacing="0" w:lineRule="auto"/>
        <w:ind w:left="720" w:hanging="360"/>
      </w:pPr>
      <w:r w:rsidDel="00000000" w:rsidR="00000000" w:rsidRPr="00000000">
        <w:rPr>
          <w:rtl w:val="0"/>
        </w:rPr>
        <w:t xml:space="preserve">Exceptional Pitchbook Quality and Design: While content is king, the presentation matters – and top banks spare no effort in producing polished, high-quality materials. This includes not only professional, clean visuals but also a sense of heft and importance. As industry observers quip, a deck from a top bulge bracket has a “feel” – the pages are thicker, the printing high-resolution, color schemes consistent – all of which subtly convey quality . Goldman or Morgan Stanley often have entire teams (sometimes called Desktop Publishing or Graphics) to beautify slides overnight. Logos, icons, and formatting are meticulously applied according to brand standards. Charts are clear and not overly cluttered, and the storyline is easy to follow. The attention to detail is extreme: for instance, ensuring that if ServiceNow’s corporate color is green, perhaps key headings or data points in the deck use a complementary color scheme. Top bankers know that many executives are visual, and a sleek deck can make an impression that the bank is put-together and professional. In fact, clients do notice; as one commentary humorously noted, to some clients the appearance of a deck can matter as much or more than the content . While that may be an exaggeration, it underscores that flawless materials reflect a sense of pride and diligence. Importantly, these banks don’t use design as a smokescreen – they combine it with substance. The best practice is form with function: great-looking slides that also convey meaningful, client-specific analysis.</w:t>
        <w:br w:type="textWrapping"/>
      </w:r>
    </w:p>
    <w:p w:rsidR="00000000" w:rsidDel="00000000" w:rsidP="00000000" w:rsidRDefault="00000000" w:rsidRPr="00000000" w14:paraId="00000049">
      <w:pPr>
        <w:numPr>
          <w:ilvl w:val="0"/>
          <w:numId w:val="2"/>
        </w:numPr>
        <w:spacing w:after="0" w:afterAutospacing="0" w:before="0" w:beforeAutospacing="0" w:lineRule="auto"/>
        <w:ind w:left="720" w:hanging="360"/>
      </w:pPr>
      <w:r w:rsidDel="00000000" w:rsidR="00000000" w:rsidRPr="00000000">
        <w:rPr>
          <w:rtl w:val="0"/>
        </w:rPr>
        <w:t xml:space="preserve">Practice and Precision: Top banks often internally rehearse important meetings. The senior banker might do a dry run of the presentation in front of the team or a small group of colleagues acting as “mock audience”. This helps refine the delivery and anticipate questions. They aim for crisp and confident delivery. In the meeting itself, differentiators include how the team comports themselves – for example, only the relevant slides are presented (they won’t bore the client with generic pages the client doesn’t care about). MDs at top banks are skilled at reading the client’s cues and will gracefully pivot the conversation if needed – essentially they treat the meeting not as a monologue but as a dynamic discussion. This agility comes from thorough prep: they have mental (or physical) bookmarks on backup slides if a certain topic comes up and have practiced answers to tough questions. A best practice is preparing a “response matrix” for potential tough questions (e.g. “What if the client asks why our valuation is higher than the market’s view?”) so that the bankers answer smoothly and consistently. This level of preparation makes the bankers appear unflappable and knowledgeable on the spot, which sets them apart.</w:t>
        <w:br w:type="textWrapping"/>
      </w:r>
    </w:p>
    <w:p w:rsidR="00000000" w:rsidDel="00000000" w:rsidP="00000000" w:rsidRDefault="00000000" w:rsidRPr="00000000" w14:paraId="0000004A">
      <w:pPr>
        <w:numPr>
          <w:ilvl w:val="0"/>
          <w:numId w:val="2"/>
        </w:numPr>
        <w:spacing w:after="0" w:afterAutospacing="0" w:before="0" w:beforeAutospacing="0" w:lineRule="auto"/>
        <w:ind w:left="720" w:hanging="360"/>
      </w:pPr>
      <w:r w:rsidDel="00000000" w:rsidR="00000000" w:rsidRPr="00000000">
        <w:rPr>
          <w:rtl w:val="0"/>
        </w:rPr>
        <w:t xml:space="preserve">Focusing on Client’s Pain Points (Consultative Approach): The most successful bankers differentiate themselves by making the meeting about the client’s needs, not the bank’s pitch. This consultative mindset is evident in how they frame every slide and talking point: it ties back to something the client has expressed concern about or opportunity they want to capture. For example, if ServiceNow’s CFO has publicly spoken about maintaining “discipline” in M&amp;A , the bankers will acknowledge that and tailor their ideas to fit that framework (showing they listen and align with client philosophy). Top banks even sometimes choose to forgo the massive pitchbook altogether if they sense the client would prefer a conversation. In some cases, a leading banker might walk into a meeting with a thin deck or just a few pages, and spend more time asking the client questions and listening – then use the prepared analysis only as needed. This approach can impress clients by breaking the expectation that bankers only come to talk about themselves. There’s an anecdote on forums about bankers winning deals by dropping the “hard sell” and instead zeroing in on discussing the client’s problems and goals . The best practice here is to demonstrate empathy and understanding: for ServiceNow, that might mean acknowledging challenges (like integration of past acquisitions or the competitive threat from larger cloud players) and showing how the bank’s ideas directly tackle those. Banks that do this stand out because many others might come in with generic slides about how great their bank is; a savvy client can tell the difference. As a result, top banks often get feedback like “You guys really understand us”, which is the ultimate differentiator.</w:t>
        <w:br w:type="textWrapping"/>
      </w:r>
    </w:p>
    <w:p w:rsidR="00000000" w:rsidDel="00000000" w:rsidP="00000000" w:rsidRDefault="00000000" w:rsidRPr="00000000" w14:paraId="0000004B">
      <w:pPr>
        <w:numPr>
          <w:ilvl w:val="0"/>
          <w:numId w:val="2"/>
        </w:numPr>
        <w:spacing w:after="240" w:before="0" w:beforeAutospacing="0" w:lineRule="auto"/>
        <w:ind w:left="720" w:hanging="360"/>
      </w:pPr>
      <w:r w:rsidDel="00000000" w:rsidR="00000000" w:rsidRPr="00000000">
        <w:rPr>
          <w:rtl w:val="0"/>
        </w:rPr>
        <w:t xml:space="preserve">Unique Value-Add &amp; Resources: Firms like GS or MS might bring along exclusive content or technology to the prep process. For example, some have in-house think tanks (e.g., GS’s “Global Investment Research” team) that produce white papers on AI or other relevant topics. Incorporating excerpts or inviting an industry expert to join the meeting for a segment (say, a renowned AI specialist from the bank’s advisory board) can wow the client. Another differentiator can be digital tools: a top bank might use an interactive iPad presentation or a custom-cut video snippet from one of ServiceNow’s prior public appearances to make a point, which less-equipped competitors wouldn’t consider. Even subtle things like a tailored valuation model tool (imagine showing ServiceNow a live sensitivity analysis on how acquiring Company X at different prices impacts their EPS – adjusting on the fly) can set a bank apart if done smoothly. These things illustrate that the bank has invested more effort and has capabilities others don’t.</w:t>
        <w:br w:type="textWrapping"/>
      </w:r>
    </w:p>
    <w:p w:rsidR="00000000" w:rsidDel="00000000" w:rsidP="00000000" w:rsidRDefault="00000000" w:rsidRPr="00000000" w14:paraId="0000004C">
      <w:pPr>
        <w:spacing w:after="240" w:before="240" w:lineRule="auto"/>
        <w:rPr/>
      </w:pPr>
      <w:r w:rsidDel="00000000" w:rsidR="00000000" w:rsidRPr="00000000">
        <w:rPr>
          <w:rtl w:val="0"/>
        </w:rPr>
        <w:t xml:space="preserve">In essence, what sets the top banks apart is an extreme level of preparedness, client-centric focus, and polish. They leave as little to chance as possible. Everything – from the strategic content down to the page footnotes – is thought through with the client in mind. And they bring the full arsenal of the firm’s resources to do it, which mid-market banks (with smaller teams and budgets) might struggle to match. As a result, clients often get a sense of greater confidence and trust – feeling that a top-tier bank “just gets it” and will deliver quality service. This doesn’t mean mid-market banks can’t compete (they often do by being more flexible or entrepreneurial in ideas), but the bulge bracket prep process is a well-oiled machine aimed at maximizing the chance of a successful meeting (and ultimately, winning business).</w:t>
      </w:r>
    </w:p>
    <w:p w:rsidR="00000000" w:rsidDel="00000000" w:rsidP="00000000" w:rsidRDefault="00000000" w:rsidRPr="00000000" w14:paraId="0000004D">
      <w:pPr>
        <w:pStyle w:val="Heading2"/>
        <w:spacing w:after="80" w:before="360" w:lineRule="auto"/>
        <w:ind w:left="0"/>
        <w:rPr>
          <w:sz w:val="34"/>
          <w:szCs w:val="34"/>
        </w:rPr>
      </w:pPr>
      <w:bookmarkStart w:colFirst="0" w:colLast="0" w:name="_nwgpaxjgd4gg" w:id="11"/>
      <w:bookmarkEnd w:id="11"/>
      <w:r w:rsidDel="00000000" w:rsidR="00000000" w:rsidRPr="00000000">
        <w:rPr>
          <w:sz w:val="34"/>
          <w:szCs w:val="34"/>
          <w:rtl w:val="0"/>
        </w:rPr>
        <w:t xml:space="preserve">6. Pain Points in the Prep Process and How Digital/AI Tools Could Help</w:t>
      </w:r>
    </w:p>
    <w:p w:rsidR="00000000" w:rsidDel="00000000" w:rsidP="00000000" w:rsidRDefault="00000000" w:rsidRPr="00000000" w14:paraId="0000004E">
      <w:pPr>
        <w:spacing w:after="240" w:before="240" w:lineRule="auto"/>
        <w:rPr/>
      </w:pPr>
      <w:r w:rsidDel="00000000" w:rsidR="00000000" w:rsidRPr="00000000">
        <w:rPr>
          <w:rtl w:val="0"/>
        </w:rPr>
        <w:t xml:space="preserve">Even with best practices, preparing for client meetings is notoriously demanding. Bankers face several pain points and bottlenecks that can make the process inefficient or stressful. Identifying these pain points also highlights opportunities where digital or Generative AI (GenAI) products could streamline the workflow:</w:t>
      </w:r>
    </w:p>
    <w:p w:rsidR="00000000" w:rsidDel="00000000" w:rsidP="00000000" w:rsidRDefault="00000000" w:rsidRPr="00000000" w14:paraId="0000004F">
      <w:pPr>
        <w:numPr>
          <w:ilvl w:val="0"/>
          <w:numId w:val="7"/>
        </w:numPr>
        <w:spacing w:after="0" w:afterAutospacing="0" w:before="240" w:lineRule="auto"/>
        <w:ind w:left="720" w:hanging="360"/>
      </w:pPr>
      <w:r w:rsidDel="00000000" w:rsidR="00000000" w:rsidRPr="00000000">
        <w:rPr>
          <w:rtl w:val="0"/>
        </w:rPr>
        <w:t xml:space="preserve">Information Overload &amp; Fragmentation: One big challenge is dealing with the sheer volume of information. Data comes from everywhere – multiple databases, emails, prior decks, news feeds. It can be time-consuming to sift through and pick out what matters for this specific meeting. Moreover, crucial client intel might reside in disparate places (the MD’s memory, an associate’s spreadsheet of deal ideas, past CRM entries). The fragmented nature of data can lead to things being missed. Bankers often end up manually cobbling together insights from a dozen sources, which is tedious and prone to oversight. Potential Solution: A GenAI-powered aggregator could rapidly scan all relevant internal and external sources and present a concise briefing. Imagine a digital assistant where the team could query, “Summarize ServiceNow’s last 3 earnings calls and any AI-related comments,” and get a quick digest – saving hours of reading. In fact, advanced AI can integrate third-party data with internal notes to suggest relevant insights in real time . This would address the pain of manually hunting and pecking for info. Additionally, having an AI comb internal systems (emails, CRM, deal tombstones) for anything related to “ServiceNow” and surface key points (like “Last meeting in Jan 2025: CFO was interested in APAC expansion”) would ensure nothing falls through the cracks.</w:t>
        <w:br w:type="textWrapping"/>
      </w:r>
    </w:p>
    <w:p w:rsidR="00000000" w:rsidDel="00000000" w:rsidP="00000000" w:rsidRDefault="00000000" w:rsidRPr="00000000" w14:paraId="00000050">
      <w:pPr>
        <w:numPr>
          <w:ilvl w:val="0"/>
          <w:numId w:val="7"/>
        </w:numPr>
        <w:spacing w:after="0" w:afterAutospacing="0" w:before="0" w:beforeAutospacing="0" w:lineRule="auto"/>
        <w:ind w:left="720" w:hanging="360"/>
      </w:pPr>
      <w:r w:rsidDel="00000000" w:rsidR="00000000" w:rsidRPr="00000000">
        <w:rPr>
          <w:rtl w:val="0"/>
        </w:rPr>
        <w:t xml:space="preserve">Last-Minute Changes &amp; Iterations: It’s common in banking that the night before (or morning of) a meeting, something changes – either market data or senior banker requests. Incorporating those quickly is stressful, especially if it means updating numbers across multiple slides. Also, senior bankers often iterate the presentation many times (as mentioned, version 44 of a deck is not unheard of) . This iterative loop can be a pain point – analysts might spend nights tweaking minute details (like font sizes, repositioning logos) after each review. Potential Solution: Digital tools can expedite these changes. For instance, automated data updating – if an AI tool is linked to live financial data, it could refresh all the affected charts and tables in one go (ensuring consistency). Some products already allow linking Excel to PowerPoint so changes cascade, but a smarter system could also adjust commentary text to match the updated data (perhaps even flagging if a narrative no longer holds after a market shift). Regarding iterations, a GenAI tool might learn from an MD’s typical preferences (e.g., their style of wording or the fact they always want a certain chart format) and preemptively apply those, reducing review cycles. Also, AI-driven design assistants could handle a lot of the formatting cleanup automatically (adjust spacing, alignment, fonts) which currently eats up analyst hours – making those late-night “cosmetic” changes far faster.</w:t>
        <w:br w:type="textWrapping"/>
      </w:r>
    </w:p>
    <w:p w:rsidR="00000000" w:rsidDel="00000000" w:rsidP="00000000" w:rsidRDefault="00000000" w:rsidRPr="00000000" w14:paraId="00000051">
      <w:pPr>
        <w:numPr>
          <w:ilvl w:val="0"/>
          <w:numId w:val="7"/>
        </w:numPr>
        <w:spacing w:after="0" w:afterAutospacing="0" w:before="0" w:beforeAutospacing="0" w:lineRule="auto"/>
        <w:ind w:left="720" w:hanging="360"/>
      </w:pPr>
      <w:r w:rsidDel="00000000" w:rsidR="00000000" w:rsidRPr="00000000">
        <w:rPr>
          <w:rtl w:val="0"/>
        </w:rPr>
        <w:t xml:space="preserve">Conflicting Inputs &amp; Coordination: As noted in the M&amp;I excerpt, juniors often get conflicting comments from different seniors – e.g. the VP says “make the market slide optimistic” while the MD later says “why are we so bullish here?”. Navigating these internal dynamics wastes time and can hurt morale. Additionally, coordinating across teams (coverage, product groups, graphics) involves a lot of emails and version control hassles. Potential Solution: Collaborative digital platforms could alleviate some of this. A centralized workspace where all team members comment on slides in real-time can help align feedback – everyone sees each other’s comments, reducing contradiction. Some banks use shared OneDrive/SharePoint or Google Slides for collaboration, but an AI could even reconcile conflicting comments by flagging discrepancies (“MD wants X, which conflicts with VP’s earlier Y”) so it’s at least known. Furthermore, project management tools tailored to deal teams can track tasks and reminders automatically (for example, ping the DCM team to deliver an interest rate update by a certain time). While not eliminating human disagreement, these tools streamline communication. GenAI might even suggest edits based on common patterns – for instance, “This slide has too much text, consider a chart,” or “Your tone on this page is too promotional; remember the client’s conservative stance” – essentially acting like a virtual VP giving guidance to the analyst in absence of human feedback.</w:t>
        <w:br w:type="textWrapping"/>
      </w:r>
    </w:p>
    <w:p w:rsidR="00000000" w:rsidDel="00000000" w:rsidP="00000000" w:rsidRDefault="00000000" w:rsidRPr="00000000" w14:paraId="00000052">
      <w:pPr>
        <w:numPr>
          <w:ilvl w:val="0"/>
          <w:numId w:val="7"/>
        </w:numPr>
        <w:spacing w:after="0" w:afterAutospacing="0" w:before="0" w:beforeAutospacing="0" w:lineRule="auto"/>
        <w:ind w:left="720" w:hanging="360"/>
      </w:pPr>
      <w:r w:rsidDel="00000000" w:rsidR="00000000" w:rsidRPr="00000000">
        <w:rPr>
          <w:rtl w:val="0"/>
        </w:rPr>
        <w:t xml:space="preserve">Data Accuracy and Consistency: A perennial pain point is making sure every number in the deck is accurate and consistent across slides. With many manual inputs, there’s risk of an error (e.g., one slide shows a P/E ratio as 30x, another as 28x due to a last-minute update not carrying over). The fear of errors leads to multiple rounds of checking, which is time-consuming. Potential Solution: Automated auditing tools could be a game-changer. Imagine an AI that goes through the deck and cross-verifies every figure against a single source of truth (like the Excel model or database). If it finds a discrepancy – say, the revenue figure on Slide 5 doesn’t match the one on Slide 10 – it alerts the team. Some consistency-check tools exist (for formatting, etc.), but AI could do semantic consistency too (e.g., if ServiceNow’s growth rate is mentioned in text as 25% but the chart shows 20%, it would catch that context mismatch). This reduces the anxiety of possibly overlooking an error and frees time from manual number-checking.</w:t>
        <w:br w:type="textWrapping"/>
      </w:r>
    </w:p>
    <w:p w:rsidR="00000000" w:rsidDel="00000000" w:rsidP="00000000" w:rsidRDefault="00000000" w:rsidRPr="00000000" w14:paraId="00000053">
      <w:pPr>
        <w:numPr>
          <w:ilvl w:val="0"/>
          <w:numId w:val="7"/>
        </w:numPr>
        <w:spacing w:after="0" w:afterAutospacing="0" w:before="0" w:beforeAutospacing="0" w:lineRule="auto"/>
        <w:ind w:left="720" w:hanging="360"/>
      </w:pPr>
      <w:r w:rsidDel="00000000" w:rsidR="00000000" w:rsidRPr="00000000">
        <w:rPr>
          <w:rtl w:val="0"/>
        </w:rPr>
        <w:t xml:space="preserve">Time Crunch and Long Hours: Preparing for big meetings often compresses into a short timeframe (especially if the meeting was set up last-minute or the client asked for something on short notice). Bankers end up working 100-hour weeks, with a lot of late nights . The toll is high and burnout is a concern industry-wide. The time crunch also means less time to actually think strategically because so much time goes into just producing materials. Potential Solution: This is where GenAI could truly help by taking on grunt work. For example, drafting an initial pitchbook outline or even populating a first draft of slides based on a prompt (e.g., “Create an industry overview section for enterprise software with focus on AI trend”) could save hours. AI might not get it perfect, but it can give a starting point that bankers then refine. Likewise, generating first drafts of company profiles or writing a summary of “why this acquisition makes sense” based on past deals and known synergies could cut down the writing time. By automating lower-value tasks, bankers can reallocate time to higher-value tasks like brainstorming custom ideas or rehearsing the client interaction. In effect, AI becomes a junior team member that works instantaneously and doesn’t sleep – churning through what an analyst might spend an all-nighter on, in minutes. This not only reduces pain for the team but potentially leads to better quality output (since the humans can focus on creativity and judgment, not tedious processes).</w:t>
        <w:br w:type="textWrapping"/>
      </w:r>
    </w:p>
    <w:p w:rsidR="00000000" w:rsidDel="00000000" w:rsidP="00000000" w:rsidRDefault="00000000" w:rsidRPr="00000000" w14:paraId="00000054">
      <w:pPr>
        <w:numPr>
          <w:ilvl w:val="0"/>
          <w:numId w:val="7"/>
        </w:numPr>
        <w:spacing w:after="0" w:afterAutospacing="0" w:before="0" w:beforeAutospacing="0" w:lineRule="auto"/>
        <w:ind w:left="720" w:hanging="360"/>
      </w:pPr>
      <w:r w:rsidDel="00000000" w:rsidR="00000000" w:rsidRPr="00000000">
        <w:rPr>
          <w:rtl w:val="0"/>
        </w:rPr>
        <w:t xml:space="preserve">Repetitive Customization Work: Often, 50-60% of a pitchbook is “reuse” material (market slides, standard bank credentials, etc.), but it still needs to be customized and updated for each client. This repetitive work – updating logos, figures, tombstones of recent deals – is a low-hanging fruit for inefficiency. Potential Solution: A digital platform could maintain a library of slide templates and automatically populate them with the latest data and client-specific tweaks. For instance, if the bank has a standard “Tech Sector Update” slide, a tool could refresh all charts on it to the latest quarter and plug in ServiceNow’s name or ranking wherever relevant. GenAI could also help by allowing bankers to request slides or data in natural language: “Give me a chart of ServiceNow’s quarterly revenue vs. Salesforce” – and it creates a slide or Excel output ready to drop in. By cutting out manual steps in updating existing content, the team can focus on the novel parts of the presentation.</w:t>
        <w:br w:type="textWrapping"/>
      </w:r>
    </w:p>
    <w:p w:rsidR="00000000" w:rsidDel="00000000" w:rsidP="00000000" w:rsidRDefault="00000000" w:rsidRPr="00000000" w14:paraId="00000055">
      <w:pPr>
        <w:numPr>
          <w:ilvl w:val="0"/>
          <w:numId w:val="7"/>
        </w:numPr>
        <w:spacing w:after="240" w:before="0" w:beforeAutospacing="0" w:lineRule="auto"/>
        <w:ind w:left="720" w:hanging="360"/>
      </w:pPr>
      <w:r w:rsidDel="00000000" w:rsidR="00000000" w:rsidRPr="00000000">
        <w:rPr>
          <w:rtl w:val="0"/>
        </w:rPr>
        <w:t xml:space="preserve">Compliance and Approval Delays: Sometimes internal compliance processes (ensuring nothing confidential or improper is in the pitch) can slow things down at the last minute if an issue is spotted. While necessary, it’s a pain if, for example, Legal says a certain phrasing or comparison is not allowed, and slides need a redo under the gun. Potential Solution: AI could be trained on compliance guidelines to act as an early warning system – scanning the draft deck for any language or data that might raise flags (perhaps even comparing with a database of what’s allowed). It could highlight, say, “This slide uses research projections – ensure it’s from public sources or disclaim appropriately.” This way, issues are caught earlier, avoiding eleventh-hour scrambles.</w:t>
        <w:br w:type="textWrapping"/>
      </w:r>
    </w:p>
    <w:p w:rsidR="00000000" w:rsidDel="00000000" w:rsidP="00000000" w:rsidRDefault="00000000" w:rsidRPr="00000000" w14:paraId="00000056">
      <w:pPr>
        <w:spacing w:after="240" w:before="240" w:lineRule="auto"/>
        <w:rPr/>
      </w:pPr>
      <w:r w:rsidDel="00000000" w:rsidR="00000000" w:rsidRPr="00000000">
        <w:rPr>
          <w:rtl w:val="0"/>
        </w:rPr>
        <w:t xml:space="preserve">In summary, many pain points revolve around manual intensive tasks and coordination, which are exactly the areas technology can improve. By automating data gathering, aiding in analysis, and smoothing collaboration, a digital or GenAI product could drastically reduce inefficiencies. Already, some CRM and AI tools aim to “bring all your client data together” to help bankers prepare smarter and prompt next-best actions . Looking forward, we can envision an AI that practically assembles a first-cut pitchbook overnight, leaving the bankers to come in the next morning and simply refine ideas and messages. This augmentation would alleviate the grunt work pain points, reduce the iteration cycle, and perhaps even lead to better outcomes (since bankers can spend more time on strategy and less on slide perfection). The result would be a happier team and likely a better meeting for the client – because the focus shifts to insight, not admin.</w:t>
      </w:r>
    </w:p>
    <w:p w:rsidR="00000000" w:rsidDel="00000000" w:rsidP="00000000" w:rsidRDefault="00000000" w:rsidRPr="00000000" w14:paraId="00000057">
      <w:pPr>
        <w:pStyle w:val="Heading2"/>
        <w:spacing w:after="80" w:before="360" w:lineRule="auto"/>
        <w:ind w:left="0"/>
        <w:rPr>
          <w:sz w:val="34"/>
          <w:szCs w:val="34"/>
        </w:rPr>
      </w:pPr>
      <w:bookmarkStart w:colFirst="0" w:colLast="0" w:name="_u97mngbpu9xi" w:id="12"/>
      <w:bookmarkEnd w:id="12"/>
      <w:r w:rsidDel="00000000" w:rsidR="00000000" w:rsidRPr="00000000">
        <w:rPr>
          <w:sz w:val="34"/>
          <w:szCs w:val="34"/>
          <w:rtl w:val="0"/>
        </w:rPr>
        <w:t xml:space="preserve">7. Success Metrics and Follow-Up After the Meeting</w:t>
      </w:r>
    </w:p>
    <w:p w:rsidR="00000000" w:rsidDel="00000000" w:rsidP="00000000" w:rsidRDefault="00000000" w:rsidRPr="00000000" w14:paraId="00000058">
      <w:pPr>
        <w:spacing w:after="240" w:before="240" w:lineRule="auto"/>
        <w:rPr/>
      </w:pPr>
      <w:r w:rsidDel="00000000" w:rsidR="00000000" w:rsidRPr="00000000">
        <w:rPr>
          <w:rtl w:val="0"/>
        </w:rPr>
        <w:t xml:space="preserve">After the client meeting with ServiceNow, the work isn’t done. Bankers assess how the meeting went and take follow-up actions to keep momentum. Success can be measured in both short-term signals and long-term outcomes, and diligent logging and follow-up are crucial to eventually winning business. Here’s how bankers gauge effectiveness and manage post-meeting follow-up:</w:t>
      </w:r>
    </w:p>
    <w:p w:rsidR="00000000" w:rsidDel="00000000" w:rsidP="00000000" w:rsidRDefault="00000000" w:rsidRPr="00000000" w14:paraId="00000059">
      <w:pPr>
        <w:spacing w:after="240" w:before="240" w:lineRule="auto"/>
        <w:rPr/>
      </w:pPr>
      <w:r w:rsidDel="00000000" w:rsidR="00000000" w:rsidRPr="00000000">
        <w:rPr>
          <w:rtl w:val="0"/>
        </w:rPr>
        <w:t xml:space="preserve">Short-Term Success Signals: Immediately after the meeting (often in the taxi ride back or a team call), the deal team debriefs on the vibe and explicit feedback. Key indicators of a successful meeting include:</w:t>
      </w:r>
    </w:p>
    <w:p w:rsidR="00000000" w:rsidDel="00000000" w:rsidP="00000000" w:rsidRDefault="00000000" w:rsidRPr="00000000" w14:paraId="0000005A">
      <w:pPr>
        <w:numPr>
          <w:ilvl w:val="0"/>
          <w:numId w:val="6"/>
        </w:numPr>
        <w:spacing w:after="0" w:afterAutospacing="0" w:before="240" w:lineRule="auto"/>
        <w:ind w:left="720" w:hanging="360"/>
      </w:pPr>
      <w:r w:rsidDel="00000000" w:rsidR="00000000" w:rsidRPr="00000000">
        <w:rPr>
          <w:rtl w:val="0"/>
        </w:rPr>
        <w:t xml:space="preserve">Client Engagement During the Meeting: Did the ServiceNow executives ask a lot of questions, show curiosity or enthusiasm about the ideas? For example, if the CFO flipped ahead in the deck to see a specific analysis or the CEO said “That’s an interesting point” and spent 10 minutes discussing it – those are strong positive signs. Lively dialogue generally beats a meeting where the client was passive or checking their watch.</w:t>
        <w:br w:type="textWrapping"/>
      </w:r>
    </w:p>
    <w:p w:rsidR="00000000" w:rsidDel="00000000" w:rsidP="00000000" w:rsidRDefault="00000000" w:rsidRPr="00000000" w14:paraId="0000005B">
      <w:pPr>
        <w:numPr>
          <w:ilvl w:val="0"/>
          <w:numId w:val="6"/>
        </w:numPr>
        <w:spacing w:after="0" w:afterAutospacing="0" w:before="0" w:beforeAutospacing="0" w:lineRule="auto"/>
        <w:ind w:left="720" w:hanging="360"/>
      </w:pPr>
      <w:r w:rsidDel="00000000" w:rsidR="00000000" w:rsidRPr="00000000">
        <w:rPr>
          <w:rtl w:val="0"/>
        </w:rPr>
        <w:t xml:space="preserve">Expressions of Interest or Concern: Sometimes success is indicated by what the client says. If the client expressed interest – “We’d love to see a deeper analysis on that acquisition target” or “Can you send us the model you used for the capital structure scenario?” – it shows they found value in the content and want to pursue it. On the flip side, if the client confided concerns (like “Our board is actually worried about our growth rate”), that trust and openness is also a win because it gives the bankers a chance to address real issues.</w:t>
        <w:br w:type="textWrapping"/>
      </w:r>
    </w:p>
    <w:p w:rsidR="00000000" w:rsidDel="00000000" w:rsidP="00000000" w:rsidRDefault="00000000" w:rsidRPr="00000000" w14:paraId="0000005C">
      <w:pPr>
        <w:numPr>
          <w:ilvl w:val="0"/>
          <w:numId w:val="6"/>
        </w:numPr>
        <w:spacing w:after="0" w:afterAutospacing="0" w:before="0" w:beforeAutospacing="0" w:lineRule="auto"/>
        <w:ind w:left="720" w:hanging="360"/>
      </w:pPr>
      <w:r w:rsidDel="00000000" w:rsidR="00000000" w:rsidRPr="00000000">
        <w:rPr>
          <w:rtl w:val="0"/>
        </w:rPr>
        <w:t xml:space="preserve">Follow-Up Actions Agreed: The clearest short-term success is when concrete next steps come out of the meeting. For instance, the ServiceNow team might invite the bankers to present to another executive (e.g., “This is good, can you brief our CTO on those tech trends next week?”) or request the bank’s help in some further diligence (“Could you identify a few more AI targets in Europe and get back to us?”). If multiple follow-ups are identified, it shows the dialogue will continue – a very positive outcome.</w:t>
        <w:br w:type="textWrapping"/>
      </w:r>
    </w:p>
    <w:p w:rsidR="00000000" w:rsidDel="00000000" w:rsidP="00000000" w:rsidRDefault="00000000" w:rsidRPr="00000000" w14:paraId="0000005D">
      <w:pPr>
        <w:numPr>
          <w:ilvl w:val="0"/>
          <w:numId w:val="6"/>
        </w:numPr>
        <w:spacing w:after="240" w:before="0" w:beforeAutospacing="0" w:lineRule="auto"/>
        <w:ind w:left="720" w:hanging="360"/>
      </w:pPr>
      <w:r w:rsidDel="00000000" w:rsidR="00000000" w:rsidRPr="00000000">
        <w:rPr>
          <w:rtl w:val="0"/>
        </w:rPr>
        <w:t xml:space="preserve">Client’s Tone and Body Language: Although hard to quantify, experienced bankers pay attention to this. A relaxed, conversational tone, or executives nodding in agreement during key points, often indicates the meeting resonated. If the ServiceNow CFO ended the meeting with, “This was really helpful, thank you” and talked about meeting again soon, that’s a good sign. In contrast, if responses were terse or the meeting ended earlier than scheduled, those could be red flags.</w:t>
        <w:br w:type="textWrapping"/>
      </w:r>
    </w:p>
    <w:p w:rsidR="00000000" w:rsidDel="00000000" w:rsidP="00000000" w:rsidRDefault="00000000" w:rsidRPr="00000000" w14:paraId="0000005E">
      <w:pPr>
        <w:spacing w:after="240" w:before="240" w:lineRule="auto"/>
        <w:rPr/>
      </w:pPr>
      <w:r w:rsidDel="00000000" w:rsidR="00000000" w:rsidRPr="00000000">
        <w:rPr>
          <w:rtl w:val="0"/>
        </w:rPr>
        <w:t xml:space="preserve">Long-Term Success Metrics: Beyond the immediate aftermath, bankers measure the meeting’s success by how it advances the relationship and eventually leads to revenue-generating business:</w:t>
      </w:r>
    </w:p>
    <w:p w:rsidR="00000000" w:rsidDel="00000000" w:rsidP="00000000" w:rsidRDefault="00000000" w:rsidRPr="00000000" w14:paraId="0000005F">
      <w:pPr>
        <w:numPr>
          <w:ilvl w:val="0"/>
          <w:numId w:val="5"/>
        </w:numPr>
        <w:spacing w:after="0" w:afterAutospacing="0" w:before="240" w:lineRule="auto"/>
        <w:ind w:left="720" w:hanging="360"/>
      </w:pPr>
      <w:r w:rsidDel="00000000" w:rsidR="00000000" w:rsidRPr="00000000">
        <w:rPr>
          <w:rtl w:val="0"/>
        </w:rPr>
        <w:t xml:space="preserve">Mandate Conversion: The ultimate goal is to win a mandate – meaning the client formally engages the bank on a transaction or pays for services. If, in the months following the meeting, ServiceNow decides to pursue one of the pitched ideas (say, acquiring a particular AI startup) and they hire the bank as an advisor, that is the best validation that the meeting (and the groundwork around it) was effective. Even if the mandate comes a year later, the seeds are often traced back to these meetings. Banks track their “hit rate” of pitches to mandates as a key performance indicator.</w:t>
        <w:br w:type="textWrapping"/>
      </w:r>
    </w:p>
    <w:p w:rsidR="00000000" w:rsidDel="00000000" w:rsidP="00000000" w:rsidRDefault="00000000" w:rsidRPr="00000000" w14:paraId="00000060">
      <w:pPr>
        <w:numPr>
          <w:ilvl w:val="0"/>
          <w:numId w:val="5"/>
        </w:numPr>
        <w:spacing w:after="0" w:afterAutospacing="0" w:before="0" w:beforeAutospacing="0" w:lineRule="auto"/>
        <w:ind w:left="720" w:hanging="360"/>
      </w:pPr>
      <w:r w:rsidDel="00000000" w:rsidR="00000000" w:rsidRPr="00000000">
        <w:rPr>
          <w:rtl w:val="0"/>
        </w:rPr>
        <w:t xml:space="preserve">Wallet Share and Repeat Business: For an existing public company client like ServiceNow, success might be maintaining or increasing the “wallet share” of that client’s fees. If ServiceNow historically gave 50% of its investment banking deals to one bank and 50% to others, the coverage banker wants to tilt more in their favor. So, if after a series of value-adding meetings, ServiceNow starts leaning on that bank for multiple roles (e.g., uses them not just for M&amp;A advice but also a debt issuance), it shows a deepening relationship. This is a longer-term metric often reviewed annually.</w:t>
        <w:br w:type="textWrapping"/>
      </w:r>
    </w:p>
    <w:p w:rsidR="00000000" w:rsidDel="00000000" w:rsidP="00000000" w:rsidRDefault="00000000" w:rsidRPr="00000000" w14:paraId="00000061">
      <w:pPr>
        <w:numPr>
          <w:ilvl w:val="0"/>
          <w:numId w:val="5"/>
        </w:numPr>
        <w:spacing w:after="0" w:afterAutospacing="0" w:before="0" w:beforeAutospacing="0" w:lineRule="auto"/>
        <w:ind w:left="720" w:hanging="360"/>
      </w:pPr>
      <w:r w:rsidDel="00000000" w:rsidR="00000000" w:rsidRPr="00000000">
        <w:rPr>
          <w:rtl w:val="0"/>
        </w:rPr>
        <w:t xml:space="preserve">Strength of Relationship (Qualitative): Senior management’s trust is a huge intangible metric. For example, does ServiceNow’s CEO pick up the phone to call the MD when a new issue or idea comes up? If the bankers become the “go-to” sounding board for the client on strategic matters, that’s success. Banks often use qualitative assessments like client feedback or a Net Promoter Score-like approach (though informally) – essentially, are we the client’s first call?</w:t>
        <w:br w:type="textWrapping"/>
      </w:r>
    </w:p>
    <w:p w:rsidR="00000000" w:rsidDel="00000000" w:rsidP="00000000" w:rsidRDefault="00000000" w:rsidRPr="00000000" w14:paraId="00000062">
      <w:pPr>
        <w:numPr>
          <w:ilvl w:val="0"/>
          <w:numId w:val="5"/>
        </w:numPr>
        <w:spacing w:after="240" w:before="0" w:beforeAutospacing="0" w:lineRule="auto"/>
        <w:ind w:left="720" w:hanging="360"/>
      </w:pPr>
      <w:r w:rsidDel="00000000" w:rsidR="00000000" w:rsidRPr="00000000">
        <w:rPr>
          <w:rtl w:val="0"/>
        </w:rPr>
        <w:t xml:space="preserve">Market Share and League Table Presence: While not specific to one meeting, if the cumulative effect of strong meetings leads the bank to be involved in more of ServiceNow’s transactions (or similar clients’ transactions), it boosts their standings in league tables for that sector. Top banks constantly monitor these metrics as success evidence. For instance, if ServiceNow does a large acquisition and the bank is lead advisor, that win often gets publicized, reflecting successful coverage efforts leading up to it.</w:t>
        <w:br w:type="textWrapping"/>
      </w:r>
    </w:p>
    <w:p w:rsidR="00000000" w:rsidDel="00000000" w:rsidP="00000000" w:rsidRDefault="00000000" w:rsidRPr="00000000" w14:paraId="00000063">
      <w:pPr>
        <w:spacing w:after="240" w:before="240" w:lineRule="auto"/>
        <w:rPr/>
      </w:pPr>
      <w:r w:rsidDel="00000000" w:rsidR="00000000" w:rsidRPr="00000000">
        <w:rPr>
          <w:rtl w:val="0"/>
        </w:rPr>
        <w:t xml:space="preserve">Follow-Up Process: Right after the client meeting, banks have a disciplined follow-up routine to capitalize on momentum and ensure nothing falls through:</w:t>
      </w:r>
    </w:p>
    <w:p w:rsidR="00000000" w:rsidDel="00000000" w:rsidP="00000000" w:rsidRDefault="00000000" w:rsidRPr="00000000" w14:paraId="00000064">
      <w:pPr>
        <w:numPr>
          <w:ilvl w:val="0"/>
          <w:numId w:val="8"/>
        </w:numPr>
        <w:spacing w:after="0" w:afterAutospacing="0" w:before="240" w:lineRule="auto"/>
        <w:ind w:left="720" w:hanging="360"/>
      </w:pPr>
      <w:r w:rsidDel="00000000" w:rsidR="00000000" w:rsidRPr="00000000">
        <w:rPr>
          <w:rtl w:val="0"/>
        </w:rPr>
        <w:t xml:space="preserve">Internal Debrief and Call Report: The junior banker (often the analyst or associate) will prepare a meeting summary email or memo – sometimes called a “call report” – documenting who attended, what was discussed, key insights from the client, and any specific requests or next steps. This write-up is usually logged in the CRM and circulated internally to relevant stakeholders (like the sector head or product partners who may not have been in the meeting). It ensures institutional memory of what happened. In it, they’ll note things like “Client showed interest in exploring convertible debt financing; follow-up: schedule product specialist discussion.” This documentation is important for tracking progress and for others in the firm who interact with the client to stay aligned.</w:t>
        <w:br w:type="textWrapping"/>
      </w:r>
    </w:p>
    <w:p w:rsidR="00000000" w:rsidDel="00000000" w:rsidP="00000000" w:rsidRDefault="00000000" w:rsidRPr="00000000" w14:paraId="00000065">
      <w:pPr>
        <w:numPr>
          <w:ilvl w:val="0"/>
          <w:numId w:val="8"/>
        </w:numPr>
        <w:spacing w:after="0" w:afterAutospacing="0" w:before="0" w:beforeAutospacing="0" w:lineRule="auto"/>
        <w:ind w:left="720" w:hanging="360"/>
      </w:pPr>
      <w:r w:rsidDel="00000000" w:rsidR="00000000" w:rsidRPr="00000000">
        <w:rPr>
          <w:rtl w:val="0"/>
        </w:rPr>
        <w:t xml:space="preserve">Timely Client Follow-Up: If the client asks for additional info or analysis, the team aims to deliver it promptly. For example, if ServiceNow’s CFO said, “Can you guys send over those benchmark metrics you mentioned?”, the analysts will assemble that and the MD or VP will send it with a courteous note the next day (or even same evening). Responsiveness is a sign of attentiveness. Even if the client didn’t request anything explicit, a best practice is for the MD to send a thank-you email within 24 hours, reiterating a couple of key points (e.g., “Appreciate the time today – as discussed, we will keep you updated on emerging AI deals in the market”). This keeps the dialogue open.</w:t>
        <w:br w:type="textWrapping"/>
      </w:r>
    </w:p>
    <w:p w:rsidR="00000000" w:rsidDel="00000000" w:rsidP="00000000" w:rsidRDefault="00000000" w:rsidRPr="00000000" w14:paraId="00000066">
      <w:pPr>
        <w:numPr>
          <w:ilvl w:val="0"/>
          <w:numId w:val="8"/>
        </w:numPr>
        <w:spacing w:after="0" w:afterAutospacing="0" w:before="0" w:beforeAutospacing="0" w:lineRule="auto"/>
        <w:ind w:left="720" w:hanging="360"/>
      </w:pPr>
      <w:r w:rsidDel="00000000" w:rsidR="00000000" w:rsidRPr="00000000">
        <w:rPr>
          <w:rtl w:val="0"/>
        </w:rPr>
        <w:t xml:space="preserve">Logging and Updating Pipeline: The team updates the status of the opportunity in their deal tracking or CRM system. Many banks have a pipeline of potential deals (even if just ideas) associated with each client. Suppose one idea pitched was an acquisition of Company X and the client seemed interested – the bankers might create a pipeline entry like “Project Snowball – potential acquisition of X” and mark it as an “active dialogue”. They might set a reminder in the CRM or calendar to check back with the client on that specific idea in a few weeks. Modern CRM platforms facilitate this, some even automatically by scanning emails and meetings to update status . The goal is to ensure ongoing ideas are tracked and periodically revisited.</w:t>
        <w:br w:type="textWrapping"/>
      </w:r>
    </w:p>
    <w:p w:rsidR="00000000" w:rsidDel="00000000" w:rsidP="00000000" w:rsidRDefault="00000000" w:rsidRPr="00000000" w14:paraId="00000067">
      <w:pPr>
        <w:numPr>
          <w:ilvl w:val="0"/>
          <w:numId w:val="8"/>
        </w:numPr>
        <w:spacing w:after="0" w:afterAutospacing="0" w:before="0" w:beforeAutospacing="0" w:lineRule="auto"/>
        <w:ind w:left="720" w:hanging="360"/>
      </w:pPr>
      <w:r w:rsidDel="00000000" w:rsidR="00000000" w:rsidRPr="00000000">
        <w:rPr>
          <w:rtl w:val="0"/>
        </w:rPr>
        <w:t xml:space="preserve">Team Follow-Up and Continuity: Internally, the coverage MD will often brief the broader coverage team or group head on how the meeting went, especially if it was significant. This can happen in weekly team meetings or a simple email: “Met ServiceNow today – they are thinking about potentially raising debt next year, we are on it.” This ensures, for instance, the debt capital markets team is alert to a potential mandate brewing. Some banks have regular “coverage calls” where all recent client interactions are discussed to align efforts.</w:t>
        <w:br w:type="textWrapping"/>
      </w:r>
    </w:p>
    <w:p w:rsidR="00000000" w:rsidDel="00000000" w:rsidP="00000000" w:rsidRDefault="00000000" w:rsidRPr="00000000" w14:paraId="00000068">
      <w:pPr>
        <w:numPr>
          <w:ilvl w:val="0"/>
          <w:numId w:val="8"/>
        </w:numPr>
        <w:spacing w:after="240" w:before="0" w:beforeAutospacing="0" w:lineRule="auto"/>
        <w:ind w:left="720" w:hanging="360"/>
      </w:pPr>
      <w:r w:rsidDel="00000000" w:rsidR="00000000" w:rsidRPr="00000000">
        <w:rPr>
          <w:rtl w:val="0"/>
        </w:rPr>
        <w:t xml:space="preserve">Continued Engagement: The outcome of the meeting dictates the engagement strategy. If ServiceNow showed interest in a certain topic, the bankers might organize a follow-up meeting or call with a broader set of specialists. For example, if the CFO said “Tell me more about how buy-side vs build compares for AI capabilities”, the bank might get their tech M&amp;A head or an industry specialist on a call with ServiceNow’s team to go deeper. Essentially, the bankers nurture the lead. They also keep providing relevant updates: sending along news articles that might interest the client, or a brief email a month later like “Saw this report on AI in enterprise software – thought of your earlier questions, here are a couple highlights…”. These touchpoints (without always explicitly selling something) build the relationship and show that the bankers are continuously thinking of the client .</w:t>
        <w:br w:type="textWrapping"/>
      </w:r>
    </w:p>
    <w:p w:rsidR="00000000" w:rsidDel="00000000" w:rsidP="00000000" w:rsidRDefault="00000000" w:rsidRPr="00000000" w14:paraId="00000069">
      <w:pPr>
        <w:spacing w:after="240" w:before="240" w:lineRule="auto"/>
        <w:rPr/>
      </w:pPr>
      <w:r w:rsidDel="00000000" w:rsidR="00000000" w:rsidRPr="00000000">
        <w:rPr>
          <w:rtl w:val="0"/>
        </w:rPr>
        <w:t xml:space="preserve">Success Metrics Tracking: Banks often maintain a client scorecard. This can include quantitative metrics like revenue earned from the client year-to-date, share of the client’s wallet (percentage of their fees the bank captured), number of meetings or touchpoints in the quarter, etc. After a major meeting, if a follow-up leads to, say, a mandate or at least an RFP invitation, that will be noted as a success in that scorecard. Sometimes there are firm-wide systems where coverage officers have to log call reports and mark the potential revenue opportunity size. Senior management might review these in determining where to allocate resources or which relationships to prioritize.</w:t>
      </w:r>
    </w:p>
    <w:p w:rsidR="00000000" w:rsidDel="00000000" w:rsidP="00000000" w:rsidRDefault="00000000" w:rsidRPr="00000000" w14:paraId="0000006A">
      <w:pPr>
        <w:spacing w:after="240" w:before="240" w:lineRule="auto"/>
        <w:rPr/>
      </w:pPr>
      <w:r w:rsidDel="00000000" w:rsidR="00000000" w:rsidRPr="00000000">
        <w:rPr>
          <w:rtl w:val="0"/>
        </w:rPr>
        <w:t xml:space="preserve">One concrete metric is if the meeting was a “pitch” for a specific transaction (like pitching to be the sell-side advisor on a deal), the win or loss of that pitch is the clear result. In such cases, bankers debrief on why they won or lost – e.g., “We won because we had the best chemistry and our price outlook was realistic,” or “We lost the mandate; client went with a bank that had a prior lending relationship – maybe our pitchbook was too dense.” This feedback loop is crucial for refining how they prepare and pitch next time .</w:t>
      </w:r>
    </w:p>
    <w:p w:rsidR="00000000" w:rsidDel="00000000" w:rsidP="00000000" w:rsidRDefault="00000000" w:rsidRPr="00000000" w14:paraId="0000006B">
      <w:pPr>
        <w:spacing w:after="240" w:before="240" w:lineRule="auto"/>
        <w:rPr/>
      </w:pPr>
      <w:r w:rsidDel="00000000" w:rsidR="00000000" w:rsidRPr="00000000">
        <w:rPr>
          <w:rtl w:val="0"/>
        </w:rPr>
        <w:t xml:space="preserve">In less cut-and-dry scenarios (like ongoing advisory meetings), success is a cumulative effect. Bankers will know they’re succeeding if the relationship deepens and leads to opportunities. For example, if a year ago they were one of many banks providing ideas, but now they’re the one regularly meeting the client’s board or getting called for input, that’s a trajectory of success.</w:t>
      </w:r>
    </w:p>
    <w:p w:rsidR="00000000" w:rsidDel="00000000" w:rsidP="00000000" w:rsidRDefault="00000000" w:rsidRPr="00000000" w14:paraId="0000006C">
      <w:pPr>
        <w:spacing w:after="240" w:before="240" w:lineRule="auto"/>
        <w:rPr/>
      </w:pPr>
      <w:r w:rsidDel="00000000" w:rsidR="00000000" w:rsidRPr="00000000">
        <w:rPr>
          <w:rtl w:val="0"/>
        </w:rPr>
        <w:t xml:space="preserve">Finally, a subtle but telling metric is the client’s feedback to others. Often, a satisfied client will tell colleagues or even other companies about the helpful bankers. If ServiceNow’s CFO informally mentions to a peer at another company “We’ve been working with XYZ Bank, they have some smart folks”, that can lead to referrals – a sign the bankers not only met but exceeded expectations in their meetings.</w:t>
      </w:r>
    </w:p>
    <w:p w:rsidR="00000000" w:rsidDel="00000000" w:rsidP="00000000" w:rsidRDefault="00000000" w:rsidRPr="00000000" w14:paraId="0000006D">
      <w:pPr>
        <w:spacing w:after="240" w:before="240" w:lineRule="auto"/>
        <w:rPr/>
      </w:pPr>
      <w:r w:rsidDel="00000000" w:rsidR="00000000" w:rsidRPr="00000000">
        <w:rPr>
          <w:rtl w:val="0"/>
        </w:rPr>
        <w:t xml:space="preserve">All the above follow-up activities are aided by the firm’s systems. Modern IB CRMs help track meetings, emails, and follow-ups automatically , sending reminders so bankers don’t drop the ball on that promised piece of analysis or that next check-in call. Through rigorous follow-up, bankers build on the momentum of a good meeting, and through metrics, they keep themselves accountable to turning meetings into mandates. In the fast-paced world of dealmaking, a client meeting is only as good as the outcome it eventually produces, so these measures ensure that a great meeting with ServiceNow translates into tangible business results over time.</w:t>
      </w:r>
    </w:p>
    <w:p w:rsidR="00000000" w:rsidDel="00000000" w:rsidP="00000000" w:rsidRDefault="00000000" w:rsidRPr="00000000" w14:paraId="0000006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 w:lineRule="auto"/>
      <w:ind w:right="366"/>
      <w:jc w:val="right"/>
    </w:pPr>
    <w:rPr>
      <w:rFonts w:ascii="Times New Roman" w:cs="Times New Roman" w:eastAsia="Times New Roman" w:hAnsi="Times New Roman"/>
      <w:sz w:val="23"/>
      <w:szCs w:val="23"/>
    </w:rPr>
  </w:style>
  <w:style w:type="paragraph" w:styleId="Heading2">
    <w:name w:val="heading 2"/>
    <w:basedOn w:val="Normal"/>
    <w:next w:val="Normal"/>
    <w:pPr>
      <w:ind w:left="251"/>
    </w:pPr>
    <w:rPr>
      <w:rFonts w:ascii="Times New Roman" w:cs="Times New Roman" w:eastAsia="Times New Roman" w:hAnsi="Times New Roman"/>
      <w:b w:val="1"/>
      <w:sz w:val="22"/>
      <w:szCs w:val="22"/>
    </w:rPr>
  </w:style>
  <w:style w:type="paragraph" w:styleId="Heading3">
    <w:name w:val="heading 3"/>
    <w:basedOn w:val="Normal"/>
    <w:next w:val="Normal"/>
    <w:pPr>
      <w:ind w:left="258"/>
    </w:pPr>
    <w:rPr>
      <w:rFonts w:ascii="Times New Roman" w:cs="Times New Roman" w:eastAsia="Times New Roman" w:hAnsi="Times New Roman"/>
      <w:b w:val="1"/>
      <w:sz w:val="22"/>
      <w:szCs w:val="22"/>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66" w:lineRule="auto"/>
      <w:ind w:left="367"/>
    </w:pPr>
    <w:rPr>
      <w:rFonts w:ascii="Times New Roman" w:cs="Times New Roman" w:eastAsia="Times New Roman" w:hAnsi="Times New Roman"/>
      <w:sz w:val="27"/>
      <w:szCs w:val="27"/>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