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Subject: Research Summary: Improving Client Meeting Prep for Investment Banking Teams</w:t>
      </w:r>
    </w:p>
    <w:p w:rsidR="00000000" w:rsidDel="00000000" w:rsidP="00000000" w:rsidRDefault="00000000" w:rsidRPr="00000000" w14:paraId="00000002">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Hi team,</w:t>
      </w:r>
    </w:p>
    <w:p w:rsidR="00000000" w:rsidDel="00000000" w:rsidP="00000000" w:rsidRDefault="00000000" w:rsidRPr="00000000" w14:paraId="00000003">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As part of our ongoing effort to rethink and improve how we support senior bankers in client meetings, I’ve conducted in-depth research on the end-to-end workflow of investment banking meeting preparation, using ServiceNow as a representative client.</w:t>
      </w:r>
    </w:p>
    <w:p w:rsidR="00000000" w:rsidDel="00000000" w:rsidP="00000000" w:rsidRDefault="00000000" w:rsidRPr="00000000" w14:paraId="00000004">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I’m sharing a comprehensive briefing that captures how top-tier banks (e.g., Goldman Sachs, Morgan Stanley) structure their client prep—from data gathering and internal coordination to GenAI-native tools and post-meeting follow-up. The research is designed to ground our thinking in real-world workflows while identifying opportunities to modernize and differentiate our experience.</w:t>
      </w:r>
    </w:p>
    <w:p w:rsidR="00000000" w:rsidDel="00000000" w:rsidP="00000000" w:rsidRDefault="00000000" w:rsidRPr="00000000" w14:paraId="00000005">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What this research includes:</w:t>
      </w:r>
    </w:p>
    <w:p w:rsidR="00000000" w:rsidDel="00000000" w:rsidP="00000000" w:rsidRDefault="00000000" w:rsidRPr="00000000" w14:paraId="00000006">
      <w:pPr>
        <w:pStyle w:val="Heading1"/>
        <w:numPr>
          <w:ilvl w:val="0"/>
          <w:numId w:val="9"/>
        </w:numPr>
        <w:spacing w:after="0" w:afterAutospacing="0" w:before="24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A full end-to-end workflow of how investment bankers prepare for a meeting</w:t>
        <w:br w:type="textWrapping"/>
      </w:r>
    </w:p>
    <w:p w:rsidR="00000000" w:rsidDel="00000000" w:rsidP="00000000" w:rsidRDefault="00000000" w:rsidRPr="00000000" w14:paraId="00000007">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The different types of client meetings (e.g., M&amp;A pitch, strategic review, IPO readiness) and what success looks like in each</w:t>
        <w:br w:type="textWrapping"/>
      </w:r>
    </w:p>
    <w:p w:rsidR="00000000" w:rsidDel="00000000" w:rsidP="00000000" w:rsidRDefault="00000000" w:rsidRPr="00000000" w14:paraId="00000008">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The roles and responsibilities of Analysts, Associates, VPs, and MDs</w:t>
        <w:br w:type="textWrapping"/>
      </w:r>
    </w:p>
    <w:p w:rsidR="00000000" w:rsidDel="00000000" w:rsidP="00000000" w:rsidRDefault="00000000" w:rsidRPr="00000000" w14:paraId="00000009">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A summary of tools and data sources commonly used in prep (e.g., CapIQ, FactSet, CRM)</w:t>
        <w:br w:type="textWrapping"/>
      </w:r>
    </w:p>
    <w:p w:rsidR="00000000" w:rsidDel="00000000" w:rsidP="00000000" w:rsidRDefault="00000000" w:rsidRPr="00000000" w14:paraId="0000000A">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Best practices from bulge bracket banks that lead to more impactful client conversations</w:t>
        <w:br w:type="textWrapping"/>
      </w:r>
    </w:p>
    <w:p w:rsidR="00000000" w:rsidDel="00000000" w:rsidP="00000000" w:rsidRDefault="00000000" w:rsidRPr="00000000" w14:paraId="0000000B">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Common pain points in the current prep process, and how GenAI or workflow tools can solve them</w:t>
        <w:br w:type="textWrapping"/>
      </w:r>
    </w:p>
    <w:p w:rsidR="00000000" w:rsidDel="00000000" w:rsidP="00000000" w:rsidRDefault="00000000" w:rsidRPr="00000000" w14:paraId="0000000C">
      <w:pPr>
        <w:pStyle w:val="Heading1"/>
        <w:numPr>
          <w:ilvl w:val="0"/>
          <w:numId w:val="9"/>
        </w:numPr>
        <w:spacing w:after="24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A breakdown of success metrics and post-meeting actions used to measure meeting effectiveness</w:t>
        <w:br w:type="textWrapping"/>
      </w:r>
    </w:p>
    <w:p w:rsidR="00000000" w:rsidDel="00000000" w:rsidP="00000000" w:rsidRDefault="00000000" w:rsidRPr="00000000" w14:paraId="0000000D">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This research can serve as a foundational reference as we reimagine the banker experience. Happy to walk through this in more detail or discuss how it can inform the next phase of our design.</w:t>
      </w:r>
    </w:p>
    <w:p w:rsidR="00000000" w:rsidDel="00000000" w:rsidP="00000000" w:rsidRDefault="00000000" w:rsidRPr="00000000" w14:paraId="0000000E">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Best,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9753600" cy="9753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753600" cy="9753600"/>
                    </a:xfrm>
                    <a:prstGeom prst="rect"/>
                    <a:ln/>
                  </pic:spPr>
                </pic:pic>
              </a:graphicData>
            </a:graphic>
          </wp:inline>
        </w:drawing>
      </w:r>
      <w:r w:rsidDel="00000000" w:rsidR="00000000" w:rsidRPr="00000000">
        <w:rPr/>
        <w:drawing>
          <wp:inline distB="114300" distT="114300" distL="114300" distR="114300">
            <wp:extent cx="9753600" cy="9753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spacing w:after="240" w:before="240" w:lineRule="auto"/>
        <w:ind w:right="0"/>
        <w:jc w:val="left"/>
        <w:rPr>
          <w:b w:val="1"/>
          <w:sz w:val="46"/>
          <w:szCs w:val="46"/>
        </w:rPr>
      </w:pPr>
      <w:bookmarkStart w:colFirst="0" w:colLast="0" w:name="_sn4tlhbj40uw" w:id="0"/>
      <w:bookmarkEnd w:id="0"/>
      <w:r w:rsidDel="00000000" w:rsidR="00000000" w:rsidRPr="00000000">
        <w:rPr>
          <w:rtl w:val="0"/>
        </w:rPr>
      </w:r>
    </w:p>
    <w:p w:rsidR="00000000" w:rsidDel="00000000" w:rsidP="00000000" w:rsidRDefault="00000000" w:rsidRPr="00000000" w14:paraId="00000012">
      <w:pPr>
        <w:pStyle w:val="Heading1"/>
        <w:spacing w:after="120" w:before="480" w:lineRule="auto"/>
        <w:ind w:right="0"/>
        <w:jc w:val="left"/>
        <w:rPr>
          <w:b w:val="1"/>
          <w:sz w:val="46"/>
          <w:szCs w:val="46"/>
        </w:rPr>
      </w:pPr>
      <w:bookmarkStart w:colFirst="0" w:colLast="0" w:name="_sn4tlhbj40uw"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1"/>
        <w:spacing w:after="120" w:before="480" w:lineRule="auto"/>
        <w:ind w:right="0"/>
        <w:jc w:val="left"/>
        <w:rPr>
          <w:b w:val="1"/>
          <w:sz w:val="46"/>
          <w:szCs w:val="46"/>
        </w:rPr>
      </w:pPr>
      <w:bookmarkStart w:colFirst="0" w:colLast="0" w:name="_hw3jhg18q2sa" w:id="1"/>
      <w:bookmarkEnd w:id="1"/>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Below is a comprehensive overview of how bankers prepare for a client meeting with ServiceNow, covering each stage of the process, types of meetings, tools and data, team roles, best practices, pain points, and how success is measured.</w:t>
      </w:r>
    </w:p>
    <w:p w:rsidR="00000000" w:rsidDel="00000000" w:rsidP="00000000" w:rsidRDefault="00000000" w:rsidRPr="00000000" w14:paraId="00000015">
      <w:pPr>
        <w:pStyle w:val="Heading2"/>
        <w:spacing w:after="80" w:before="360" w:lineRule="auto"/>
        <w:ind w:left="0"/>
        <w:rPr>
          <w:sz w:val="34"/>
          <w:szCs w:val="34"/>
        </w:rPr>
      </w:pPr>
      <w:bookmarkStart w:colFirst="0" w:colLast="0" w:name="_qqfjrddvjy84" w:id="2"/>
      <w:bookmarkEnd w:id="2"/>
      <w:r w:rsidDel="00000000" w:rsidR="00000000" w:rsidRPr="00000000">
        <w:rPr>
          <w:sz w:val="34"/>
          <w:szCs w:val="34"/>
          <w:rtl w:val="0"/>
        </w:rPr>
        <w:t xml:space="preserve">1. End-to-End Preparation Workflow</w:t>
      </w:r>
    </w:p>
    <w:p w:rsidR="00000000" w:rsidDel="00000000" w:rsidP="00000000" w:rsidRDefault="00000000" w:rsidRPr="00000000" w14:paraId="00000016">
      <w:pPr>
        <w:spacing w:after="240" w:before="240" w:lineRule="auto"/>
        <w:rPr/>
      </w:pPr>
      <w:r w:rsidDel="00000000" w:rsidR="00000000" w:rsidRPr="00000000">
        <w:rPr>
          <w:rtl w:val="0"/>
        </w:rPr>
        <w:t xml:space="preserve">Investment bankers approach client meeting prep as a multi-step project, starting from initial scheduling through final follow-ups. Each step is carefully managed to maximize the meeting’s impact:</w:t>
      </w:r>
    </w:p>
    <w:p w:rsidR="00000000" w:rsidDel="00000000" w:rsidP="00000000" w:rsidRDefault="00000000" w:rsidRPr="00000000" w14:paraId="00000017">
      <w:pPr>
        <w:numPr>
          <w:ilvl w:val="0"/>
          <w:numId w:val="1"/>
        </w:numPr>
        <w:spacing w:after="0" w:afterAutospacing="0" w:before="240" w:lineRule="auto"/>
        <w:ind w:left="720" w:hanging="360"/>
      </w:pPr>
      <w:r w:rsidDel="00000000" w:rsidR="00000000" w:rsidRPr="00000000">
        <w:rPr>
          <w:rtl w:val="0"/>
        </w:rPr>
        <w:t xml:space="preserve">Meeting Scheduling &amp; Agenda Setting: The process begins with the Managing Director (MD) or coverage banker (often the primary relationship manager) reaching out to ServiceNow’s executives (e.g. CFO or CEO) to arrange the meeting. This involves coordinating calendars (often via executive assistants) and agreeing on the meeting’s purpose and attendees. An agenda or at least a clear meeting objective is set in advance – for example, a discussion on potential AI-related acquisitions or a review of capital raising options. The MD leverages the established relationship to ensure the meeting is positioned as value-add for the client. At this stage, the team internally discusses what ServiceNow likely wants to hear and what the bank aims to achieve (e.g. showcasing a new idea or progressing a deal opportunity).</w:t>
        <w:br w:type="textWrapping"/>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Internal Data Gathering: Once the meeting is confirmed, the team gathers internal data and past records related to ServiceNow. Analysts pull up the bank’s CRM records of prior interactions – e.g. notes from previous meetings, any mandates or deals the bank has done for ServiceNow, and the status of past pitches or proposals. They review internal research reports from the bank’s equity research department on ServiceNow and its competitors, as well as any relevant industry reports the bank’s knowledge portal might have. Internal financial models or valuations prepared in the past (for example, a model from a prior pitch on a potential ServiceNow acquisition) are retrieved and updated. The team also checks if colleagues in other product groups (M&amp;A, Equity Capital Markets, Debt Capital Markets, etc.) have insights – for instance, if the DCM team has evaluated ServiceNow’s debt capacity before. Internal coordination is key even at this stage: bankers work together across departments to share information so that the upcoming meeting’s content aligns with both the client’s known preferences and the bank’s strategies . Often, critical knowledge about the client is “locked away” in individuals’ heads or scattered in emails and spreadsheets, so the team consolidates these insights into a common view . This ensures the bankers are fully aware of ServiceNow’s history with the firm and any sensitive issues or opportunities previously identified.</w:t>
        <w:br w:type="textWrapping"/>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External Data Gathering: In parallel, the team gathers external data to update their understanding of ServiceNow’s current situation and the broader market. Analysts will download the latest financial information on ServiceNow – recent earnings, stock performance, valuation multiples – using tools like S&amp;P Capital IQ and FactSet . These platforms provide detailed company financials, consensus forecasts, and peer benchmarks. The team checks Bloomberg for real-time market data and news on ServiceNow . For example, if ServiceNow’s share price moved significantly or if a competitor made a major move, the bankers need to know and be ready to discuss it. They scour news feeds (Factiva, Bloomberg News) and analyst reports for any developments in ServiceNow’s industry (enterprise software) – particularly around AI trends, since ServiceNow has been actively investing in AI capabilities. (Indeed, in 2025 ServiceNow announced plans to acquire an AI startup for $2.85 billion , so bankers would note such facts.) The team also researches comparable companies and recent deals: e.g. have other software companies made acquisitions of AI firms recently? what valuations and rationales were involved? If the meeting’s focus might touch on a capital raise, bankers pull data on recent tech company financings (debt issuances, convertible bonds, etc.) to gauge market conditions. External data sources like Dealogic or Refinitiv are used for M&amp;A and capital markets deal league tables and precedents, while databases like PitchBook or Mergermarket might be searched for information on private companies or rumored targets. This comprehensive data gathering ensures the team is armed with up-to-date facts – both public information and third-party data – to support any advice or ideas they present.</w:t>
        <w:br w:type="textWrapping"/>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rtl w:val="0"/>
        </w:rPr>
        <w:t xml:space="preserve">Internal Coordination &amp; Brainstorming: With raw information in hand, the deal team (analyst, associate, vice president, and MD) holds internal sessions to synthesize insights and plan the meeting approach. They discuss ServiceNow’s likely interests and pain points: for example, is ServiceNow looking for growth via acquisitions (and if so, in AI or other areas)? Are they concerned about their stock valuation or investor expectations? The team may hold a brainstorming meeting including product specialists. For instance, if the upcoming client meeting might delve into financing, they invite a debt capital markets banker to weigh in on feasible loan or bond options; if it’s about M&amp;A, the sector M&amp;A specialist or an experienced VP may join to refine deal ideas. During these internal prep meetings, roles for the client meeting are allocated – typically, the MD will lead the conversation, but senior team members decide which points each person might handle if needed (though juniors often remain silent unless called upon). The team aligns on key messages and recommendations. Scenario planning is a big part of this step: they anticipate the client’s questions and reactions. For example, “If ServiceNow’s CFO asks about the valuation of a specific AI startup we propose as an acquisition target, do we have a view on that ready?” or “If the CEO expresses concern about diluting shareholders with a capital raise, what alternatives can we suggest?” The team might prepare Q&amp;A sheets or backup slides to address potential queries. Internally, they may even rehearse the meeting – senior bankers might role-play as the client to probe the team’s ideas. All of this coordination is to ensure a unified, well-prepared front when facing the client. As one industry resource notes, internal coordination means working across the team and firm to agree on deliverables and timelines in advance – no surprises internally or for the client.</w:t>
        <w:br w:type="textWrapping"/>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rtl w:val="0"/>
        </w:rPr>
        <w:t xml:space="preserve">Pitchbook and Materials Preparation: Using the insights gathered, the junior bankers (analyst and associate) compile the pitchbook or presentation materials. This is often a PowerPoint deck tailored to ServiceNow’s situation. The process is highly collaborative: typically the MD (and possibly a Director or VP) first outlines the presentation’s story and content flow . For example, they might decide: “Let’s start with a summary of ServiceNow’s strong position in the market, then highlight new opportunities in AI, segue into specific acquisition ideas with valuations, and conclude with how our bank can help execute these plans.” The VP or Associate creates a detailed outline or “wireframe,” and then the analyst crunches numbers and produces the exhibits . This can include valuation analyses (trading comps, precedent M&amp;A transactions, DCF scenarios) and market stats. All data must be double-checked for accuracy and consistency (e.g. aligning figures with the latest stock price and financials). The pitchbook for ServiceNow would be heavily customized: it might contain an overview of relevant AI acquisition targets (with profiles of each target company), analysis of how such an acquisition could enhance ServiceNow’s product offerings, a valuation summary (perhaps a “football field” chart showing ServiceNow’s valuation range under different methods), and financing considerations for a purchase . If the meeting is about strategic planning, the deck might include broader industry trends (like enterprise software growth areas, competitive moves) and “thought pieces” on strategy. Throughout this phase, there are typically multiple iterations of the deck – senior bankers review drafts and send them back with edits. It’s not uncommon for numerous revisions to occur, sometimes resulting in dozens of version files (e.g. “Project_SNOW_v44.pptx” as a final file name) . Top banks have a high standard for presentation quality: every chart, page and footnote must be perfect, and formatting is refined obsessively to look seamless. (At bulge brackets, there may be a dedicated graphics team to polish slides, whereas at a mid-market firm the analysts themselves might spend late nights perfecting the visuals.) The end product is a pitchbook that not only presents analysis but also tells a coherent story aligning with ServiceNow’s goals. Supporting materials are also prepared: this could include an Excel model printout (e.g. a model of a proposed acquisition’s impact on ServiceNow’s earnings), an appendix of data (detailed comps, etc.), or even a brief “tear sheet” summary the client can take away. Importantly, the team will also prepare any leave-behind documents per compliance rules (removing any bank-internal confidential information if needed).</w:t>
        <w:br w:type="textWrapping"/>
        <w:br w:type="textWrapping"/>
        <w:t xml:space="preserve"> Example of a valuation summary slide that might appear in a pitchbook, illustrating ServiceNow’s value under different scenarios. Bankers prepare detailed analyses like this to inform discussions .</w:t>
        <w:br w:type="textWrapping"/>
      </w:r>
    </w:p>
    <w:p w:rsidR="00000000" w:rsidDel="00000000" w:rsidP="00000000" w:rsidRDefault="00000000" w:rsidRPr="00000000" w14:paraId="0000001C">
      <w:pPr>
        <w:numPr>
          <w:ilvl w:val="0"/>
          <w:numId w:val="1"/>
        </w:numPr>
        <w:spacing w:after="240" w:before="0" w:beforeAutospacing="0" w:lineRule="auto"/>
        <w:ind w:left="720" w:hanging="360"/>
      </w:pPr>
      <w:r w:rsidDel="00000000" w:rsidR="00000000" w:rsidRPr="00000000">
        <w:rPr>
          <w:rtl w:val="0"/>
        </w:rPr>
        <w:t xml:space="preserve">Pre-Meeting Final Checks &amp; Scenario Planning: In the day or hours before the meeting, the team does a final scrub of everything. They update any data in the deck for last-minute changes (for instance, if ServiceNow’s stock moved sharply that morning or if a competitor announced an earnings surprise the night before). They print hard copies of the presentation (on high-quality paper or binders, especially at bulge brackets where presentation aesthetics are part of the polish ) and ensure they have access to electronic copies (sometimes bankers carry an iPad or have the deck on a USB drive as backup). The bankers convene a short prep session to go over the meeting game plan one more time: who will introduce what topic, and how to steer the conversation toward the bank’s key suggestions. “Client scenario planning” is essentially finalized now – the team re-visits their anticipated Q&amp;A, and each member is briefed on how to handle tough questions. For example, the MD might say: “If the CFO asks about how we see macro conditions affecting tech valuations, I’ll address that using the market data slide. If they ask something highly detailed about a particular target’s financials, &lt;Associate’s name&gt;, be ready to chime in with the numbers from our appendix if I cue you.” The analyst and associate bring along backup data (either extra slides in an appendix or a separate report) for reference, so they can quickly retrieve details if the client drills down on something unexpected. Travel logistics are confirmed (if the meeting is at ServiceNow’s office in Santa Clara, the team travels there, or if at the bank’s office, the conference room is booked and set up). Everyone arrives early, professional and armed with knowledge, so that once in the meeting, they can focus on listening and engaging the client rather than fumbling for information. By the time they walk into the room, the bankers have effectively pre-lived the meeting in their minds and are ready for various outcomes.</w:t>
        <w:br w:type="textWrapping"/>
      </w:r>
    </w:p>
    <w:p w:rsidR="00000000" w:rsidDel="00000000" w:rsidP="00000000" w:rsidRDefault="00000000" w:rsidRPr="00000000" w14:paraId="0000001D">
      <w:pPr>
        <w:pStyle w:val="Heading2"/>
        <w:spacing w:after="80" w:before="360" w:lineRule="auto"/>
        <w:ind w:left="0"/>
        <w:rPr>
          <w:sz w:val="34"/>
          <w:szCs w:val="34"/>
        </w:rPr>
      </w:pPr>
      <w:bookmarkStart w:colFirst="0" w:colLast="0" w:name="_f758xcxxecxt" w:id="3"/>
      <w:bookmarkEnd w:id="3"/>
      <w:r w:rsidDel="00000000" w:rsidR="00000000" w:rsidRPr="00000000">
        <w:rPr>
          <w:sz w:val="34"/>
          <w:szCs w:val="34"/>
          <w:rtl w:val="0"/>
        </w:rPr>
        <w:t xml:space="preserve">2. Common Meeting Types with ServiceNow and Their Characteristics</w:t>
      </w:r>
    </w:p>
    <w:p w:rsidR="00000000" w:rsidDel="00000000" w:rsidP="00000000" w:rsidRDefault="00000000" w:rsidRPr="00000000" w14:paraId="0000001E">
      <w:pPr>
        <w:spacing w:after="240" w:before="240" w:lineRule="auto"/>
        <w:rPr/>
      </w:pPr>
      <w:r w:rsidDel="00000000" w:rsidR="00000000" w:rsidRPr="00000000">
        <w:rPr>
          <w:rtl w:val="0"/>
        </w:rPr>
        <w:t xml:space="preserve">Bankers typically engage with a corporate client like ServiceNow in a few main types of meetings, each with different objectives and content. Below are key categories of meetings and what each entails, including typical discussion points, materials, and measures of success:</w:t>
      </w:r>
    </w:p>
    <w:p w:rsidR="00000000" w:rsidDel="00000000" w:rsidP="00000000" w:rsidRDefault="00000000" w:rsidRPr="00000000" w14:paraId="0000001F">
      <w:pPr>
        <w:pStyle w:val="Heading3"/>
        <w:spacing w:after="80" w:before="280" w:lineRule="auto"/>
        <w:ind w:left="0"/>
        <w:rPr>
          <w:sz w:val="26"/>
          <w:szCs w:val="26"/>
        </w:rPr>
      </w:pPr>
      <w:bookmarkStart w:colFirst="0" w:colLast="0" w:name="_h95jkwbyzsq7" w:id="4"/>
      <w:bookmarkEnd w:id="4"/>
      <w:r w:rsidDel="00000000" w:rsidR="00000000" w:rsidRPr="00000000">
        <w:rPr>
          <w:sz w:val="26"/>
          <w:szCs w:val="26"/>
          <w:rtl w:val="0"/>
        </w:rPr>
        <w:t xml:space="preserve">M&amp;A Idea Generation Meetings</w:t>
      </w:r>
    </w:p>
    <w:p w:rsidR="00000000" w:rsidDel="00000000" w:rsidP="00000000" w:rsidRDefault="00000000" w:rsidRPr="00000000" w14:paraId="00000020">
      <w:pPr>
        <w:spacing w:after="240" w:before="240" w:lineRule="auto"/>
        <w:rPr/>
      </w:pPr>
      <w:r w:rsidDel="00000000" w:rsidR="00000000" w:rsidRPr="00000000">
        <w:rPr>
          <w:rtl w:val="0"/>
        </w:rPr>
        <w:t xml:space="preserve">Purpose &amp; Discussion: These are proactive strategy sessions where bankers present merger and acquisition ideas to ServiceNow’s leadership. The focus is on idea generation – identifying potential companies or assets ServiceNow could acquire (or occasionally, businesses it might divest). Bankers discuss the client’s growth strategy and how M&amp;A could fit: e.g. “Where can ServiceNow expand next? Perhaps acquiring an AI workflow automation startup to bolster your platform.” They will talk through industry M&amp;A trends (for instance, noting that tech M&amp;A activity rebounded in 2024-2025 , and that peers like Salesforce, Oracle, etc., have been buying companies in AI or other strategic areas). The core discussion points include the rationale for each suggested target, estimated synergies or product benefits, and high-level financial implications (cost of acquisition, impact on earnings, etc.). Bankers also listen for the client’s M&amp;A appetite – ServiceNow’s CFO might emphasize they are disciplined about deals , so ideas need to be realistic.</w:t>
      </w:r>
    </w:p>
    <w:p w:rsidR="00000000" w:rsidDel="00000000" w:rsidP="00000000" w:rsidRDefault="00000000" w:rsidRPr="00000000" w14:paraId="00000021">
      <w:pPr>
        <w:spacing w:after="240" w:before="240" w:lineRule="auto"/>
        <w:rPr/>
      </w:pPr>
      <w:r w:rsidDel="00000000" w:rsidR="00000000" w:rsidRPr="00000000">
        <w:rPr>
          <w:rtl w:val="0"/>
        </w:rPr>
        <w:t xml:space="preserve">Materials Brought: A tailored pitchbook is usually prepared, containing an overview of each M&amp;A idea. This typically has profiles of target companies (business overview, product fit, revenues, etc.), valuation estimates for each target, and perhaps a one-page financial impact analysis (what the acquisition might do to ServiceNow’s earnings or growth). For the top one or two ideas, bankers might include a simple pro forma model showing the deal’s effect (e.g. accretion/dilution to EPS or how it could be funded with cash vs. debt). Comparative data on precedent transactions is often included – e.g. “similar AI-focused acquisitions in the last year traded at 10x revenue; here’s how our target compares.” They’ll also include market backdrop slides: how ServiceNow’s stock valuation compares to targets or how much cash and debt capacity ServiceNow has for deals. All of this is often prefaced by an “industry landscape” summary to set context.</w:t>
      </w:r>
    </w:p>
    <w:p w:rsidR="00000000" w:rsidDel="00000000" w:rsidP="00000000" w:rsidRDefault="00000000" w:rsidRPr="00000000" w14:paraId="00000022">
      <w:pPr>
        <w:spacing w:after="240" w:before="240" w:lineRule="auto"/>
        <w:rPr/>
      </w:pPr>
      <w:r w:rsidDel="00000000" w:rsidR="00000000" w:rsidRPr="00000000">
        <w:rPr>
          <w:rtl w:val="0"/>
        </w:rPr>
        <w:t xml:space="preserve">Successful Outcome: Success in an idea generation meeting is measured by engagement. A great outcome is when ServiceNow’s executives show interest in one or more of the proposed ideas – for example, the CFO might say, “Tell me more about how you envision integrating Target X” or “These two AI targets are intriguing; perhaps we should do deeper dives on them.” If the client asks the bank to follow up with more analysis on a specific target or even to initiate informal contact with a target, that’s a strong positive signal. In the long run, the ultimate success is if one of these ideas eventually leads to a mandate – i.e. ServiceNow formally hires the bank to execute an acquisition. But even short of that, a meeting is successful if it advances the dialogue: the client perceives the bankers as creative and knowledgeable advisors. An unsuccessful meeting, conversely, would be one where the client is lukewarm and there are no clear next steps. Bankers often log idea pitches in their pipeline; a “win” is if those ideas move forward (even if slowly). As one M&amp;A guide notes, the initial discussion with a client is about identifying their goals and discussing potential targets or buyers – essentially what these idea meetings aim to do .</w:t>
      </w:r>
    </w:p>
    <w:p w:rsidR="00000000" w:rsidDel="00000000" w:rsidP="00000000" w:rsidRDefault="00000000" w:rsidRPr="00000000" w14:paraId="00000023">
      <w:pPr>
        <w:pStyle w:val="Heading3"/>
        <w:spacing w:after="80" w:before="280" w:lineRule="auto"/>
        <w:ind w:left="0"/>
        <w:rPr>
          <w:sz w:val="26"/>
          <w:szCs w:val="26"/>
        </w:rPr>
      </w:pPr>
      <w:bookmarkStart w:colFirst="0" w:colLast="0" w:name="_w0geitqv1cgy" w:id="5"/>
      <w:bookmarkEnd w:id="5"/>
      <w:r w:rsidDel="00000000" w:rsidR="00000000" w:rsidRPr="00000000">
        <w:rPr>
          <w:sz w:val="26"/>
          <w:szCs w:val="26"/>
          <w:rtl w:val="0"/>
        </w:rPr>
        <w:t xml:space="preserve">Strategic Review / Planning Meetings</w:t>
      </w:r>
    </w:p>
    <w:p w:rsidR="00000000" w:rsidDel="00000000" w:rsidP="00000000" w:rsidRDefault="00000000" w:rsidRPr="00000000" w14:paraId="00000024">
      <w:pPr>
        <w:spacing w:after="240" w:before="240" w:lineRule="auto"/>
        <w:rPr/>
      </w:pPr>
      <w:r w:rsidDel="00000000" w:rsidR="00000000" w:rsidRPr="00000000">
        <w:rPr>
          <w:rtl w:val="0"/>
        </w:rPr>
        <w:t xml:space="preserve">Purpose &amp; Discussion: These meetings are broader, high-level discussions where bankers act as strategic advisors. Often scheduled annually or quarterly (or when major market changes occur), a strategic review covers the company’s overall objectives, challenges, and opportunities. With ServiceNow, bankers might review the company’s positioning in the market (enterprise cloud software) and discuss big-picture topics: “What’s the next wave of growth? How do rising interest rates or shifting IT budgets affect your strategy? What are competitors doing (like Salesforce entering certain spaces) and how should you respond?” Core discussion points include industry trends (e.g. adoption of AI in enterprise software, cloud spending outlook), competitive landscape, and potential strategic moves (this can span M&amp;A, partnerships, new market entry, or even organizational/financial strategy like splitting off a division). Sometimes these meetings are held ahead of a board meeting or planning cycle, so bankers try to provide an outside perspective that management can weigh. It’s more of a two-way dialogue: bankers share insights and also listen as the client voices their strategic priorities or concerns.</w:t>
      </w:r>
    </w:p>
    <w:p w:rsidR="00000000" w:rsidDel="00000000" w:rsidP="00000000" w:rsidRDefault="00000000" w:rsidRPr="00000000" w14:paraId="00000025">
      <w:pPr>
        <w:spacing w:after="240" w:before="240" w:lineRule="auto"/>
        <w:rPr/>
      </w:pPr>
      <w:r w:rsidDel="00000000" w:rsidR="00000000" w:rsidRPr="00000000">
        <w:rPr>
          <w:rtl w:val="0"/>
        </w:rPr>
        <w:t xml:space="preserve">Materials Brought: The materials here may be less deal-specific and more about context and options. Bankers often bring an “industry update” deck. For ServiceNow, this might include: current market metrics (growth rates in relevant software segments, valuation multiples of peers), a competitor moves summary (who’s acquiring whom, who is investing in what technology), and possibly case studies of relevant strategic moves (e.g. how another tech company successfully pivoted to AI, or how a peer optimized its capital structure to fund growth). There might also be a SWOT analysis or positioning matrix showing ServiceNow’s strengths vs. competitors. If ServiceNow has expressed specific interests previously (say, exploring expansion in a certain geographic region or product area), the deck will include analysis of that (market sizing, potential entry strategies). While this is not a formal “pitch” for one transaction, the bankers will usually embed ideas in the conversation – for example, highlighting that “several smaller competitors are struggling; perhaps there’s an opportunity to acquire talent or tech cheaply” or “your balance sheet could support more leverage if you wanted to do a large buyback or acquisition.” The presentation often ends with a few “strategic options” slides enumerating possible paths (organic growth, M&amp;A, partnerships, etc.), effectively planting seeds for future mandates .</w:t>
      </w:r>
    </w:p>
    <w:p w:rsidR="00000000" w:rsidDel="00000000" w:rsidP="00000000" w:rsidRDefault="00000000" w:rsidRPr="00000000" w14:paraId="00000026">
      <w:pPr>
        <w:spacing w:after="240" w:before="240" w:lineRule="auto"/>
        <w:rPr/>
      </w:pPr>
      <w:r w:rsidDel="00000000" w:rsidR="00000000" w:rsidRPr="00000000">
        <w:rPr>
          <w:rtl w:val="0"/>
        </w:rPr>
        <w:t xml:space="preserve">Successful Outcome: In a strategic review, success is a bit intangible but very important for relationship-building. A successful meeting is one where the client gains valuable perspective – if ServiceNow’s executives say something like, “That’s a useful way to look at the market; we hadn’t seen that analysis” or “Your suggestion about our AI product strategy is interesting,” it means the bankers have delivered insight beyond what the company already knows. Often the best outcome is when the client asks the bank to continue the conversation, maybe to present to the broader management team or board. For example, ServiceNow might invite the bankers to a follow-up session with the CEO or to a board strategy offsite, indicating trust in their advice. Long-term, success is measured by being kept “in the loop” on the client’s strategic considerations. If, down the line, ServiceNow decides to explore a major strategic move (sell a division, make a big acquisition, etc.), they are likely to call in those bankers as advisors. In the short term, even without a transaction, success can be the client disclosing more of their internal thinking (which means they see the bankers as confidants) or simply scheduling the next strategic check-in. Essentially, the meeting is a success if it reinforces the bank’s position as a trusted advisor with relevant ideas, rather than just a vendor of financial services.</w:t>
      </w:r>
    </w:p>
    <w:p w:rsidR="00000000" w:rsidDel="00000000" w:rsidP="00000000" w:rsidRDefault="00000000" w:rsidRPr="00000000" w14:paraId="00000027">
      <w:pPr>
        <w:pStyle w:val="Heading3"/>
        <w:spacing w:after="80" w:before="280" w:lineRule="auto"/>
        <w:ind w:left="0"/>
        <w:rPr>
          <w:sz w:val="26"/>
          <w:szCs w:val="26"/>
        </w:rPr>
      </w:pPr>
      <w:bookmarkStart w:colFirst="0" w:colLast="0" w:name="_a8hz8bf6lg3" w:id="6"/>
      <w:bookmarkEnd w:id="6"/>
      <w:r w:rsidDel="00000000" w:rsidR="00000000" w:rsidRPr="00000000">
        <w:rPr>
          <w:sz w:val="26"/>
          <w:szCs w:val="26"/>
          <w:rtl w:val="0"/>
        </w:rPr>
        <w:t xml:space="preserve">IPO Readiness / Equity Financing Check-ins</w:t>
      </w:r>
    </w:p>
    <w:p w:rsidR="00000000" w:rsidDel="00000000" w:rsidP="00000000" w:rsidRDefault="00000000" w:rsidRPr="00000000" w14:paraId="00000028">
      <w:pPr>
        <w:spacing w:after="240" w:before="240" w:lineRule="auto"/>
        <w:rPr/>
      </w:pPr>
      <w:r w:rsidDel="00000000" w:rsidR="00000000" w:rsidRPr="00000000">
        <w:rPr>
          <w:rtl w:val="0"/>
        </w:rPr>
        <w:t xml:space="preserve">Purpose &amp; Discussion: Although ServiceNow is already a public company (NYSE: NOW), bankers might hold similar meetings for other high-growth clients or in cases where ServiceNow could consider equity moves (e.g. a secondary offering, or spin-off of a division via IPO). In general, an “IPO readiness” meeting (for a private company) covers what a company needs to prepare for a public offering. If we imagine ServiceNow were private or a division of it was to be spun out, bankers would discuss topics like financial reporting upgrades, governance, market timing, and valuation in an IPO context. For ServiceNow specifically, an analogous meeting could be an equity market check-in – discussing investor perceptions, the company’s stock performance, or the feasibility of raising equity capital for expansion. Key discussion points include the current IPO market conditions (e.g. “Are tech IPOs being well received this quarter or is the window closing?”), valuation benchmarking (how public market valuations for comparable companies look, which affects what valuation ServiceNow or its unit could fetch), and readiness factors (like whether financial audits, internal controls, and executive team composition meet what public investors expect). For a spin-off scenario, they’d discuss how that entity would stand on its own. If considering a follow-on equity offering (issuing additional shares), the talk would cover share price levels, investor appetite, and dilution impact.</w:t>
      </w:r>
    </w:p>
    <w:p w:rsidR="00000000" w:rsidDel="00000000" w:rsidP="00000000" w:rsidRDefault="00000000" w:rsidRPr="00000000" w14:paraId="00000029">
      <w:pPr>
        <w:spacing w:after="240" w:before="240" w:lineRule="auto"/>
        <w:rPr/>
      </w:pPr>
      <w:r w:rsidDel="00000000" w:rsidR="00000000" w:rsidRPr="00000000">
        <w:rPr>
          <w:rtl w:val="0"/>
        </w:rPr>
        <w:t xml:space="preserve">Materials Brought: For an IPO readiness discussion, bankers often provide a checklist or scorecard of readiness. This might cover financial metrics (revenue scale, profitability), infrastructure (does the company have a CFO and reporting systems suitable for a public company?), and market timing considerations. They would also bring market data on recent tech IPOs: a table of recent IPOs, their initial pricing vs current trading, and key metrics (e.g. “Enterprise software IPOs in the last year priced at an average of 8x forward revenue” or which banks led those deals). If equity analysts cover the sector, the bankers might include excerpts of equity research highlighting what public investors are focusing on (growth vs. margins, etc.). For ServiceNow’s context, if discussing a possible equity raise, the deck might include stock performance charts, relative valuation charts vs peers, and scenarios of raising capital (e.g. “issuing $1B of new equity would dilute existing shareholders by X% but could be accretive to growth if invested in AI R&amp;D”). Additionally, bankers might hand over case studies of companies that successfully navigated an IPO or secondary offering, outlining what made those a success or failure (to indirectly advise ServiceNow on best practices). Visual timelines are common too: a Gantt chart showing the steps and timeline of an IPO process (usually ~6-9 months) or the execution timeline for an equity offering.</w:t>
      </w:r>
    </w:p>
    <w:p w:rsidR="00000000" w:rsidDel="00000000" w:rsidP="00000000" w:rsidRDefault="00000000" w:rsidRPr="00000000" w14:paraId="0000002A">
      <w:pPr>
        <w:spacing w:after="240" w:before="240" w:lineRule="auto"/>
        <w:rPr/>
      </w:pPr>
      <w:r w:rsidDel="00000000" w:rsidR="00000000" w:rsidRPr="00000000">
        <w:rPr>
          <w:rtl w:val="0"/>
        </w:rPr>
        <w:t xml:space="preserve">Successful Outcome: In an IPO readiness or equity meeting, success is often about honest assessment and next steps. If the client is private (or considering a spin-off IPO), a successful meeting might lead to an engagement for an IPO mandate – i.e. the company formally hiring the bank (often among others) as an underwriter when they decide to go public. Short of an immediate mandate, it’s successful if the company walks away with a clear understanding of what to improve and indicates a timeline (e.g. “We aim to be IPO-ready by next year; let’s keep in touch each quarter until then”). If the meeting was to discuss a follow-on offering for ServiceNow, success might be the client signaling interest in the idea: “If our stock hits $X, we would consider raising capital – we’d involve you at that point.” Another sign of success is if the client engages in depth – asking the bankers to, for instance, help benchmark their metrics confidentially against peers or to introduce them to equity research analysts for informal feedback. Essentially, a good outcome is that the client trusts the bank’s equity market expertise and will involve them when an equity transaction is on the table. These meetings also serve to plant a seed; success might only be realized later when the company moves forward and includes the bank in the deal. In the interim, bankers will mark the opportunity in their pipeline and continue nurturing the relationship with periodic updates on the market.</w:t>
      </w:r>
    </w:p>
    <w:p w:rsidR="00000000" w:rsidDel="00000000" w:rsidP="00000000" w:rsidRDefault="00000000" w:rsidRPr="00000000" w14:paraId="0000002B">
      <w:pPr>
        <w:pStyle w:val="Heading3"/>
        <w:spacing w:after="80" w:before="280" w:lineRule="auto"/>
        <w:ind w:left="0"/>
        <w:rPr>
          <w:sz w:val="26"/>
          <w:szCs w:val="26"/>
        </w:rPr>
      </w:pPr>
      <w:bookmarkStart w:colFirst="0" w:colLast="0" w:name="_r75e2y9e2i0c" w:id="7"/>
      <w:bookmarkEnd w:id="7"/>
      <w:r w:rsidDel="00000000" w:rsidR="00000000" w:rsidRPr="00000000">
        <w:rPr>
          <w:sz w:val="26"/>
          <w:szCs w:val="26"/>
          <w:rtl w:val="0"/>
        </w:rPr>
        <w:t xml:space="preserve">Capital Structure &amp; Financing Advisory Meetings</w:t>
      </w:r>
    </w:p>
    <w:p w:rsidR="00000000" w:rsidDel="00000000" w:rsidP="00000000" w:rsidRDefault="00000000" w:rsidRPr="00000000" w14:paraId="0000002C">
      <w:pPr>
        <w:spacing w:after="240" w:before="240" w:lineRule="auto"/>
        <w:rPr/>
      </w:pPr>
      <w:r w:rsidDel="00000000" w:rsidR="00000000" w:rsidRPr="00000000">
        <w:rPr>
          <w:rtl w:val="0"/>
        </w:rPr>
        <w:t xml:space="preserve">Purpose &amp; Discussion: In these meetings, bankers focus on how ServiceNow finances its operations and growth – the mix of debt, equity, and other instruments – and advise on optimizing it. For a company like ServiceNow, which has a solid balance sheet, discussion might revolve around optimal leverage (Should they take on more debt? Refinance existing debt at better terms? Return capital to shareholders through buybacks or dividends?). If ServiceNow were contemplating a major investment or acquisition, bankers would discuss financing options (debt vs equity vs hybrid instruments). Key points include the company’s current capital structure metrics (debt-to-EBITDA ratio, credit rating if any, interest costs) relative to peers, market conditions for financing (interest rate trends, investor appetite for tech bonds or loans), and any identified needs (e.g. funding a $3B acquisition, or ensuring sufficient liquidity for expansion). Bankers might also bring up treasury management topics: for instance, the idea of pre-emptively raising cash if the market conditions are favorable, or conversely, using excess cash for a share repurchase. In essence, the conversation is about balancing risk, cost of capital, and flexibility. If ServiceNow has convertible bonds or other instruments, they’d discuss strategies around those as well (e.g. “Your convertible notes due in 2026 – should we look at refinancing or allow conversion?”).</w:t>
      </w:r>
    </w:p>
    <w:p w:rsidR="00000000" w:rsidDel="00000000" w:rsidP="00000000" w:rsidRDefault="00000000" w:rsidRPr="00000000" w14:paraId="0000002D">
      <w:pPr>
        <w:spacing w:after="240" w:before="240" w:lineRule="auto"/>
        <w:rPr/>
      </w:pPr>
      <w:r w:rsidDel="00000000" w:rsidR="00000000" w:rsidRPr="00000000">
        <w:rPr>
          <w:rtl w:val="0"/>
        </w:rPr>
        <w:t xml:space="preserve">Materials Brought: The bankers will prepare analysis on ServiceNow’s financial position and financing alternatives. Materials often include a capital structure summary page showing the company’s current debt (amount, maturities, interest rates) and equity stats, alongside peer comparisons (how much debt similar companies carry, and their credit ratings). There might be scenario analyses: e.g. a slide modeling the impact of issuing a new $1 billion bond – showing pro forma leverage ratios, interest expense, and how credit rating agencies might view it. Another slide might show the effect of a share buyback of a certain size on ServiceNow’s earnings per share and credit ratios. If the meeting is about a specific upcoming financing need, the deck will have market data on that financing type: for instance, recent large bond issuances by tech companies (interest rates achieved, investor reception) or, if equity, recent follow-on offerings stats. They might include a debt capacity analysis estimating how much debt ServiceNow could raise without jeopardizing its investment-grade rating, or how much cash they could return to shareholders while still funding growth. Charts of historical and current interest rates or bond index spreads can set the context for why now might be a good (or bad) time to raise capital. Additionally, banks often bring case studies: e.g. “Company X recently restructured its capital by issuing a convertible bond and doing a buyback – here’s how that played out.” All data used combines external market info and internal analytics to back up recommendations.</w:t>
      </w:r>
    </w:p>
    <w:p w:rsidR="00000000" w:rsidDel="00000000" w:rsidP="00000000" w:rsidRDefault="00000000" w:rsidRPr="00000000" w14:paraId="0000002E">
      <w:pPr>
        <w:spacing w:after="240" w:before="240" w:lineRule="auto"/>
        <w:rPr/>
      </w:pPr>
      <w:r w:rsidDel="00000000" w:rsidR="00000000" w:rsidRPr="00000000">
        <w:rPr>
          <w:rtl w:val="0"/>
        </w:rPr>
        <w:t xml:space="preserve">Successful Outcome: A successful capital structure advisory meeting is one where the client gains clarity and likely decides on some course of action (with the bank’s help). In the short term, success could be the client expressing interest in a particular solution the bank proposed: “Your suggestion to refinance our 2023 notes with a longer-term bond at today’s rates makes sense – let’s explore that further.” Even a request for the bank to conduct further analysis (like engaging the bank’s debt capital markets team to draft possible terms, or the bank’s rating advisory to talk about rating implications) is a win, as it indicates the client is moving toward a transaction with the bank in mind. Long-term ultimate success is if ServiceNow mandates the bank on a financing – e.g. choosing them as lead arranger if they do issue a bond or as advisor if they restructure debt. Another measure of success is more qualitative: did the meeting strengthen the client’s confidence that the bank understands corporate finance and their specific needs? If yes, ServiceNow will likely call on that bank for advice whenever a financing question arises. Because capital structure advice can be sensitive (involving balance sheet risk), a sign of success is if the client shares internal considerations (like “we have a board threshold of X leverage” or “we’re thinking of a debt issuance next quarter but haven’t decided”). That trust indicates the bank has effectively become a financial consigliere to the company. Even if no immediate deal occurs, the bankers will follow up periodically with relevant market updates (e.g. “The window for investment-grade tech bond issuance is very good right now”), continuing to prove their value until a financing mandate materializes.</w:t>
      </w:r>
    </w:p>
    <w:p w:rsidR="00000000" w:rsidDel="00000000" w:rsidP="00000000" w:rsidRDefault="00000000" w:rsidRPr="00000000" w14:paraId="0000002F">
      <w:pPr>
        <w:pStyle w:val="Heading2"/>
        <w:spacing w:after="80" w:before="360" w:lineRule="auto"/>
        <w:ind w:left="0"/>
        <w:rPr>
          <w:sz w:val="34"/>
          <w:szCs w:val="34"/>
        </w:rPr>
      </w:pPr>
      <w:bookmarkStart w:colFirst="0" w:colLast="0" w:name="_9jswjmcwx0e7" w:id="8"/>
      <w:bookmarkEnd w:id="8"/>
      <w:r w:rsidDel="00000000" w:rsidR="00000000" w:rsidRPr="00000000">
        <w:rPr>
          <w:sz w:val="34"/>
          <w:szCs w:val="34"/>
          <w:rtl w:val="0"/>
        </w:rPr>
        <w:t xml:space="preserve">3. Tools and Data Sources Used in Preparation</w:t>
      </w:r>
    </w:p>
    <w:p w:rsidR="00000000" w:rsidDel="00000000" w:rsidP="00000000" w:rsidRDefault="00000000" w:rsidRPr="00000000" w14:paraId="00000030">
      <w:pPr>
        <w:spacing w:after="240" w:before="240" w:lineRule="auto"/>
        <w:rPr/>
      </w:pPr>
      <w:r w:rsidDel="00000000" w:rsidR="00000000" w:rsidRPr="00000000">
        <w:rPr>
          <w:rtl w:val="0"/>
        </w:rPr>
        <w:t xml:space="preserve">To prepare the analyses and materials described above, investment banking teams leverage a mix of external data platforms and internal resources. The combination of these tools allows bankers to gather a 360° view of the client and market. Below are common tools and data sources and how they are used:</w:t>
      </w:r>
    </w:p>
    <w:p w:rsidR="00000000" w:rsidDel="00000000" w:rsidP="00000000" w:rsidRDefault="00000000" w:rsidRPr="00000000" w14:paraId="00000031">
      <w:pPr>
        <w:numPr>
          <w:ilvl w:val="0"/>
          <w:numId w:val="3"/>
        </w:numPr>
        <w:spacing w:after="0" w:afterAutospacing="0" w:before="240" w:lineRule="auto"/>
        <w:ind w:left="720" w:hanging="360"/>
      </w:pPr>
      <w:r w:rsidDel="00000000" w:rsidR="00000000" w:rsidRPr="00000000">
        <w:rPr>
          <w:rtl w:val="0"/>
        </w:rPr>
        <w:t xml:space="preserve">S&amp;P Capital IQ (CapIQ) – External: A broad financial database providing detailed company financials, market data, and transaction data. Bankers use CapIQ to pull ServiceNow’s historical financials, consensus forecasts, and to screen for comparable companies and deals. It’s essential for in-depth financial analysis and valuation modeling . For instance, an analyst might use CapIQ to download all tech software acquisitions in the last 3 years over $1B to identify relevant precedents for an M&amp;A pitch.</w:t>
        <w:br w:type="textWrapping"/>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rtl w:val="0"/>
        </w:rPr>
        <w:t xml:space="preserve">FactSet – External: Similar to CapIQ in function, FactSet offers customizable analytics and a wealth of market and financial data. Many banks integrate FactSet into their workflow to compile market news, monitor client stock performance, and centralize research. In fact, FactSet can integrate with a bank’s CRM to merge internal client notes with external data streams for a unified view . Bankers might use FactSet’s screening tools to identify, say, which AI startups have revenue between $50–$200M (potential ServiceNow targets) or use its news feed to catch any headline involving ServiceNow (e.g. new product announcements or leadership changes).</w:t>
        <w:br w:type="textWrapping"/>
      </w:r>
    </w:p>
    <w:p w:rsidR="00000000" w:rsidDel="00000000" w:rsidP="00000000" w:rsidRDefault="00000000" w:rsidRPr="00000000" w14:paraId="00000033">
      <w:pPr>
        <w:numPr>
          <w:ilvl w:val="0"/>
          <w:numId w:val="3"/>
        </w:numPr>
        <w:spacing w:after="0" w:afterAutospacing="0" w:before="0" w:beforeAutospacing="0" w:lineRule="auto"/>
        <w:ind w:left="720" w:hanging="360"/>
      </w:pPr>
      <w:r w:rsidDel="00000000" w:rsidR="00000000" w:rsidRPr="00000000">
        <w:rPr>
          <w:rtl w:val="0"/>
        </w:rPr>
        <w:t xml:space="preserve">Bloomberg Terminal – External: A ubiquitous tool in finance, Bloomberg provides real-time market news, stock prices, trading data, and analytical functions. Bankers prepping for a ServiceNow meeting will use Bloomberg to monitor ServiceNow’s intraday stock price and volume (important if discussing equity issuance or share buybacks), check current and historical bond yields if debt is in scope, and read any news stories or research on the company and its competitors. The Bloomberg terminal’s chat and messaging functions might also be used to consult with sales &amp; trading colleagues about investor sentiment on ServiceNow’s stock or bonds. It’s invaluable for up-to-the-minute information (e.g. seeing how markets react on the morning of the meeting) .</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rtl w:val="0"/>
        </w:rPr>
        <w:t xml:space="preserve">Thomson Reuters Eikon / Refinitiv – External: Another major data platform offering financials, market data, and particularly strong M&amp;A and capital markets deal databases (previously known as Thomson One or SDC). Bankers might use Refinitiv’s league table and deal screening tools to find precedent transactions, such as “tech deals in AI space in 2024” and see details on deal size, valuation multiples, advisors, etc. It’s also used to prepare league tables to demonstrate the bank’s expertise (e.g. showing that the bank is a top 5 advisor in tech M&amp;A). Similarly, Dealogic or Mergermarket could be used for tracking deals and rumors.</w:t>
        <w:br w:type="textWrapping"/>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rtl w:val="0"/>
        </w:rPr>
        <w:t xml:space="preserve">PitchBook / Crunchbase – External: Databases focused on private companies, venture funding, and startups. If ServiceNow is interested in smaller private AI firms, analysts use these to gather info on those targets (founders, funding history, estimated financials). These sources provide color on the startup landscape that wouldn’t appear in CapIQ (which is more public-company oriented).</w:t>
        <w:br w:type="textWrapping"/>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rtl w:val="0"/>
        </w:rPr>
        <w:t xml:space="preserve">Internal CRM Systems (Client Relationship Management) – Internal: Banks maintain proprietary CRM systems (or customized versions of Salesforce) to track every interaction with clients. Before the meeting, the team will pull up ServiceNow’s CRM profile, which logs past meetings, topics discussed, who attended, and any follow-up items from those meetings. It may also contain a “relationship map” showing connections (maybe an MD at the bank knows one of ServiceNow’s board members, etc.). The CRM helps ensure continuity – for example, bankers can see what was pitched to ServiceNow last time so they don’t repeat or contradict it. Modern CRMs increasingly integrate with email and calendar, automatically logging touchpoints (emails, calls, meetings) so that “from emails to calls to meetings, everything is logged for better follow-up” . This internal data is crucial for tailoring the upcoming meeting’s content and remembering client preferences. Some banks even integrate external data feeds into the CRM: one solution highlights that combining internal client data with outside news (from sources like Equilar, FactSet, CapIQ) can surface critical updates and “filter out the noise” , ensuring bankers don’t miss events like ServiceNow hiring a new CFO or making a small acquisition.</w:t>
        <w:br w:type="textWrapping"/>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rtl w:val="0"/>
        </w:rPr>
        <w:t xml:space="preserve">Internal Research Portals and Databases – Internal: Investment banks have internal knowledge repositories, which might include past pitchbooks, industry analyses, and research produced by various divisions. For example, if another team at the bank did a tech industry overview or an “AI sector update” for a different client, those materials can be retrieved and repurposed (with appropriate updates) for the ServiceNow meeting. Likewise, banks have archives of valuation models and financial data that analysts can draw on. Internal research also includes the bank’s own equity research reports on ServiceNow and peers – even though equity research is typically public for clients, internally the bankers use it to align their message with the firm’s published views and to glean any insights (like an equity analyst’s projection of ServiceNow’s future revenue mix, which could spark a strategic idea).</w:t>
        <w:br w:type="textWrapping"/>
      </w:r>
    </w:p>
    <w:p w:rsidR="00000000" w:rsidDel="00000000" w:rsidP="00000000" w:rsidRDefault="00000000" w:rsidRPr="00000000" w14:paraId="00000038">
      <w:pPr>
        <w:numPr>
          <w:ilvl w:val="0"/>
          <w:numId w:val="3"/>
        </w:numPr>
        <w:spacing w:after="0" w:afterAutospacing="0" w:before="0" w:beforeAutospacing="0" w:lineRule="auto"/>
        <w:ind w:left="720" w:hanging="360"/>
      </w:pPr>
      <w:r w:rsidDel="00000000" w:rsidR="00000000" w:rsidRPr="00000000">
        <w:rPr>
          <w:rtl w:val="0"/>
        </w:rPr>
        <w:t xml:space="preserve">Specialized Analytics Tools: Some banks have proprietary tools or use advanced software for analysis and visualization. For example, they might use Excel-based add-ins (FactSet and CapIQ both provide Excel plug-ins) to refresh financial data automatically in their models. Visualization tools might be used to create compelling charts (some banks use Think-Cell for charting in PowerPoint). For scenario analysis, an internal tool might simulate how a potential acquisition affects the stock price. Banks are also exploring AI-based tools in 2025 – e.g. generative AI assistants that can quickly summarize a 10-K filing or extract key points from a conference call transcript for the team, saving hours of manual reading.</w:t>
        <w:br w:type="textWrapping"/>
      </w:r>
    </w:p>
    <w:p w:rsidR="00000000" w:rsidDel="00000000" w:rsidP="00000000" w:rsidRDefault="00000000" w:rsidRPr="00000000" w14:paraId="00000039">
      <w:pPr>
        <w:numPr>
          <w:ilvl w:val="0"/>
          <w:numId w:val="3"/>
        </w:numPr>
        <w:spacing w:after="240" w:before="0" w:beforeAutospacing="0" w:lineRule="auto"/>
        <w:ind w:left="720" w:hanging="360"/>
      </w:pPr>
      <w:r w:rsidDel="00000000" w:rsidR="00000000" w:rsidRPr="00000000">
        <w:rPr>
          <w:rtl w:val="0"/>
        </w:rPr>
        <w:t xml:space="preserve">External Advisors &amp; Industry Sources: Beyond databases, bankers preparing for a meeting might consult external experts or sources. For instance, they may read Gartner or IDC reports on the software industry for broader context. They might call the bank’s debt syndicate desk to get a read on bond market conditions, or the equity capital markets team to understand recent IPO investor feedback. All these inputs, while not “tools” in a software sense, are part of the data gathering process.</w:t>
        <w:br w:type="textWrapping"/>
      </w:r>
    </w:p>
    <w:p w:rsidR="00000000" w:rsidDel="00000000" w:rsidP="00000000" w:rsidRDefault="00000000" w:rsidRPr="00000000" w14:paraId="0000003A">
      <w:pPr>
        <w:spacing w:after="240" w:before="240" w:lineRule="auto"/>
        <w:rPr/>
      </w:pPr>
      <w:r w:rsidDel="00000000" w:rsidR="00000000" w:rsidRPr="00000000">
        <w:rPr>
          <w:rtl w:val="0"/>
        </w:rPr>
        <w:t xml:space="preserve">In summary, external data (financials, market stats, news) is fused with internal intelligence (CRM records, prior work, research) to create a comprehensive information base. Banks that effectively connect these dots can generate more personalized and insightful content for the client. It’s common to see a bank’s internal portal showing a dashboard for the client that includes recent news, stock performance, and internal notes all in one place . By using these tools, bankers make sure that when they walk into a ServiceNow meeting, they know more about the client and its environment than even the client expects, enabling thoughtful advice.</w:t>
      </w:r>
    </w:p>
    <w:p w:rsidR="00000000" w:rsidDel="00000000" w:rsidP="00000000" w:rsidRDefault="00000000" w:rsidRPr="00000000" w14:paraId="0000003B">
      <w:pPr>
        <w:pStyle w:val="Heading2"/>
        <w:spacing w:after="80" w:before="360" w:lineRule="auto"/>
        <w:ind w:left="0"/>
        <w:rPr>
          <w:sz w:val="34"/>
          <w:szCs w:val="34"/>
        </w:rPr>
      </w:pPr>
      <w:bookmarkStart w:colFirst="0" w:colLast="0" w:name="_rq1401f9wk9r" w:id="9"/>
      <w:bookmarkEnd w:id="9"/>
      <w:r w:rsidDel="00000000" w:rsidR="00000000" w:rsidRPr="00000000">
        <w:rPr>
          <w:sz w:val="34"/>
          <w:szCs w:val="34"/>
          <w:rtl w:val="0"/>
        </w:rPr>
        <w:t xml:space="preserve">4. Roles Involved and Their Responsibilities</w:t>
      </w:r>
    </w:p>
    <w:p w:rsidR="00000000" w:rsidDel="00000000" w:rsidP="00000000" w:rsidRDefault="00000000" w:rsidRPr="00000000" w14:paraId="0000003C">
      <w:pPr>
        <w:spacing w:after="240" w:before="240" w:lineRule="auto"/>
        <w:rPr/>
      </w:pPr>
      <w:r w:rsidDel="00000000" w:rsidR="00000000" w:rsidRPr="00000000">
        <w:rPr>
          <w:rtl w:val="0"/>
        </w:rPr>
        <w:t xml:space="preserve">Preparing for a client meeting is a team effort in investment banking, with each team member playing a specific role. A typical team comprises an Analyst, Associate, Vice President (or Director), and Managing Director. Below is an overview of who does what in the prep process for a ServiceNow meeting:</w:t>
      </w:r>
    </w:p>
    <w:p w:rsidR="00000000" w:rsidDel="00000000" w:rsidP="00000000" w:rsidRDefault="00000000" w:rsidRPr="00000000" w14:paraId="0000003D">
      <w:pPr>
        <w:numPr>
          <w:ilvl w:val="0"/>
          <w:numId w:val="4"/>
        </w:numPr>
        <w:spacing w:after="0" w:afterAutospacing="0" w:before="240" w:lineRule="auto"/>
        <w:ind w:left="720" w:hanging="360"/>
      </w:pPr>
      <w:r w:rsidDel="00000000" w:rsidR="00000000" w:rsidRPr="00000000">
        <w:rPr>
          <w:rtl w:val="0"/>
        </w:rPr>
        <w:t xml:space="preserve">Managing Director (MD): The MD is the senior banker who owns the client relationship. They often initiate the meeting (speaking with ServiceNow’s C-suite to set it up) and define its strategic purpose. In preparation, the MD provides overall direction: they outline what the pitch or discussion should cover and share insights from their high-level conversations with the client. For example, the MD might say, “ServiceNow’s CEO mentioned interest in AI – let’s ensure we bring them some fresh ideas there.” The MD leverages their experience to guide the team on messaging and will often have final say on what goes into the pitchbook. They might call in favors from across the firm, e.g. asking the tech sector research analyst for any unpublished insights to strengthen the pitch. During the meeting, the MD leads the presentation and discussion – they do most of the talking, set the tone, and manage the client interaction. A successful MD will also read the room and adjust on the fly, focusing on what the client reacts to. In terms of prep tasks, MDs are less in the weeds of analysis, but they must be deeply familiar with all content. They’ll often do a final review of the deck, ensuring it aligns with the story they want to tell and that it is free of errors (many MDs have eagle eyes for both the big picture and important details).</w:t>
        <w:br w:type="textWrapping"/>
      </w:r>
    </w:p>
    <w:p w:rsidR="00000000" w:rsidDel="00000000" w:rsidP="00000000" w:rsidRDefault="00000000" w:rsidRPr="00000000" w14:paraId="0000003E">
      <w:pPr>
        <w:numPr>
          <w:ilvl w:val="0"/>
          <w:numId w:val="4"/>
        </w:numPr>
        <w:spacing w:after="0" w:afterAutospacing="0" w:before="0" w:beforeAutospacing="0" w:lineRule="auto"/>
        <w:ind w:left="720" w:hanging="360"/>
      </w:pPr>
      <w:r w:rsidDel="00000000" w:rsidR="00000000" w:rsidRPr="00000000">
        <w:rPr>
          <w:rtl w:val="0"/>
        </w:rPr>
        <w:t xml:space="preserve">Vice President (VP) / Director: A mid-level banker (VP or sometimes a Director/Executive Director) acts as the project manager for the preparation. They translate the MD’s vision into an actionable plan for the team. The VP will sit down with the MD to draft the initial outline of the pitchbook : for instance, deciding that “Section 1 will be about ServiceNow’s positioning, Section 2 about M&amp;A targets, Section 3 about financing options,” etc. After that, the VP coordinates the team’s efforts – assigning the analyst and associate specific tasks (“Alice will compile industry stats, Bob will build the valuation model,” etc.) and setting deadlines. They often review and refine the analysis at multiple points: checking the associate’s and analyst’s work for accuracy and coherence. VPs bring a wealth of deal experience, so they inject strategic insight: they might say, “I’ve seen similar clients struggle with integrating AI acquisitions; let’s emphasize our bank’s integration support services.” They also liaise with other groups: if input from the M&amp;A product team or capital markets is needed, the VP arranges those calls. As drafts of the deck emerge, the VP edits content, ensuring the story flows and the messaging is clear. They balance the MD’s requests with practical feasibility, and sometimes act as a buffer – consolidating feedback from multiple seniors (MD, possibly a Director) so the junior team isn’t confused by too many voices. Before the meeting, the VP helps brief the MD on the fine details (since the VP has been in the weeds enough to know them). In the meeting, a VP may present select sections (if the MD wants them to) or jump in to support the MD on detailed points. Mostly, they are there to back up the MD and observe the client’s reactions. If multiple bankers attend, the VP often handles any demos or detailed walkthroughs of analysis if needed. Essentially, the VP ensures everything is ready and of high quality, and that the team is coordinated in both prep and execution.</w:t>
        <w:br w:type="textWrapping"/>
      </w:r>
    </w:p>
    <w:p w:rsidR="00000000" w:rsidDel="00000000" w:rsidP="00000000" w:rsidRDefault="00000000" w:rsidRPr="00000000" w14:paraId="0000003F">
      <w:pPr>
        <w:numPr>
          <w:ilvl w:val="0"/>
          <w:numId w:val="4"/>
        </w:numPr>
        <w:spacing w:after="0" w:afterAutospacing="0" w:before="0" w:beforeAutospacing="0" w:lineRule="auto"/>
        <w:ind w:left="720" w:hanging="360"/>
      </w:pPr>
      <w:r w:rsidDel="00000000" w:rsidR="00000000" w:rsidRPr="00000000">
        <w:rPr>
          <w:rtl w:val="0"/>
        </w:rPr>
        <w:t xml:space="preserve">Associate: The associate is a mid-junior banker who works closely with the analyst to produce the materials and analysis. They serve as the day-to-day coordinator of work. In prepping for the ServiceNow meeting, the associate will gather initial data and run analyses – for instance, they might supervise compiling a list of potential acquisition targets (shortlisting which ones to include) and then have the analyst pull the data for those. Associates are typically skilled at financial modeling, so they might build or at least supervise the building of models (valuation models, impact analyses, etc.) that underpin the pitch. They act as a quality check for the analyst’s output: reviewing the numbers for accuracy and the slides for consistency. For example, if the analyst produces a comparable companies valuation, the associate will verify the peer group is appropriate and that the math is correct. They often handle drafting text and framing the slides, since they have more client context – e.g. writing the bullet points that explain “why Target X is a good strategic fit for ServiceNow.” The associate also coordinates with internal resources: they might contact the internal compliance or legal team if there’s sensitive info to be approved for the presentation, or get slides approved by a Fairness Committee if required (though usually that’s for live deal situations). Timing and workflow are a big part of their role – associates maintain the project timeline (“we need a full deck draft by Tuesday night for the VP to review”). As the meeting nears, the associate often conducts the final coherence check: making sure all slides tell a consistent story, numbers tie out across slides, and formatting is clean. They may also help coach the analyst on any speaking role or prepare a cheat sheet of numbers the analyst might need to recall quickly in the meeting. During the client meeting, associates usually attend but do not speak unless called upon. They take detailed notes on what the client says and note any follow-up requests. In some cases, if the MD and VP are confident, an associate might present a very specific section they worked heavily on (this can happen at mid-market banks more often due to lean teams). But typically, the associate’s presence is as a supportive expert – ready to retrieve a fact or run a quick calculation live if needed, and to observe and learn.</w:t>
        <w:br w:type="textWrapping"/>
      </w:r>
    </w:p>
    <w:p w:rsidR="00000000" w:rsidDel="00000000" w:rsidP="00000000" w:rsidRDefault="00000000" w:rsidRPr="00000000" w14:paraId="00000040">
      <w:pPr>
        <w:numPr>
          <w:ilvl w:val="0"/>
          <w:numId w:val="4"/>
        </w:numPr>
        <w:spacing w:after="240" w:before="0" w:beforeAutospacing="0" w:lineRule="auto"/>
        <w:ind w:left="720" w:hanging="360"/>
      </w:pPr>
      <w:r w:rsidDel="00000000" w:rsidR="00000000" w:rsidRPr="00000000">
        <w:rPr>
          <w:rtl w:val="0"/>
        </w:rPr>
        <w:t xml:space="preserve">Analyst: The analyst is the most junior member, responsible for the heavy lifting of data analysis and presentation creation. For a ServiceNow meeting prep, the analyst will: gather financial data on ServiceNow and peers from databases, update valuation models (or build new ones), and create the charts and tables that go into the pitchbook. If a list of acquisition targets is being presented, the analyst compiles each target’s profile (using external sources like CapIQ, news, company websites). Analysts are masters of Excel and PowerPoint at this stage – they’ll crunch numbers (e.g. computing revenue multiples, synergy potentials, pro forma financials) and then visualize them in slides. They often produce the first draft of many slides, which then go up the chain for refinement. An analyst’s work can include writing a brief industry overview, summarizing recent M&amp;A transactions in AI, or drafting a slide on ServiceNow’s historical stock performance, all under guidance from the associate and VP. They also handle all the grunt work of formatting: making sure fonts, colors, and layouts adhere to the bank’s standards. There’s a saying that analysts spend more time in PowerPoint than Excel, reflecting how much effort goes into perfect-looking slides . The analyst must be extremely detail-oriented – a single number mistake can undermine credibility. Thus, they often double and triple-check calculations and sometimes have a peer analyst cross-check key figures. Analysts also prepare backup data not necessarily in the main deck – e.g. a printout of the full comps table or an extra schedule of ServiceNow’s past M&amp;A deals, in case the MD needs to reference something not in the slides. In the meeting, analysts usually do not speak up; they are there to learn and to support quietly. They take notes alongside the associate. However, they must be prepared in case a question gets directed their way or if the MD turns to them for a number. For example, if the CFO asks, “What was our EBITDA last quarter?” the MD might glance at the analyst who has the figures handy in the financial summary. Thus, analysts often bring an expanded set of data or the Excel printouts. At top banks, junior team members are trained to be ready to “dig up any additional information that’s required” on the spot . After the meeting, the analyst typically is responsible for promptly compiling a detailed meeting summary (from their notes) to circulate internally.</w:t>
        <w:br w:type="textWrapping"/>
      </w:r>
    </w:p>
    <w:p w:rsidR="00000000" w:rsidDel="00000000" w:rsidP="00000000" w:rsidRDefault="00000000" w:rsidRPr="00000000" w14:paraId="00000041">
      <w:pPr>
        <w:spacing w:after="240" w:before="240" w:lineRule="auto"/>
        <w:rPr/>
      </w:pPr>
      <w:r w:rsidDel="00000000" w:rsidR="00000000" w:rsidRPr="00000000">
        <w:rPr>
          <w:rtl w:val="0"/>
        </w:rPr>
        <w:t xml:space="preserve">It’s worth noting that at bulge bracket banks, teams can be larger and more specialized – sometimes there might be multiple analysts or additional roles like an Associate Vice President or specialist (e.g. a Financial Institutions Group banker if the client were a bank, etc.). For ServiceNow (a tech company), the core team is likely from the Technology Coverage Group, possibly collaborating with an M&amp;A execution team. In mid-market banks or smaller teams, one person may wear multiple hats (e.g. an Associate might do a bit of what a VP does in terms of planning, or an Analyst may get more client exposure due to a lean team). Regardless, the workflow and division of labor remain similar: senior bankers set direction and handle client interaction, while junior bankers handle analysis and materials – with everyone collaborating closely to deliver a seamless outcome .</w:t>
      </w:r>
    </w:p>
    <w:p w:rsidR="00000000" w:rsidDel="00000000" w:rsidP="00000000" w:rsidRDefault="00000000" w:rsidRPr="00000000" w14:paraId="00000042">
      <w:pPr>
        <w:pStyle w:val="Heading2"/>
        <w:spacing w:after="80" w:before="360" w:lineRule="auto"/>
        <w:ind w:left="0"/>
        <w:rPr>
          <w:sz w:val="34"/>
          <w:szCs w:val="34"/>
        </w:rPr>
      </w:pPr>
      <w:bookmarkStart w:colFirst="0" w:colLast="0" w:name="_yc8oo8a96jfi" w:id="10"/>
      <w:bookmarkEnd w:id="10"/>
      <w:r w:rsidDel="00000000" w:rsidR="00000000" w:rsidRPr="00000000">
        <w:rPr>
          <w:sz w:val="34"/>
          <w:szCs w:val="34"/>
          <w:rtl w:val="0"/>
        </w:rPr>
        <w:t xml:space="preserve">5. Best Practices &amp; Differentiators of Top Banks in Meeting Prep</w:t>
      </w:r>
    </w:p>
    <w:p w:rsidR="00000000" w:rsidDel="00000000" w:rsidP="00000000" w:rsidRDefault="00000000" w:rsidRPr="00000000" w14:paraId="00000043">
      <w:pPr>
        <w:spacing w:after="240" w:before="240" w:lineRule="auto"/>
        <w:rPr/>
      </w:pPr>
      <w:r w:rsidDel="00000000" w:rsidR="00000000" w:rsidRPr="00000000">
        <w:rPr>
          <w:rtl w:val="0"/>
        </w:rPr>
        <w:t xml:space="preserve">Elite investment banks (like Goldman Sachs, Morgan Stanley, etc.) are known for taking preparation to the next level. Their best practices often set them apart, allowing them to consistently impress clients like ServiceNow. Here are several differentiators and how they manifest in meeting prep:</w:t>
      </w:r>
    </w:p>
    <w:p w:rsidR="00000000" w:rsidDel="00000000" w:rsidP="00000000" w:rsidRDefault="00000000" w:rsidRPr="00000000" w14:paraId="00000044">
      <w:pPr>
        <w:numPr>
          <w:ilvl w:val="0"/>
          <w:numId w:val="2"/>
        </w:numPr>
        <w:spacing w:after="0" w:afterAutospacing="0" w:before="240" w:lineRule="auto"/>
        <w:ind w:left="720" w:hanging="360"/>
      </w:pPr>
      <w:r w:rsidDel="00000000" w:rsidR="00000000" w:rsidRPr="00000000">
        <w:rPr>
          <w:rtl w:val="0"/>
        </w:rPr>
        <w:t xml:space="preserve">Deeply Customized Insights: Top banks pride themselves on knowing the client’s business better than anyone else. This means they invest significant time upfront to understand ServiceNow’s strategy, challenges, and even internal dynamics. They will often come in with bespoke analysis that the client hasn’t seen before. For instance, a bulge bracket bank might use its internal data science team to analyze ServiceNow’s customer base or product usage data (if available) to identify an insight like a new potential market segment. They might present a unique perspective – such as a proprietary survey of CIOs on IT service management trends – to show ServiceNow how demand for its type of product could evolve. This level of insight goes beyond the obvious. It positions the bank as a true thought partner. Best-in-class banks also ensure that even their generic content (like industry overviews) are explicitly tailored to the client. One banker might say, “Yes, ServiceNow is well aware of general SaaS growth – but we’ve pinpointed how AI adoption in IT workflows (ServiceNow’s domain) specifically is accelerating 20% faster than broader SaaS, which underpins our idea that you should invest more in AI.” That kind of pinpoint relevance makes the client feel the prep was just for them, not a recycled pitch.</w:t>
        <w:br w:type="textWrapping"/>
      </w:r>
    </w:p>
    <w:p w:rsidR="00000000" w:rsidDel="00000000" w:rsidP="00000000" w:rsidRDefault="00000000" w:rsidRPr="00000000" w14:paraId="00000045">
      <w:pPr>
        <w:numPr>
          <w:ilvl w:val="0"/>
          <w:numId w:val="2"/>
        </w:numPr>
        <w:spacing w:after="0" w:afterAutospacing="0" w:before="0" w:beforeAutospacing="0" w:lineRule="auto"/>
        <w:ind w:left="720" w:hanging="360"/>
      </w:pPr>
      <w:r w:rsidDel="00000000" w:rsidR="00000000" w:rsidRPr="00000000">
        <w:rPr>
          <w:rtl w:val="0"/>
        </w:rPr>
        <w:t xml:space="preserve">“One Team” Collaboration: Top banks break down internal silos to prepare a holistic pitch. They will bring in experts from across the firm and synchronize their input. For example, if ServiceNow’s meeting touches on both M&amp;A and financing, a Goldman Sachs team would likely include both a senior M&amp;A banker and a capital markets banker in internal prep to ensure all angles are covered. They might also incorporate views from the bank’s research analyst on ServiceNow or the tech sector. The difference at top firms is that this collaboration is done behind the scenes and distilled so that the message to the client is cohesive. The client just sees that the coverage MD seems to have encyclopedic knowledge – not realizing it’s backed by numerous specialists’ input. Additionally, top banks often have formal processes to generate these insights: e.g. an internal “brainstorming call” with senior partners globally to discuss a major client’s possible moves. By pooling firm-wide knowledge, they might surface an idea like a non-obvious acquisition target overseas or a creative financing structure that a smaller bank team might miss. This comprehensive approach often impresses clients when bankers can say, “Our colleagues in Asia have seen a similar trend and here’s how it could benefit ServiceNow’s expansion.”</w:t>
        <w:br w:type="textWrapping"/>
      </w:r>
    </w:p>
    <w:p w:rsidR="00000000" w:rsidDel="00000000" w:rsidP="00000000" w:rsidRDefault="00000000" w:rsidRPr="00000000" w14:paraId="00000046">
      <w:pPr>
        <w:numPr>
          <w:ilvl w:val="0"/>
          <w:numId w:val="2"/>
        </w:numPr>
        <w:spacing w:after="0" w:afterAutospacing="0" w:before="0" w:beforeAutospacing="0" w:lineRule="auto"/>
        <w:ind w:left="720" w:hanging="360"/>
      </w:pPr>
      <w:r w:rsidDel="00000000" w:rsidR="00000000" w:rsidRPr="00000000">
        <w:rPr>
          <w:rtl w:val="0"/>
        </w:rPr>
        <w:t xml:space="preserve">Exceptional Pitchbook Quality and Design: While content is king, the presentation matters – and top banks spare no effort in producing polished, high-quality materials. This includes not only professional, clean visuals but also a sense of heft and importance. As industry observers quip, a deck from a top bulge bracket has a “feel” – the pages are thicker, the printing high-resolution, color schemes consistent – all of which subtly convey quality . Goldman or Morgan Stanley often have entire teams (sometimes called Desktop Publishing or Graphics) to beautify slides overnight. Logos, icons, and formatting are meticulously applied according to brand standards. Charts are clear and not overly cluttered, and the storyline is easy to follow. The attention to detail is extreme: for instance, ensuring that if ServiceNow’s corporate color is green, perhaps key headings or data points in the deck use a complementary color scheme. Top bankers know that many executives are visual, and a sleek deck can make an impression that the bank is put-together and professional. In fact, clients do notice; as one commentary humorously noted, to some clients the appearance of a deck can matter as much or more than the content . While that may be an exaggeration, it underscores that flawless materials reflect a sense of pride and diligence. Importantly, these banks don’t use design as a smokescreen – they combine it with substance. The best practice is form with function: great-looking slides that also convey meaningful, client-specific analysis.</w:t>
        <w:br w:type="textWrapping"/>
      </w:r>
    </w:p>
    <w:p w:rsidR="00000000" w:rsidDel="00000000" w:rsidP="00000000" w:rsidRDefault="00000000" w:rsidRPr="00000000" w14:paraId="00000047">
      <w:pPr>
        <w:numPr>
          <w:ilvl w:val="0"/>
          <w:numId w:val="2"/>
        </w:numPr>
        <w:spacing w:after="0" w:afterAutospacing="0" w:before="0" w:beforeAutospacing="0" w:lineRule="auto"/>
        <w:ind w:left="720" w:hanging="360"/>
      </w:pPr>
      <w:r w:rsidDel="00000000" w:rsidR="00000000" w:rsidRPr="00000000">
        <w:rPr>
          <w:rtl w:val="0"/>
        </w:rPr>
        <w:t xml:space="preserve">Practice and Precision: Top banks often internally rehearse important meetings. The senior banker might do a dry run of the presentation in front of the team or a small group of colleagues acting as “mock audience”. This helps refine the delivery and anticipate questions. They aim for crisp and confident delivery. In the meeting itself, differentiators include how the team comports themselves – for example, only the relevant slides are presented (they won’t bore the client with generic pages the client doesn’t care about). MDs at top banks are skilled at reading the client’s cues and will gracefully pivot the conversation if needed – essentially they treat the meeting not as a monologue but as a dynamic discussion. This agility comes from thorough prep: they have mental (or physical) bookmarks on backup slides if a certain topic comes up and have practiced answers to tough questions. A best practice is preparing a “response matrix” for potential tough questions (e.g. “What if the client asks why our valuation is higher than the market’s view?”) so that the bankers answer smoothly and consistently. This level of preparation makes the bankers appear unflappable and knowledgeable on the spot, which sets them apart.</w:t>
        <w:br w:type="textWrapping"/>
      </w:r>
    </w:p>
    <w:p w:rsidR="00000000" w:rsidDel="00000000" w:rsidP="00000000" w:rsidRDefault="00000000" w:rsidRPr="00000000" w14:paraId="00000048">
      <w:pPr>
        <w:numPr>
          <w:ilvl w:val="0"/>
          <w:numId w:val="2"/>
        </w:numPr>
        <w:spacing w:after="0" w:afterAutospacing="0" w:before="0" w:beforeAutospacing="0" w:lineRule="auto"/>
        <w:ind w:left="720" w:hanging="360"/>
      </w:pPr>
      <w:r w:rsidDel="00000000" w:rsidR="00000000" w:rsidRPr="00000000">
        <w:rPr>
          <w:rtl w:val="0"/>
        </w:rPr>
        <w:t xml:space="preserve">Focusing on Client’s Pain Points (Consultative Approach): The most successful bankers differentiate themselves by making the meeting about the client’s needs, not the bank’s pitch. This consultative mindset is evident in how they frame every slide and talking point: it ties back to something the client has expressed concern about or opportunity they want to capture. For example, if ServiceNow’s CFO has publicly spoken about maintaining “discipline” in M&amp;A , the bankers will acknowledge that and tailor their ideas to fit that framework (showing they listen and align with client philosophy). Top banks even sometimes choose to forgo the massive pitchbook altogether if they sense the client would prefer a conversation. In some cases, a leading banker might walk into a meeting with a thin deck or just a few pages, and spend more time asking the client questions and listening – then use the prepared analysis only as needed. This approach can impress clients by breaking the expectation that bankers only come to talk about themselves. There’s an anecdote on forums about bankers winning deals by dropping the “hard sell” and instead zeroing in on discussing the client’s problems and goals . The best practice here is to demonstrate empathy and understanding: for ServiceNow, that might mean acknowledging challenges (like integration of past acquisitions or the competitive threat from larger cloud players) and showing how the bank’s ideas directly tackle those. Banks that do this stand out because many others might come in with generic slides about how great their bank is; a savvy client can tell the difference. As a result, top banks often get feedback like “You guys really understand us”, which is the ultimate differentiator.</w:t>
        <w:br w:type="textWrapping"/>
      </w:r>
    </w:p>
    <w:p w:rsidR="00000000" w:rsidDel="00000000" w:rsidP="00000000" w:rsidRDefault="00000000" w:rsidRPr="00000000" w14:paraId="00000049">
      <w:pPr>
        <w:numPr>
          <w:ilvl w:val="0"/>
          <w:numId w:val="2"/>
        </w:numPr>
        <w:spacing w:after="240" w:before="0" w:beforeAutospacing="0" w:lineRule="auto"/>
        <w:ind w:left="720" w:hanging="360"/>
      </w:pPr>
      <w:r w:rsidDel="00000000" w:rsidR="00000000" w:rsidRPr="00000000">
        <w:rPr>
          <w:rtl w:val="0"/>
        </w:rPr>
        <w:t xml:space="preserve">Unique Value-Add &amp; Resources: Firms like GS or MS might bring along exclusive content or technology to the prep process. For example, some have in-house think tanks (e.g., GS’s “Global Investment Research” team) that produce white papers on AI or other relevant topics. Incorporating excerpts or inviting an industry expert to join the meeting for a segment (say, a renowned AI specialist from the bank’s advisory board) can wow the client. Another differentiator can be digital tools: a top bank might use an interactive iPad presentation or a custom-cut video snippet from one of ServiceNow’s prior public appearances to make a point, which less-equipped competitors wouldn’t consider. Even subtle things like a tailored valuation model tool (imagine showing ServiceNow a live sensitivity analysis on how acquiring Company X at different prices impacts their EPS – adjusting on the fly) can set a bank apart if done smoothly. These things illustrate that the bank has invested more effort and has capabilities others don’t.</w:t>
        <w:br w:type="textWrapping"/>
      </w:r>
    </w:p>
    <w:p w:rsidR="00000000" w:rsidDel="00000000" w:rsidP="00000000" w:rsidRDefault="00000000" w:rsidRPr="00000000" w14:paraId="0000004A">
      <w:pPr>
        <w:spacing w:after="240" w:before="240" w:lineRule="auto"/>
        <w:rPr/>
      </w:pPr>
      <w:r w:rsidDel="00000000" w:rsidR="00000000" w:rsidRPr="00000000">
        <w:rPr>
          <w:rtl w:val="0"/>
        </w:rPr>
        <w:t xml:space="preserve">In essence, what sets the top banks apart is an extreme level of preparedness, client-centric focus, and polish. They leave as little to chance as possible. Everything – from the strategic content down to the page footnotes – is thought through with the client in mind. And they bring the full arsenal of the firm’s resources to do it, which mid-market banks (with smaller teams and budgets) might struggle to match. As a result, clients often get a sense of greater confidence and trust – feeling that a top-tier bank “just gets it” and will deliver quality service. This doesn’t mean mid-market banks can’t compete (they often do by being more flexible or entrepreneurial in ideas), but the bulge bracket prep process is a well-oiled machine aimed at maximizing the chance of a successful meeting (and ultimately, winning business).</w:t>
      </w:r>
    </w:p>
    <w:p w:rsidR="00000000" w:rsidDel="00000000" w:rsidP="00000000" w:rsidRDefault="00000000" w:rsidRPr="00000000" w14:paraId="0000004B">
      <w:pPr>
        <w:pStyle w:val="Heading2"/>
        <w:spacing w:after="80" w:before="360" w:lineRule="auto"/>
        <w:ind w:left="0"/>
        <w:rPr>
          <w:sz w:val="34"/>
          <w:szCs w:val="34"/>
        </w:rPr>
      </w:pPr>
      <w:bookmarkStart w:colFirst="0" w:colLast="0" w:name="_nwgpaxjgd4gg" w:id="11"/>
      <w:bookmarkEnd w:id="11"/>
      <w:r w:rsidDel="00000000" w:rsidR="00000000" w:rsidRPr="00000000">
        <w:rPr>
          <w:sz w:val="34"/>
          <w:szCs w:val="34"/>
          <w:rtl w:val="0"/>
        </w:rPr>
        <w:t xml:space="preserve">6. Pain Points in the Prep Process and How Digital/AI Tools Could Help</w:t>
      </w:r>
    </w:p>
    <w:p w:rsidR="00000000" w:rsidDel="00000000" w:rsidP="00000000" w:rsidRDefault="00000000" w:rsidRPr="00000000" w14:paraId="0000004C">
      <w:pPr>
        <w:spacing w:after="240" w:before="240" w:lineRule="auto"/>
        <w:rPr/>
      </w:pPr>
      <w:r w:rsidDel="00000000" w:rsidR="00000000" w:rsidRPr="00000000">
        <w:rPr>
          <w:rtl w:val="0"/>
        </w:rPr>
        <w:t xml:space="preserve">Even with best practices, preparing for client meetings is notoriously demanding. Bankers face several pain points and bottlenecks that can make the process inefficient or stressful. Identifying these pain points also highlights opportunities where digital or Generative AI (GenAI) products could streamline the workflow:</w:t>
      </w:r>
    </w:p>
    <w:p w:rsidR="00000000" w:rsidDel="00000000" w:rsidP="00000000" w:rsidRDefault="00000000" w:rsidRPr="00000000" w14:paraId="0000004D">
      <w:pPr>
        <w:numPr>
          <w:ilvl w:val="0"/>
          <w:numId w:val="7"/>
        </w:numPr>
        <w:spacing w:after="0" w:afterAutospacing="0" w:before="240" w:lineRule="auto"/>
        <w:ind w:left="720" w:hanging="360"/>
      </w:pPr>
      <w:r w:rsidDel="00000000" w:rsidR="00000000" w:rsidRPr="00000000">
        <w:rPr>
          <w:rtl w:val="0"/>
        </w:rPr>
        <w:t xml:space="preserve">Information Overload &amp; Fragmentation: One big challenge is dealing with the sheer volume of information. Data comes from everywhere – multiple databases, emails, prior decks, news feeds. It can be time-consuming to sift through and pick out what matters for this specific meeting. Moreover, crucial client intel might reside in disparate places (the MD’s memory, an associate’s spreadsheet of deal ideas, past CRM entries). The fragmented nature of data can lead to things being missed. Bankers often end up manually cobbling together insights from a dozen sources, which is tedious and prone to oversight. Potential Solution: A GenAI-powered aggregator could rapidly scan all relevant internal and external sources and present a concise briefing. Imagine a digital assistant where the team could query, “Summarize ServiceNow’s last 3 earnings calls and any AI-related comments,” and get a quick digest – saving hours of reading. In fact, advanced AI can integrate third-party data with internal notes to suggest relevant insights in real time . This would address the pain of manually hunting and pecking for info. Additionally, having an AI comb internal systems (emails, CRM, deal tombstones) for anything related to “ServiceNow” and surface key points (like “Last meeting in Jan 2025: CFO was interested in APAC expansion”) would ensure nothing falls through the cracks.</w:t>
        <w:br w:type="textWrapping"/>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tl w:val="0"/>
        </w:rPr>
        <w:t xml:space="preserve">Last-Minute Changes &amp; Iterations: It’s common in banking that the night before (or morning of) a meeting, something changes – either market data or senior banker requests. Incorporating those quickly is stressful, especially if it means updating numbers across multiple slides. Also, senior bankers often iterate the presentation many times (as mentioned, version 44 of a deck is not unheard of) . This iterative loop can be a pain point – analysts might spend nights tweaking minute details (like font sizes, repositioning logos) after each review. Potential Solution: Digital tools can expedite these changes. For instance, automated data updating – if an AI tool is linked to live financial data, it could refresh all the affected charts and tables in one go (ensuring consistency). Some products already allow linking Excel to PowerPoint so changes cascade, but a smarter system could also adjust commentary text to match the updated data (perhaps even flagging if a narrative no longer holds after a market shift). Regarding iterations, a GenAI tool might learn from an MD’s typical preferences (e.g., their style of wording or the fact they always want a certain chart format) and preemptively apply those, reducing review cycles. Also, AI-driven design assistants could handle a lot of the formatting cleanup automatically (adjust spacing, alignment, fonts) which currently eats up analyst hours – making those late-night “cosmetic” changes far faster.</w:t>
        <w:br w:type="textWrapping"/>
      </w:r>
    </w:p>
    <w:p w:rsidR="00000000" w:rsidDel="00000000" w:rsidP="00000000" w:rsidRDefault="00000000" w:rsidRPr="00000000" w14:paraId="0000004F">
      <w:pPr>
        <w:numPr>
          <w:ilvl w:val="0"/>
          <w:numId w:val="7"/>
        </w:numPr>
        <w:spacing w:after="0" w:afterAutospacing="0" w:before="0" w:beforeAutospacing="0" w:lineRule="auto"/>
        <w:ind w:left="720" w:hanging="360"/>
      </w:pPr>
      <w:r w:rsidDel="00000000" w:rsidR="00000000" w:rsidRPr="00000000">
        <w:rPr>
          <w:rtl w:val="0"/>
        </w:rPr>
        <w:t xml:space="preserve">Conflicting Inputs &amp; Coordination: As noted in the M&amp;I excerpt, juniors often get conflicting comments from different seniors – e.g. the VP says “make the market slide optimistic” while the MD later says “why are we so bullish here?”. Navigating these internal dynamics wastes time and can hurt morale. Additionally, coordinating across teams (coverage, product groups, graphics) involves a lot of emails and version control hassles. Potential Solution: Collaborative digital platforms could alleviate some of this. A centralized workspace where all team members comment on slides in real-time can help align feedback – everyone sees each other’s comments, reducing contradiction. Some banks use shared OneDrive/SharePoint or Google Slides for collaboration, but an AI could even reconcile conflicting comments by flagging discrepancies (“MD wants X, which conflicts with VP’s earlier Y”) so it’s at least known. Furthermore, project management tools tailored to deal teams can track tasks and reminders automatically (for example, ping the DCM team to deliver an interest rate update by a certain time). While not eliminating human disagreement, these tools streamline communication. GenAI might even suggest edits based on common patterns – for instance, “This slide has too much text, consider a chart,” or “Your tone on this page is too promotional; remember the client’s conservative stance” – essentially acting like a virtual VP giving guidance to the analyst in absence of human feedback.</w:t>
        <w:br w:type="textWrapping"/>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rtl w:val="0"/>
        </w:rPr>
        <w:t xml:space="preserve">Data Accuracy and Consistency: A perennial pain point is making sure every number in the deck is accurate and consistent across slides. With many manual inputs, there’s risk of an error (e.g., one slide shows a P/E ratio as 30x, another as 28x due to a last-minute update not carrying over). The fear of errors leads to multiple rounds of checking, which is time-consuming. Potential Solution: Automated auditing tools could be a game-changer. Imagine an AI that goes through the deck and cross-verifies every figure against a single source of truth (like the Excel model or database). If it finds a discrepancy – say, the revenue figure on Slide 5 doesn’t match the one on Slide 10 – it alerts the team. Some consistency-check tools exist (for formatting, etc.), but AI could do semantic consistency too (e.g., if ServiceNow’s growth rate is mentioned in text as 25% but the chart shows 20%, it would catch that context mismatch). This reduces the anxiety of possibly overlooking an error and frees time from manual number-checking.</w:t>
        <w:br w:type="textWrapping"/>
      </w:r>
    </w:p>
    <w:p w:rsidR="00000000" w:rsidDel="00000000" w:rsidP="00000000" w:rsidRDefault="00000000" w:rsidRPr="00000000" w14:paraId="00000051">
      <w:pPr>
        <w:numPr>
          <w:ilvl w:val="0"/>
          <w:numId w:val="7"/>
        </w:numPr>
        <w:spacing w:after="0" w:afterAutospacing="0" w:before="0" w:beforeAutospacing="0" w:lineRule="auto"/>
        <w:ind w:left="720" w:hanging="360"/>
      </w:pPr>
      <w:r w:rsidDel="00000000" w:rsidR="00000000" w:rsidRPr="00000000">
        <w:rPr>
          <w:rtl w:val="0"/>
        </w:rPr>
        <w:t xml:space="preserve">Time Crunch and Long Hours: Preparing for big meetings often compresses into a short timeframe (especially if the meeting was set up last-minute or the client asked for something on short notice). Bankers end up working 100-hour weeks, with a lot of late nights . The toll is high and burnout is a concern industry-wide. The time crunch also means less time to actually think strategically because so much time goes into just producing materials. Potential Solution: This is where GenAI could truly help by taking on grunt work. For example, drafting an initial pitchbook outline or even populating a first draft of slides based on a prompt (e.g., “Create an industry overview section for enterprise software with focus on AI trend”) could save hours. AI might not get it perfect, but it can give a starting point that bankers then refine. Likewise, generating first drafts of company profiles or writing a summary of “why this acquisition makes sense” based on past deals and known synergies could cut down the writing time. By automating lower-value tasks, bankers can reallocate time to higher-value tasks like brainstorming custom ideas or rehearsing the client interaction. In effect, AI becomes a junior team member that works instantaneously and doesn’t sleep – churning through what an analyst might spend an all-nighter on, in minutes. This not only reduces pain for the team but potentially leads to better quality output (since the humans can focus on creativity and judgment, not tedious processes).</w:t>
        <w:br w:type="textWrapping"/>
      </w:r>
    </w:p>
    <w:p w:rsidR="00000000" w:rsidDel="00000000" w:rsidP="00000000" w:rsidRDefault="00000000" w:rsidRPr="00000000" w14:paraId="00000052">
      <w:pPr>
        <w:numPr>
          <w:ilvl w:val="0"/>
          <w:numId w:val="7"/>
        </w:numPr>
        <w:spacing w:after="0" w:afterAutospacing="0" w:before="0" w:beforeAutospacing="0" w:lineRule="auto"/>
        <w:ind w:left="720" w:hanging="360"/>
      </w:pPr>
      <w:r w:rsidDel="00000000" w:rsidR="00000000" w:rsidRPr="00000000">
        <w:rPr>
          <w:rtl w:val="0"/>
        </w:rPr>
        <w:t xml:space="preserve">Repetitive Customization Work: Often, 50-60% of a pitchbook is “reuse” material (market slides, standard bank credentials, etc.), but it still needs to be customized and updated for each client. This repetitive work – updating logos, figures, tombstones of recent deals – is a low-hanging fruit for inefficiency. Potential Solution: A digital platform could maintain a library of slide templates and automatically populate them with the latest data and client-specific tweaks. For instance, if the bank has a standard “Tech Sector Update” slide, a tool could refresh all charts on it to the latest quarter and plug in ServiceNow’s name or ranking wherever relevant. GenAI could also help by allowing bankers to request slides or data in natural language: “Give me a chart of ServiceNow’s quarterly revenue vs. Salesforce” – and it creates a slide or Excel output ready to drop in. By cutting out manual steps in updating existing content, the team can focus on the novel parts of the presentation.</w:t>
        <w:br w:type="textWrapping"/>
      </w:r>
    </w:p>
    <w:p w:rsidR="00000000" w:rsidDel="00000000" w:rsidP="00000000" w:rsidRDefault="00000000" w:rsidRPr="00000000" w14:paraId="00000053">
      <w:pPr>
        <w:numPr>
          <w:ilvl w:val="0"/>
          <w:numId w:val="7"/>
        </w:numPr>
        <w:spacing w:after="240" w:before="0" w:beforeAutospacing="0" w:lineRule="auto"/>
        <w:ind w:left="720" w:hanging="360"/>
      </w:pPr>
      <w:r w:rsidDel="00000000" w:rsidR="00000000" w:rsidRPr="00000000">
        <w:rPr>
          <w:rtl w:val="0"/>
        </w:rPr>
        <w:t xml:space="preserve">Compliance and Approval Delays: Sometimes internal compliance processes (ensuring nothing confidential or improper is in the pitch) can slow things down at the last minute if an issue is spotted. While necessary, it’s a pain if, for example, Legal says a certain phrasing or comparison is not allowed, and slides need a redo under the gun. Potential Solution: AI could be trained on compliance guidelines to act as an early warning system – scanning the draft deck for any language or data that might raise flags (perhaps even comparing with a database of what’s allowed). It could highlight, say, “This slide uses research projections – ensure it’s from public sources or disclaim appropriately.” This way, issues are caught earlier, avoiding eleventh-hour scrambles.</w:t>
        <w:br w:type="textWrapping"/>
      </w:r>
    </w:p>
    <w:p w:rsidR="00000000" w:rsidDel="00000000" w:rsidP="00000000" w:rsidRDefault="00000000" w:rsidRPr="00000000" w14:paraId="00000054">
      <w:pPr>
        <w:spacing w:after="240" w:before="240" w:lineRule="auto"/>
        <w:rPr/>
      </w:pPr>
      <w:r w:rsidDel="00000000" w:rsidR="00000000" w:rsidRPr="00000000">
        <w:rPr>
          <w:rtl w:val="0"/>
        </w:rPr>
        <w:t xml:space="preserve">In summary, many pain points revolve around manual intensive tasks and coordination, which are exactly the areas technology can improve. By automating data gathering, aiding in analysis, and smoothing collaboration, a digital or GenAI product could drastically reduce inefficiencies. Already, some CRM and AI tools aim to “bring all your client data together” to help bankers prepare smarter and prompt next-best actions . Looking forward, we can envision an AI that practically assembles a first-cut pitchbook overnight, leaving the bankers to come in the next morning and simply refine ideas and messages. This augmentation would alleviate the grunt work pain points, reduce the iteration cycle, and perhaps even lead to better outcomes (since bankers can spend more time on strategy and less on slide perfection). The result would be a happier team and likely a better meeting for the client – because the focus shifts to insight, not admin.</w:t>
      </w:r>
    </w:p>
    <w:p w:rsidR="00000000" w:rsidDel="00000000" w:rsidP="00000000" w:rsidRDefault="00000000" w:rsidRPr="00000000" w14:paraId="00000055">
      <w:pPr>
        <w:pStyle w:val="Heading2"/>
        <w:spacing w:after="80" w:before="360" w:lineRule="auto"/>
        <w:ind w:left="0"/>
        <w:rPr>
          <w:sz w:val="34"/>
          <w:szCs w:val="34"/>
        </w:rPr>
      </w:pPr>
      <w:bookmarkStart w:colFirst="0" w:colLast="0" w:name="_u97mngbpu9xi" w:id="12"/>
      <w:bookmarkEnd w:id="12"/>
      <w:r w:rsidDel="00000000" w:rsidR="00000000" w:rsidRPr="00000000">
        <w:rPr>
          <w:sz w:val="34"/>
          <w:szCs w:val="34"/>
          <w:rtl w:val="0"/>
        </w:rPr>
        <w:t xml:space="preserve">7. Success Metrics and Follow-Up After the Meeting</w:t>
      </w:r>
    </w:p>
    <w:p w:rsidR="00000000" w:rsidDel="00000000" w:rsidP="00000000" w:rsidRDefault="00000000" w:rsidRPr="00000000" w14:paraId="00000056">
      <w:pPr>
        <w:spacing w:after="240" w:before="240" w:lineRule="auto"/>
        <w:rPr/>
      </w:pPr>
      <w:r w:rsidDel="00000000" w:rsidR="00000000" w:rsidRPr="00000000">
        <w:rPr>
          <w:rtl w:val="0"/>
        </w:rPr>
        <w:t xml:space="preserve">After the client meeting with ServiceNow, the work isn’t done. Bankers assess how the meeting went and take follow-up actions to keep momentum. Success can be measured in both short-term signals and long-term outcomes, and diligent logging and follow-up are crucial to eventually winning business. Here’s how bankers gauge effectiveness and manage post-meeting follow-up:</w:t>
      </w:r>
    </w:p>
    <w:p w:rsidR="00000000" w:rsidDel="00000000" w:rsidP="00000000" w:rsidRDefault="00000000" w:rsidRPr="00000000" w14:paraId="00000057">
      <w:pPr>
        <w:spacing w:after="240" w:before="240" w:lineRule="auto"/>
        <w:rPr/>
      </w:pPr>
      <w:r w:rsidDel="00000000" w:rsidR="00000000" w:rsidRPr="00000000">
        <w:rPr>
          <w:rtl w:val="0"/>
        </w:rPr>
        <w:t xml:space="preserve">Short-Term Success Signals: Immediately after the meeting (often in the taxi ride back or a team call), the deal team debriefs on the vibe and explicit feedback. Key indicators of a successful meeting include:</w:t>
      </w:r>
    </w:p>
    <w:p w:rsidR="00000000" w:rsidDel="00000000" w:rsidP="00000000" w:rsidRDefault="00000000" w:rsidRPr="00000000" w14:paraId="00000058">
      <w:pPr>
        <w:numPr>
          <w:ilvl w:val="0"/>
          <w:numId w:val="6"/>
        </w:numPr>
        <w:spacing w:after="0" w:afterAutospacing="0" w:before="240" w:lineRule="auto"/>
        <w:ind w:left="720" w:hanging="360"/>
      </w:pPr>
      <w:r w:rsidDel="00000000" w:rsidR="00000000" w:rsidRPr="00000000">
        <w:rPr>
          <w:rtl w:val="0"/>
        </w:rPr>
        <w:t xml:space="preserve">Client Engagement During the Meeting: Did the ServiceNow executives ask a lot of questions, show curiosity or enthusiasm about the ideas? For example, if the CFO flipped ahead in the deck to see a specific analysis or the CEO said “That’s an interesting point” and spent 10 minutes discussing it – those are strong positive signs. Lively dialogue generally beats a meeting where the client was passive or checking their watch.</w:t>
        <w:br w:type="textWrapping"/>
      </w:r>
    </w:p>
    <w:p w:rsidR="00000000" w:rsidDel="00000000" w:rsidP="00000000" w:rsidRDefault="00000000" w:rsidRPr="00000000" w14:paraId="00000059">
      <w:pPr>
        <w:numPr>
          <w:ilvl w:val="0"/>
          <w:numId w:val="6"/>
        </w:numPr>
        <w:spacing w:after="0" w:afterAutospacing="0" w:before="0" w:beforeAutospacing="0" w:lineRule="auto"/>
        <w:ind w:left="720" w:hanging="360"/>
      </w:pPr>
      <w:r w:rsidDel="00000000" w:rsidR="00000000" w:rsidRPr="00000000">
        <w:rPr>
          <w:rtl w:val="0"/>
        </w:rPr>
        <w:t xml:space="preserve">Expressions of Interest or Concern: Sometimes success is indicated by what the client says. If the client expressed interest – “We’d love to see a deeper analysis on that acquisition target” or “Can you send us the model you used for the capital structure scenario?” – it shows they found value in the content and want to pursue it. On the flip side, if the client confided concerns (like “Our board is actually worried about our growth rate”), that trust and openness is also a win because it gives the bankers a chance to address real issues.</w:t>
        <w:br w:type="textWrapping"/>
      </w:r>
    </w:p>
    <w:p w:rsidR="00000000" w:rsidDel="00000000" w:rsidP="00000000" w:rsidRDefault="00000000" w:rsidRPr="00000000" w14:paraId="0000005A">
      <w:pPr>
        <w:numPr>
          <w:ilvl w:val="0"/>
          <w:numId w:val="6"/>
        </w:numPr>
        <w:spacing w:after="0" w:afterAutospacing="0" w:before="0" w:beforeAutospacing="0" w:lineRule="auto"/>
        <w:ind w:left="720" w:hanging="360"/>
      </w:pPr>
      <w:r w:rsidDel="00000000" w:rsidR="00000000" w:rsidRPr="00000000">
        <w:rPr>
          <w:rtl w:val="0"/>
        </w:rPr>
        <w:t xml:space="preserve">Follow-Up Actions Agreed: The clearest short-term success is when concrete next steps come out of the meeting. For instance, the ServiceNow team might invite the bankers to present to another executive (e.g., “This is good, can you brief our CTO on those tech trends next week?”) or request the bank’s help in some further diligence (“Could you identify a few more AI targets in Europe and get back to us?”). If multiple follow-ups are identified, it shows the dialogue will continue – a very positive outcome.</w:t>
        <w:br w:type="textWrapping"/>
      </w:r>
    </w:p>
    <w:p w:rsidR="00000000" w:rsidDel="00000000" w:rsidP="00000000" w:rsidRDefault="00000000" w:rsidRPr="00000000" w14:paraId="0000005B">
      <w:pPr>
        <w:numPr>
          <w:ilvl w:val="0"/>
          <w:numId w:val="6"/>
        </w:numPr>
        <w:spacing w:after="240" w:before="0" w:beforeAutospacing="0" w:lineRule="auto"/>
        <w:ind w:left="720" w:hanging="360"/>
      </w:pPr>
      <w:r w:rsidDel="00000000" w:rsidR="00000000" w:rsidRPr="00000000">
        <w:rPr>
          <w:rtl w:val="0"/>
        </w:rPr>
        <w:t xml:space="preserve">Client’s Tone and Body Language: Although hard to quantify, experienced bankers pay attention to this. A relaxed, conversational tone, or executives nodding in agreement during key points, often indicates the meeting resonated. If the ServiceNow CFO ended the meeting with, “This was really helpful, thank you” and talked about meeting again soon, that’s a good sign. In contrast, if responses were terse or the meeting ended earlier than scheduled, those could be red flags.</w:t>
        <w:br w:type="textWrapping"/>
      </w:r>
    </w:p>
    <w:p w:rsidR="00000000" w:rsidDel="00000000" w:rsidP="00000000" w:rsidRDefault="00000000" w:rsidRPr="00000000" w14:paraId="0000005C">
      <w:pPr>
        <w:spacing w:after="240" w:before="240" w:lineRule="auto"/>
        <w:rPr/>
      </w:pPr>
      <w:r w:rsidDel="00000000" w:rsidR="00000000" w:rsidRPr="00000000">
        <w:rPr>
          <w:rtl w:val="0"/>
        </w:rPr>
        <w:t xml:space="preserve">Long-Term Success Metrics: Beyond the immediate aftermath, bankers measure the meeting’s success by how it advances the relationship and eventually leads to revenue-generating business:</w:t>
      </w:r>
    </w:p>
    <w:p w:rsidR="00000000" w:rsidDel="00000000" w:rsidP="00000000" w:rsidRDefault="00000000" w:rsidRPr="00000000" w14:paraId="0000005D">
      <w:pPr>
        <w:numPr>
          <w:ilvl w:val="0"/>
          <w:numId w:val="5"/>
        </w:numPr>
        <w:spacing w:after="0" w:afterAutospacing="0" w:before="240" w:lineRule="auto"/>
        <w:ind w:left="720" w:hanging="360"/>
      </w:pPr>
      <w:r w:rsidDel="00000000" w:rsidR="00000000" w:rsidRPr="00000000">
        <w:rPr>
          <w:rtl w:val="0"/>
        </w:rPr>
        <w:t xml:space="preserve">Mandate Conversion: The ultimate goal is to win a mandate – meaning the client formally engages the bank on a transaction or pays for services. If, in the months following the meeting, ServiceNow decides to pursue one of the pitched ideas (say, acquiring a particular AI startup) and they hire the bank as an advisor, that is the best validation that the meeting (and the groundwork around it) was effective. Even if the mandate comes a year later, the seeds are often traced back to these meetings. Banks track their “hit rate” of pitches to mandates as a key performance indicator.</w:t>
        <w:br w:type="textWrapping"/>
      </w:r>
    </w:p>
    <w:p w:rsidR="00000000" w:rsidDel="00000000" w:rsidP="00000000" w:rsidRDefault="00000000" w:rsidRPr="00000000" w14:paraId="0000005E">
      <w:pPr>
        <w:numPr>
          <w:ilvl w:val="0"/>
          <w:numId w:val="5"/>
        </w:numPr>
        <w:spacing w:after="0" w:afterAutospacing="0" w:before="0" w:beforeAutospacing="0" w:lineRule="auto"/>
        <w:ind w:left="720" w:hanging="360"/>
      </w:pPr>
      <w:r w:rsidDel="00000000" w:rsidR="00000000" w:rsidRPr="00000000">
        <w:rPr>
          <w:rtl w:val="0"/>
        </w:rPr>
        <w:t xml:space="preserve">Wallet Share and Repeat Business: For an existing public company client like ServiceNow, success might be maintaining or increasing the “wallet share” of that client’s fees. If ServiceNow historically gave 50% of its investment banking deals to one bank and 50% to others, the coverage banker wants to tilt more in their favor. So, if after a series of value-adding meetings, ServiceNow starts leaning on that bank for multiple roles (e.g., uses them not just for M&amp;A advice but also a debt issuance), it shows a deepening relationship. This is a longer-term metric often reviewed annually.</w:t>
        <w:br w:type="textWrapping"/>
      </w:r>
    </w:p>
    <w:p w:rsidR="00000000" w:rsidDel="00000000" w:rsidP="00000000" w:rsidRDefault="00000000" w:rsidRPr="00000000" w14:paraId="0000005F">
      <w:pPr>
        <w:numPr>
          <w:ilvl w:val="0"/>
          <w:numId w:val="5"/>
        </w:numPr>
        <w:spacing w:after="0" w:afterAutospacing="0" w:before="0" w:beforeAutospacing="0" w:lineRule="auto"/>
        <w:ind w:left="720" w:hanging="360"/>
      </w:pPr>
      <w:r w:rsidDel="00000000" w:rsidR="00000000" w:rsidRPr="00000000">
        <w:rPr>
          <w:rtl w:val="0"/>
        </w:rPr>
        <w:t xml:space="preserve">Strength of Relationship (Qualitative): Senior management’s trust is a huge intangible metric. For example, does ServiceNow’s CEO pick up the phone to call the MD when a new issue or idea comes up? If the bankers become the “go-to” sounding board for the client on strategic matters, that’s success. Banks often use qualitative assessments like client feedback or a Net Promoter Score-like approach (though informally) – essentially, are we the client’s first call?</w:t>
        <w:br w:type="textWrapping"/>
      </w:r>
    </w:p>
    <w:p w:rsidR="00000000" w:rsidDel="00000000" w:rsidP="00000000" w:rsidRDefault="00000000" w:rsidRPr="00000000" w14:paraId="00000060">
      <w:pPr>
        <w:numPr>
          <w:ilvl w:val="0"/>
          <w:numId w:val="5"/>
        </w:numPr>
        <w:spacing w:after="240" w:before="0" w:beforeAutospacing="0" w:lineRule="auto"/>
        <w:ind w:left="720" w:hanging="360"/>
      </w:pPr>
      <w:r w:rsidDel="00000000" w:rsidR="00000000" w:rsidRPr="00000000">
        <w:rPr>
          <w:rtl w:val="0"/>
        </w:rPr>
        <w:t xml:space="preserve">Market Share and League Table Presence: While not specific to one meeting, if the cumulative effect of strong meetings leads the bank to be involved in more of ServiceNow’s transactions (or similar clients’ transactions), it boosts their standings in league tables for that sector. Top banks constantly monitor these metrics as success evidence. For instance, if ServiceNow does a large acquisition and the bank is lead advisor, that win often gets publicized, reflecting successful coverage efforts leading up to it.</w:t>
        <w:br w:type="textWrapping"/>
      </w:r>
    </w:p>
    <w:p w:rsidR="00000000" w:rsidDel="00000000" w:rsidP="00000000" w:rsidRDefault="00000000" w:rsidRPr="00000000" w14:paraId="00000061">
      <w:pPr>
        <w:spacing w:after="240" w:before="240" w:lineRule="auto"/>
        <w:rPr/>
      </w:pPr>
      <w:r w:rsidDel="00000000" w:rsidR="00000000" w:rsidRPr="00000000">
        <w:rPr>
          <w:rtl w:val="0"/>
        </w:rPr>
        <w:t xml:space="preserve">Follow-Up Process: Right after the client meeting, banks have a disciplined follow-up routine to capitalize on momentum and ensure nothing falls through:</w:t>
      </w:r>
    </w:p>
    <w:p w:rsidR="00000000" w:rsidDel="00000000" w:rsidP="00000000" w:rsidRDefault="00000000" w:rsidRPr="00000000" w14:paraId="00000062">
      <w:pPr>
        <w:numPr>
          <w:ilvl w:val="0"/>
          <w:numId w:val="8"/>
        </w:numPr>
        <w:spacing w:after="0" w:afterAutospacing="0" w:before="240" w:lineRule="auto"/>
        <w:ind w:left="720" w:hanging="360"/>
      </w:pPr>
      <w:r w:rsidDel="00000000" w:rsidR="00000000" w:rsidRPr="00000000">
        <w:rPr>
          <w:rtl w:val="0"/>
        </w:rPr>
        <w:t xml:space="preserve">Internal Debrief and Call Report: The junior banker (often the analyst or associate) will prepare a meeting summary email or memo – sometimes called a “call report” – documenting who attended, what was discussed, key insights from the client, and any specific requests or next steps. This write-up is usually logged in the CRM and circulated internally to relevant stakeholders (like the sector head or product partners who may not have been in the meeting). It ensures institutional memory of what happened. In it, they’ll note things like “Client showed interest in exploring convertible debt financing; follow-up: schedule product specialist discussion.” This documentation is important for tracking progress and for others in the firm who interact with the client to stay aligned.</w:t>
        <w:br w:type="textWrapping"/>
      </w:r>
    </w:p>
    <w:p w:rsidR="00000000" w:rsidDel="00000000" w:rsidP="00000000" w:rsidRDefault="00000000" w:rsidRPr="00000000" w14:paraId="00000063">
      <w:pPr>
        <w:numPr>
          <w:ilvl w:val="0"/>
          <w:numId w:val="8"/>
        </w:numPr>
        <w:spacing w:after="0" w:afterAutospacing="0" w:before="0" w:beforeAutospacing="0" w:lineRule="auto"/>
        <w:ind w:left="720" w:hanging="360"/>
      </w:pPr>
      <w:r w:rsidDel="00000000" w:rsidR="00000000" w:rsidRPr="00000000">
        <w:rPr>
          <w:rtl w:val="0"/>
        </w:rPr>
        <w:t xml:space="preserve">Timely Client Follow-Up: If the client asks for additional info or analysis, the team aims to deliver it promptly. For example, if ServiceNow’s CFO said, “Can you guys send over those benchmark metrics you mentioned?”, the analysts will assemble that and the MD or VP will send it with a courteous note the next day (or even same evening). Responsiveness is a sign of attentiveness. Even if the client didn’t request anything explicit, a best practice is for the MD to send a thank-you email within 24 hours, reiterating a couple of key points (e.g., “Appreciate the time today – as discussed, we will keep you updated on emerging AI deals in the market”). This keeps the dialogue open.</w:t>
        <w:br w:type="textWrapping"/>
      </w:r>
    </w:p>
    <w:p w:rsidR="00000000" w:rsidDel="00000000" w:rsidP="00000000" w:rsidRDefault="00000000" w:rsidRPr="00000000" w14:paraId="00000064">
      <w:pPr>
        <w:numPr>
          <w:ilvl w:val="0"/>
          <w:numId w:val="8"/>
        </w:numPr>
        <w:spacing w:after="0" w:afterAutospacing="0" w:before="0" w:beforeAutospacing="0" w:lineRule="auto"/>
        <w:ind w:left="720" w:hanging="360"/>
      </w:pPr>
      <w:r w:rsidDel="00000000" w:rsidR="00000000" w:rsidRPr="00000000">
        <w:rPr>
          <w:rtl w:val="0"/>
        </w:rPr>
        <w:t xml:space="preserve">Logging and Updating Pipeline: The team updates the status of the opportunity in their deal tracking or CRM system. Many banks have a pipeline of potential deals (even if just ideas) associated with each client. Suppose one idea pitched was an acquisition of Company X and the client seemed interested – the bankers might create a pipeline entry like “Project Snowball – potential acquisition of X” and mark it as an “active dialogue”. They might set a reminder in the CRM or calendar to check back with the client on that specific idea in a few weeks. Modern CRM platforms facilitate this, some even automatically by scanning emails and meetings to update status . The goal is to ensure ongoing ideas are tracked and periodically revisited.</w:t>
        <w:br w:type="textWrapping"/>
      </w:r>
    </w:p>
    <w:p w:rsidR="00000000" w:rsidDel="00000000" w:rsidP="00000000" w:rsidRDefault="00000000" w:rsidRPr="00000000" w14:paraId="00000065">
      <w:pPr>
        <w:numPr>
          <w:ilvl w:val="0"/>
          <w:numId w:val="8"/>
        </w:numPr>
        <w:spacing w:after="0" w:afterAutospacing="0" w:before="0" w:beforeAutospacing="0" w:lineRule="auto"/>
        <w:ind w:left="720" w:hanging="360"/>
      </w:pPr>
      <w:r w:rsidDel="00000000" w:rsidR="00000000" w:rsidRPr="00000000">
        <w:rPr>
          <w:rtl w:val="0"/>
        </w:rPr>
        <w:t xml:space="preserve">Team Follow-Up and Continuity: Internally, the coverage MD will often brief the broader coverage team or group head on how the meeting went, especially if it was significant. This can happen in weekly team meetings or a simple email: “Met ServiceNow today – they are thinking about potentially raising debt next year, we are on it.” This ensures, for instance, the debt capital markets team is alert to a potential mandate brewing. Some banks have regular “coverage calls” where all recent client interactions are discussed to align efforts.</w:t>
        <w:br w:type="textWrapping"/>
      </w:r>
    </w:p>
    <w:p w:rsidR="00000000" w:rsidDel="00000000" w:rsidP="00000000" w:rsidRDefault="00000000" w:rsidRPr="00000000" w14:paraId="00000066">
      <w:pPr>
        <w:numPr>
          <w:ilvl w:val="0"/>
          <w:numId w:val="8"/>
        </w:numPr>
        <w:spacing w:after="240" w:before="0" w:beforeAutospacing="0" w:lineRule="auto"/>
        <w:ind w:left="720" w:hanging="360"/>
      </w:pPr>
      <w:r w:rsidDel="00000000" w:rsidR="00000000" w:rsidRPr="00000000">
        <w:rPr>
          <w:rtl w:val="0"/>
        </w:rPr>
        <w:t xml:space="preserve">Continued Engagement: The outcome of the meeting dictates the engagement strategy. If ServiceNow showed interest in a certain topic, the bankers might organize a follow-up meeting or call with a broader set of specialists. For example, if the CFO said “Tell me more about how buy-side vs build compares for AI capabilities”, the bank might get their tech M&amp;A head or an industry specialist on a call with ServiceNow’s team to go deeper. Essentially, the bankers nurture the lead. They also keep providing relevant updates: sending along news articles that might interest the client, or a brief email a month later like “Saw this report on AI in enterprise software – thought of your earlier questions, here are a couple highlights…”. These touchpoints (without always explicitly selling something) build the relationship and show that the bankers are continuously thinking of the client .</w:t>
        <w:br w:type="textWrapping"/>
      </w:r>
    </w:p>
    <w:p w:rsidR="00000000" w:rsidDel="00000000" w:rsidP="00000000" w:rsidRDefault="00000000" w:rsidRPr="00000000" w14:paraId="00000067">
      <w:pPr>
        <w:spacing w:after="240" w:before="240" w:lineRule="auto"/>
        <w:rPr/>
      </w:pPr>
      <w:r w:rsidDel="00000000" w:rsidR="00000000" w:rsidRPr="00000000">
        <w:rPr>
          <w:rtl w:val="0"/>
        </w:rPr>
        <w:t xml:space="preserve">Success Metrics Tracking: Banks often maintain a client scorecard. This can include quantitative metrics like revenue earned from the client year-to-date, share of the client’s wallet (percentage of their fees the bank captured), number of meetings or touchpoints in the quarter, etc. After a major meeting, if a follow-up leads to, say, a mandate or at least an RFP invitation, that will be noted as a success in that scorecard. Sometimes there are firm-wide systems where coverage officers have to log call reports and mark the potential revenue opportunity size. Senior management might review these in determining where to allocate resources or which relationships to prioritize.</w:t>
      </w:r>
    </w:p>
    <w:p w:rsidR="00000000" w:rsidDel="00000000" w:rsidP="00000000" w:rsidRDefault="00000000" w:rsidRPr="00000000" w14:paraId="00000068">
      <w:pPr>
        <w:spacing w:after="240" w:before="240" w:lineRule="auto"/>
        <w:rPr/>
      </w:pPr>
      <w:r w:rsidDel="00000000" w:rsidR="00000000" w:rsidRPr="00000000">
        <w:rPr>
          <w:rtl w:val="0"/>
        </w:rPr>
        <w:t xml:space="preserve">One concrete metric is if the meeting was a “pitch” for a specific transaction (like pitching to be the sell-side advisor on a deal), the win or loss of that pitch is the clear result. In such cases, bankers debrief on why they won or lost – e.g., “We won because we had the best chemistry and our price outlook was realistic,” or “We lost the mandate; client went with a bank that had a prior lending relationship – maybe our pitchbook was too dense.” This feedback loop is crucial for refining how they prepare and pitch next time .</w:t>
      </w:r>
    </w:p>
    <w:p w:rsidR="00000000" w:rsidDel="00000000" w:rsidP="00000000" w:rsidRDefault="00000000" w:rsidRPr="00000000" w14:paraId="00000069">
      <w:pPr>
        <w:spacing w:after="240" w:before="240" w:lineRule="auto"/>
        <w:rPr/>
      </w:pPr>
      <w:r w:rsidDel="00000000" w:rsidR="00000000" w:rsidRPr="00000000">
        <w:rPr>
          <w:rtl w:val="0"/>
        </w:rPr>
        <w:t xml:space="preserve">In less cut-and-dry scenarios (like ongoing advisory meetings), success is a cumulative effect. Bankers will know they’re succeeding if the relationship deepens and leads to opportunities. For example, if a year ago they were one of many banks providing ideas, but now they’re the one regularly meeting the client’s board or getting called for input, that’s a trajectory of success.</w:t>
      </w:r>
    </w:p>
    <w:p w:rsidR="00000000" w:rsidDel="00000000" w:rsidP="00000000" w:rsidRDefault="00000000" w:rsidRPr="00000000" w14:paraId="0000006A">
      <w:pPr>
        <w:spacing w:after="240" w:before="240" w:lineRule="auto"/>
        <w:rPr/>
      </w:pPr>
      <w:r w:rsidDel="00000000" w:rsidR="00000000" w:rsidRPr="00000000">
        <w:rPr>
          <w:rtl w:val="0"/>
        </w:rPr>
        <w:t xml:space="preserve">Finally, a subtle but telling metric is the client’s feedback to others. Often, a satisfied client will tell colleagues or even other companies about the helpful bankers. If ServiceNow’s CFO informally mentions to a peer at another company “We’ve been working with XYZ Bank, they have some smart folks”, that can lead to referrals – a sign the bankers not only met but exceeded expectations in their meetings.</w:t>
      </w:r>
    </w:p>
    <w:p w:rsidR="00000000" w:rsidDel="00000000" w:rsidP="00000000" w:rsidRDefault="00000000" w:rsidRPr="00000000" w14:paraId="0000006B">
      <w:pPr>
        <w:spacing w:after="240" w:before="240" w:lineRule="auto"/>
        <w:rPr/>
      </w:pPr>
      <w:r w:rsidDel="00000000" w:rsidR="00000000" w:rsidRPr="00000000">
        <w:rPr>
          <w:rtl w:val="0"/>
        </w:rPr>
        <w:t xml:space="preserve">All the above follow-up activities are aided by the firm’s systems. Modern IB CRMs help track meetings, emails, and follow-ups automatically , sending reminders so bankers don’t drop the ball on that promised piece of analysis or that next check-in call. Through rigorous follow-up, bankers build on the momentum of a good meeting, and through metrics, they keep themselves accountable to turning meetings into mandates. In the fast-paced world of dealmaking, a client meeting is only as good as the outcome it eventually produces, so these measures ensure that a great meeting with ServiceNow translates into tangible business results over time.</w:t>
      </w:r>
    </w:p>
    <w:p w:rsidR="00000000" w:rsidDel="00000000" w:rsidP="00000000" w:rsidRDefault="00000000" w:rsidRPr="00000000" w14:paraId="000000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right="366"/>
      <w:jc w:val="right"/>
    </w:pPr>
    <w:rPr>
      <w:rFonts w:ascii="Times New Roman" w:cs="Times New Roman" w:eastAsia="Times New Roman" w:hAnsi="Times New Roman"/>
      <w:sz w:val="23"/>
      <w:szCs w:val="23"/>
    </w:rPr>
  </w:style>
  <w:style w:type="paragraph" w:styleId="Heading2">
    <w:name w:val="heading 2"/>
    <w:basedOn w:val="Normal"/>
    <w:next w:val="Normal"/>
    <w:pPr>
      <w:ind w:left="251"/>
    </w:pPr>
    <w:rPr>
      <w:rFonts w:ascii="Times New Roman" w:cs="Times New Roman" w:eastAsia="Times New Roman" w:hAnsi="Times New Roman"/>
      <w:b w:val="1"/>
      <w:sz w:val="22"/>
      <w:szCs w:val="22"/>
    </w:rPr>
  </w:style>
  <w:style w:type="paragraph" w:styleId="Heading3">
    <w:name w:val="heading 3"/>
    <w:basedOn w:val="Normal"/>
    <w:next w:val="Normal"/>
    <w:pPr>
      <w:ind w:left="258"/>
    </w:pPr>
    <w:rPr>
      <w:rFonts w:ascii="Times New Roman" w:cs="Times New Roman" w:eastAsia="Times New Roman" w:hAnsi="Times New Roman"/>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6" w:lineRule="auto"/>
      <w:ind w:left="367"/>
    </w:pPr>
    <w:rPr>
      <w:rFonts w:ascii="Times New Roman" w:cs="Times New Roman" w:eastAsia="Times New Roman" w:hAnsi="Times New Roman"/>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