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Salesforce’s most recent SEC Form 10-K (annual filing) and latest earnings call transcript, create a concise SWOT analysis.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Requirements: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Use ONLY the official SEC 10-K filing and earnings call transcripts as sources (no websites, press releases, or third-party commentary).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For each section (Strengths, Weaknesses, Opportunities, Threats), include 1–2 clear bullets.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Each bullet must cite the exact source: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 10-K section (e.g., Item 1A Risk Factors, MD&amp;A, or Business)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 or the latest earnings call transcript (quote management commentary where applicable).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Keep wording banker-ready: short, factual, and directly tied to Salesforce’s business.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Do not include generic statements (e.g., “strong brand”). Each point must be grounded in the filings or calls.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Return the result clearly formatted as: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SWOT Analysis — Salesforce FY2025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Strengths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[bullet with source]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[bullet with source]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Weaknesses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[bullet with source]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Opportunities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[bullet with source]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Threats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[bullet with source]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Strengths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Highly recurring model: </w:t>
      </w:r>
      <w:r w:rsidDel="00000000" w:rsidR="00000000" w:rsidRPr="00000000">
        <w:rPr>
          <w:b w:val="1"/>
          <w:rtl w:val="0"/>
        </w:rPr>
        <w:t xml:space="preserve">Subscription &amp; support = ~94% of FY25 revenue</w:t>
      </w:r>
      <w:r w:rsidDel="00000000" w:rsidR="00000000" w:rsidRPr="00000000">
        <w:rPr>
          <w:rtl w:val="0"/>
        </w:rPr>
        <w:t xml:space="preserve">; total revenue </w:t>
      </w:r>
      <w:r w:rsidDel="00000000" w:rsidR="00000000" w:rsidRPr="00000000">
        <w:rPr>
          <w:b w:val="1"/>
          <w:rtl w:val="0"/>
        </w:rPr>
        <w:t xml:space="preserve">$37.9B</w:t>
      </w:r>
      <w:r w:rsidDel="00000000" w:rsidR="00000000" w:rsidRPr="00000000">
        <w:rPr>
          <w:rtl w:val="0"/>
        </w:rPr>
        <w:t xml:space="preserve"> (+9% Y/Y).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Scale/visibility: </w:t>
      </w:r>
      <w:r w:rsidDel="00000000" w:rsidR="00000000" w:rsidRPr="00000000">
        <w:rPr>
          <w:b w:val="1"/>
          <w:rtl w:val="0"/>
        </w:rPr>
        <w:t xml:space="preserve">RPO $63.4B</w:t>
      </w:r>
      <w:r w:rsidDel="00000000" w:rsidR="00000000" w:rsidRPr="00000000">
        <w:rPr>
          <w:rtl w:val="0"/>
        </w:rPr>
        <w:t xml:space="preserve"> (current </w:t>
      </w:r>
      <w:r w:rsidDel="00000000" w:rsidR="00000000" w:rsidRPr="00000000">
        <w:rPr>
          <w:b w:val="1"/>
          <w:rtl w:val="0"/>
        </w:rPr>
        <w:t xml:space="preserve">$30.2B</w:t>
      </w:r>
      <w:r w:rsidDel="00000000" w:rsidR="00000000" w:rsidRPr="00000000">
        <w:rPr>
          <w:rtl w:val="0"/>
        </w:rPr>
        <w:t xml:space="preserve">) at Jan 31, 2025, up from $56.9B in FY24.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Weaknesses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Services drag: </w:t>
      </w:r>
      <w:r w:rsidDel="00000000" w:rsidR="00000000" w:rsidRPr="00000000">
        <w:rPr>
          <w:b w:val="1"/>
          <w:rtl w:val="0"/>
        </w:rPr>
        <w:t xml:space="preserve">Professional services &amp; other down 4%</w:t>
      </w:r>
      <w:r w:rsidDel="00000000" w:rsidR="00000000" w:rsidRPr="00000000">
        <w:rPr>
          <w:rtl w:val="0"/>
        </w:rPr>
        <w:t xml:space="preserve"> in FY25; management notes softer demand for big transformations.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Cost intensity: </w:t>
      </w:r>
      <w:r w:rsidDel="00000000" w:rsidR="00000000" w:rsidRPr="00000000">
        <w:rPr>
          <w:b w:val="1"/>
          <w:rtl w:val="0"/>
        </w:rPr>
        <w:t xml:space="preserve">Stock-based compensation expense $3.18B</w:t>
      </w:r>
      <w:r w:rsidDel="00000000" w:rsidR="00000000" w:rsidRPr="00000000">
        <w:rPr>
          <w:rtl w:val="0"/>
        </w:rPr>
        <w:t xml:space="preserve"> in FY25.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Opportunities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breadth growing: All five cloud buckets (Sales, Service, Platform &amp; Other, Marketing &amp; Commerce, Integration &amp; Analytics) </w:t>
      </w:r>
      <w:r w:rsidDel="00000000" w:rsidR="00000000" w:rsidRPr="00000000">
        <w:rPr>
          <w:b w:val="1"/>
          <w:rtl w:val="0"/>
        </w:rPr>
        <w:t xml:space="preserve">grew ~8–11%</w:t>
      </w:r>
      <w:r w:rsidDel="00000000" w:rsidR="00000000" w:rsidRPr="00000000">
        <w:rPr>
          <w:rtl w:val="0"/>
        </w:rPr>
        <w:t xml:space="preserve"> in FY25—broad cross-sell surface.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momentum: 10-K cites </w:t>
      </w:r>
      <w:r w:rsidDel="00000000" w:rsidR="00000000" w:rsidRPr="00000000">
        <w:rPr>
          <w:b w:val="1"/>
          <w:rtl w:val="0"/>
        </w:rPr>
        <w:t xml:space="preserve">increasing momentum for Agentforce and AI</w:t>
      </w:r>
      <w:r w:rsidDel="00000000" w:rsidR="00000000" w:rsidRPr="00000000">
        <w:rPr>
          <w:rtl w:val="0"/>
        </w:rPr>
        <w:t xml:space="preserve"> offerings into 2H FY25.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Threats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Competitive &amp; AI dynamics: 10-K highlights </w:t>
      </w:r>
      <w:r w:rsidDel="00000000" w:rsidR="00000000" w:rsidRPr="00000000">
        <w:rPr>
          <w:b w:val="1"/>
          <w:rtl w:val="0"/>
        </w:rPr>
        <w:t xml:space="preserve">intense competition</w:t>
      </w:r>
      <w:r w:rsidDel="00000000" w:rsidR="00000000" w:rsidRPr="00000000">
        <w:rPr>
          <w:rtl w:val="0"/>
        </w:rPr>
        <w:t xml:space="preserve"> and that embedding AI </w:t>
      </w:r>
      <w:r w:rsidDel="00000000" w:rsidR="00000000" w:rsidRPr="00000000">
        <w:rPr>
          <w:b w:val="1"/>
          <w:rtl w:val="0"/>
        </w:rPr>
        <w:t xml:space="preserve">increases competitive intensity</w:t>
      </w:r>
      <w:r w:rsidDel="00000000" w:rsidR="00000000" w:rsidRPr="00000000">
        <w:rPr>
          <w:rtl w:val="0"/>
        </w:rPr>
        <w:t xml:space="preserve">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SEC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Global/FX &amp; regulatory exposure from international operations and evolving privacy/cross-border data rules.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SEC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ec.gov/Archives/edgar/data/1108524/000110852425000006/crm-20250131.htm" TargetMode="External"/><Relationship Id="rId11" Type="http://schemas.openxmlformats.org/officeDocument/2006/relationships/hyperlink" Target="https://www.sec.gov/Archives/edgar/data/1108524/000110852425000006/crm-20250131.htm" TargetMode="External"/><Relationship Id="rId10" Type="http://schemas.openxmlformats.org/officeDocument/2006/relationships/hyperlink" Target="https://www.sec.gov/Archives/edgar/data/1108524/000110852425000006/crm-20250131.htm" TargetMode="External"/><Relationship Id="rId21" Type="http://schemas.openxmlformats.org/officeDocument/2006/relationships/hyperlink" Target="https://www.sec.gov/Archives/edgar/data/1108524/000110852425000006/crm-20250131.htm" TargetMode="External"/><Relationship Id="rId13" Type="http://schemas.openxmlformats.org/officeDocument/2006/relationships/hyperlink" Target="https://www.sec.gov/Archives/edgar/data/1108524/000110852425000006/crm-20250131.htm" TargetMode="External"/><Relationship Id="rId12" Type="http://schemas.openxmlformats.org/officeDocument/2006/relationships/hyperlink" Target="https://www.sec.gov/Archives/edgar/data/1108524/000110852425000006/crm-2025013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c.gov/Archives/edgar/data/1108524/000110852425000006/crm-20250131.htm" TargetMode="External"/><Relationship Id="rId15" Type="http://schemas.openxmlformats.org/officeDocument/2006/relationships/hyperlink" Target="https://www.sec.gov/Archives/edgar/data/1108524/000110852425000006/crm-20250131.htm" TargetMode="External"/><Relationship Id="rId14" Type="http://schemas.openxmlformats.org/officeDocument/2006/relationships/hyperlink" Target="https://www.sec.gov/Archives/edgar/data/1108524/000110852425000006/crm-20250131.htm" TargetMode="External"/><Relationship Id="rId17" Type="http://schemas.openxmlformats.org/officeDocument/2006/relationships/hyperlink" Target="https://www.sec.gov/Archives/edgar/data/1108524/000110852425000006/crm-20250131.htm" TargetMode="External"/><Relationship Id="rId16" Type="http://schemas.openxmlformats.org/officeDocument/2006/relationships/hyperlink" Target="https://www.sec.gov/Archives/edgar/data/1108524/000110852425000006/crm-20250131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sec.gov/Archives/edgar/data/1108524/000110852425000006/crm-20250131.htm" TargetMode="External"/><Relationship Id="rId6" Type="http://schemas.openxmlformats.org/officeDocument/2006/relationships/hyperlink" Target="https://www.sec.gov/Archives/edgar/data/1108524/000110852425000006/crm-20250131.htm" TargetMode="External"/><Relationship Id="rId18" Type="http://schemas.openxmlformats.org/officeDocument/2006/relationships/hyperlink" Target="https://www.sec.gov/Archives/edgar/data/1108524/000110852425000006/crm-20250131.htm" TargetMode="External"/><Relationship Id="rId7" Type="http://schemas.openxmlformats.org/officeDocument/2006/relationships/hyperlink" Target="https://www.sec.gov/Archives/edgar/data/1108524/000110852425000006/crm-20250131.htm" TargetMode="External"/><Relationship Id="rId8" Type="http://schemas.openxmlformats.org/officeDocument/2006/relationships/hyperlink" Target="https://www.sec.gov/Archives/edgar/data/1108524/000110852425000006/crm-2025013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